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rPr>
      </w:pPr>
    </w:p>
    <w:p>
      <w:pPr>
        <w:pStyle w:val="BodyText"/>
        <w:spacing w:before="0"/>
        <w:ind w:left="3036"/>
        <w:jc w:val="left"/>
        <w:rPr>
          <w:rFonts w:ascii="Times New Roman"/>
          <w:sz w:val="20"/>
        </w:rPr>
      </w:pPr>
      <w:r>
        <w:rPr>
          <w:rFonts w:ascii="Times New Roman"/>
          <w:sz w:val="20"/>
        </w:rPr>
        <w:drawing>
          <wp:inline distT="0" distB="0" distL="0" distR="0">
            <wp:extent cx="1622658" cy="108813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22658" cy="1088136"/>
                    </a:xfrm>
                    <a:prstGeom prst="rect">
                      <a:avLst/>
                    </a:prstGeom>
                  </pic:spPr>
                </pic:pic>
              </a:graphicData>
            </a:graphic>
          </wp:inline>
        </w:drawing>
      </w:r>
      <w:r>
        <w:rPr>
          <w:rFonts w:ascii="Times New Roman"/>
          <w:sz w:val="20"/>
        </w:rPr>
      </w: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2"/>
        <w:ind w:left="0"/>
        <w:jc w:val="left"/>
        <w:rPr>
          <w:rFonts w:ascii="Times New Roman"/>
          <w:sz w:val="23"/>
        </w:rPr>
      </w:pPr>
    </w:p>
    <w:p>
      <w:pPr>
        <w:pStyle w:val="BodyText"/>
        <w:spacing w:before="98"/>
        <w:ind w:left="605"/>
        <w:jc w:val="left"/>
      </w:pPr>
      <w:r>
        <w:rPr/>
        <w:t>Клинические рекомендации</w:t>
      </w:r>
    </w:p>
    <w:p>
      <w:pPr>
        <w:pStyle w:val="BodyText"/>
        <w:spacing w:before="0"/>
        <w:ind w:left="0"/>
        <w:jc w:val="left"/>
        <w:rPr>
          <w:sz w:val="36"/>
        </w:rPr>
      </w:pPr>
    </w:p>
    <w:p>
      <w:pPr>
        <w:pStyle w:val="Heading1"/>
        <w:spacing w:line="177" w:lineRule="auto" w:before="261"/>
        <w:ind w:left="605"/>
      </w:pPr>
      <w:r>
        <w:rPr/>
        <w:t>Артериальная гипертензия у взрослых</w:t>
      </w:r>
    </w:p>
    <w:p>
      <w:pPr>
        <w:pStyle w:val="BodyText"/>
        <w:spacing w:before="0"/>
        <w:ind w:left="0"/>
        <w:jc w:val="left"/>
        <w:rPr>
          <w:b/>
          <w:sz w:val="64"/>
        </w:rPr>
      </w:pPr>
    </w:p>
    <w:p>
      <w:pPr>
        <w:pStyle w:val="BodyText"/>
        <w:spacing w:before="10"/>
        <w:ind w:left="0"/>
        <w:jc w:val="left"/>
        <w:rPr>
          <w:b/>
          <w:sz w:val="51"/>
        </w:rPr>
      </w:pPr>
    </w:p>
    <w:p>
      <w:pPr>
        <w:spacing w:before="0"/>
        <w:ind w:left="605" w:right="0" w:firstLine="0"/>
        <w:jc w:val="left"/>
        <w:rPr>
          <w:b/>
          <w:sz w:val="27"/>
        </w:rPr>
      </w:pPr>
      <w:r>
        <w:rPr>
          <w:w w:val="110"/>
          <w:sz w:val="27"/>
        </w:rPr>
        <w:t>МКБ 10: </w:t>
      </w:r>
      <w:r>
        <w:rPr>
          <w:b/>
          <w:w w:val="110"/>
          <w:sz w:val="27"/>
        </w:rPr>
        <w:t>I10/ I11/ I12/ I13/ I15</w:t>
      </w:r>
    </w:p>
    <w:p>
      <w:pPr>
        <w:pStyle w:val="BodyText"/>
        <w:spacing w:before="56"/>
        <w:ind w:left="605"/>
        <w:jc w:val="left"/>
        <w:rPr>
          <w:b/>
        </w:rPr>
      </w:pPr>
      <w:r>
        <w:rPr/>
        <w:t>Год утверждения (частота пересмотра):</w:t>
      </w:r>
      <w:r>
        <w:rPr>
          <w:b/>
        </w:rPr>
        <w:t>2020</w:t>
      </w:r>
    </w:p>
    <w:p>
      <w:pPr>
        <w:pStyle w:val="BodyText"/>
        <w:spacing w:before="9"/>
        <w:ind w:left="0"/>
        <w:jc w:val="left"/>
        <w:rPr>
          <w:b/>
          <w:sz w:val="48"/>
        </w:rPr>
      </w:pPr>
    </w:p>
    <w:p>
      <w:pPr>
        <w:spacing w:before="0"/>
        <w:ind w:left="605" w:right="0" w:firstLine="0"/>
        <w:jc w:val="left"/>
        <w:rPr>
          <w:b/>
          <w:sz w:val="27"/>
        </w:rPr>
      </w:pPr>
      <w:r>
        <w:rPr>
          <w:w w:val="105"/>
          <w:sz w:val="27"/>
        </w:rPr>
        <w:t>ID: </w:t>
      </w:r>
      <w:r>
        <w:rPr>
          <w:b/>
          <w:w w:val="105"/>
          <w:sz w:val="27"/>
        </w:rPr>
        <w:t>КР62</w:t>
      </w:r>
    </w:p>
    <w:p>
      <w:pPr>
        <w:pStyle w:val="BodyText"/>
        <w:spacing w:before="56"/>
        <w:ind w:left="605"/>
        <w:jc w:val="left"/>
      </w:pPr>
      <w:r>
        <w:rPr/>
        <w:t>URL</w:t>
      </w:r>
    </w:p>
    <w:p>
      <w:pPr>
        <w:pStyle w:val="BodyText"/>
        <w:spacing w:before="8"/>
        <w:ind w:left="0"/>
        <w:jc w:val="left"/>
        <w:rPr>
          <w:sz w:val="48"/>
        </w:rPr>
      </w:pPr>
    </w:p>
    <w:p>
      <w:pPr>
        <w:pStyle w:val="BodyText"/>
        <w:spacing w:before="0"/>
        <w:ind w:left="605"/>
        <w:jc w:val="left"/>
      </w:pPr>
      <w:r>
        <w:rPr/>
        <w:t>Профессиональные ассоциации</w:t>
      </w:r>
    </w:p>
    <w:p>
      <w:pPr>
        <w:pStyle w:val="Heading3"/>
        <w:spacing w:before="266"/>
        <w:ind w:left="920"/>
      </w:pPr>
      <w:r>
        <w:rPr/>
        <w:pict>
          <v:shape style="position:absolute;margin-left:102.793175pt;margin-top:20.719522pt;width:4.55pt;height:4.55pt;mso-position-horizontal-relative:page;mso-position-vertical-relative:paragraph;z-index:15728640" coordorigin="2056,414" coordsize="91,91" path="m2113,504l2088,504,2078,500,2060,482,2056,472,2056,447,2060,436,2078,419,2088,414,2113,414,2124,419,2142,436,2146,447,2146,459,2146,472,2142,482,2124,500,2113,504xe" filled="true" fillcolor="#000000" stroked="false">
            <v:path arrowok="t"/>
            <v:fill type="solid"/>
            <w10:wrap type="none"/>
          </v:shape>
        </w:pict>
      </w:r>
      <w:r>
        <w:rPr/>
        <w:t>Российское кардиологическое общество</w:t>
      </w:r>
    </w:p>
    <w:p>
      <w:pPr>
        <w:pStyle w:val="BodyText"/>
        <w:spacing w:before="236"/>
        <w:ind w:left="605"/>
        <w:jc w:val="left"/>
      </w:pPr>
      <w:r>
        <w:rPr/>
        <w:t>Одобрено Научно-практическим Советом Минздрава РФ</w:t>
      </w:r>
    </w:p>
    <w:p>
      <w:pPr>
        <w:spacing w:after="0"/>
        <w:jc w:val="left"/>
        <w:sectPr>
          <w:type w:val="continuous"/>
          <w:pgSz w:w="11900" w:h="16840"/>
          <w:pgMar w:top="1600" w:bottom="280" w:left="1420" w:right="1520"/>
        </w:sectPr>
      </w:pPr>
    </w:p>
    <w:p>
      <w:pPr>
        <w:pStyle w:val="BodyText"/>
        <w:spacing w:before="11"/>
        <w:ind w:left="0"/>
        <w:jc w:val="left"/>
        <w:rPr>
          <w:sz w:val="14"/>
        </w:rPr>
      </w:pPr>
    </w:p>
    <w:p>
      <w:pPr>
        <w:spacing w:after="0"/>
        <w:jc w:val="left"/>
        <w:rPr>
          <w:sz w:val="14"/>
        </w:rPr>
        <w:sectPr>
          <w:pgSz w:w="11900" w:h="16840"/>
          <w:pgMar w:top="1600" w:bottom="280" w:left="1420" w:right="1520"/>
        </w:sectPr>
      </w:pPr>
    </w:p>
    <w:p>
      <w:pPr>
        <w:pStyle w:val="Heading1"/>
        <w:spacing w:line="614" w:lineRule="exact"/>
      </w:pPr>
      <w:r>
        <w:rPr/>
        <w:t>Оглавление</w:t>
      </w:r>
    </w:p>
    <w:p>
      <w:pPr>
        <w:pStyle w:val="Heading3"/>
        <w:spacing w:line="331" w:lineRule="exact" w:before="0"/>
      </w:pPr>
      <w:r>
        <w:rPr/>
        <w:pict>
          <v:shape style="position:absolute;margin-left:91.538452pt;margin-top:5.74534pt;width:4.55pt;height:4.55pt;mso-position-horizontal-relative:page;mso-position-vertical-relative:paragraph;z-index:15729152" coordorigin="1831,115" coordsize="91,91" path="m1888,205l1863,205,1853,201,1835,183,1831,172,1831,147,1835,137,1853,119,1863,115,1888,115,1899,119,1916,137,1921,147,1921,160,1921,172,1916,183,1899,201,1888,205xe" filled="true" fillcolor="#000000" stroked="false">
            <v:path arrowok="t"/>
            <v:fill type="solid"/>
            <w10:wrap type="none"/>
          </v:shape>
        </w:pict>
      </w:r>
      <w:r>
        <w:rPr/>
        <w:t>Ключевые слова</w:t>
      </w:r>
    </w:p>
    <w:p>
      <w:pPr>
        <w:spacing w:line="256" w:lineRule="auto" w:before="26"/>
        <w:ind w:left="695" w:right="4496" w:firstLine="0"/>
        <w:jc w:val="left"/>
        <w:rPr>
          <w:b/>
          <w:sz w:val="27"/>
        </w:rPr>
      </w:pPr>
      <w:r>
        <w:rPr/>
        <w:pict>
          <v:shape style="position:absolute;margin-left:91.538452pt;margin-top:8.719552pt;width:4.55pt;height:4.55pt;mso-position-horizontal-relative:page;mso-position-vertical-relative:paragraph;z-index:15729664"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pict>
          <v:shape style="position:absolute;margin-left:91.538452pt;margin-top:28.227749pt;width:4.55pt;height:4.55pt;mso-position-horizontal-relative:page;mso-position-vertical-relative:paragraph;z-index:15730176" coordorigin="1831,565" coordsize="91,91" path="m1888,655l1863,655,1853,650,1835,633,1831,622,1831,597,1835,587,1853,569,1863,565,1888,565,1899,569,1916,587,1921,597,1921,610,1921,622,1916,633,1899,650,1888,655xe" filled="true" fillcolor="#000000" stroked="false">
            <v:path arrowok="t"/>
            <v:fill type="solid"/>
            <w10:wrap type="none"/>
          </v:shape>
        </w:pict>
      </w:r>
      <w:r>
        <w:rPr>
          <w:b/>
          <w:sz w:val="27"/>
        </w:rPr>
        <w:t>Список сокращений Термины и определения</w:t>
      </w:r>
    </w:p>
    <w:p>
      <w:pPr>
        <w:pStyle w:val="Heading3"/>
        <w:numPr>
          <w:ilvl w:val="0"/>
          <w:numId w:val="1"/>
        </w:numPr>
        <w:tabs>
          <w:tab w:pos="1002" w:val="left" w:leader="none"/>
        </w:tabs>
        <w:spacing w:line="240" w:lineRule="auto" w:before="1" w:after="0"/>
        <w:ind w:left="1001" w:right="0" w:hanging="307"/>
        <w:jc w:val="left"/>
      </w:pPr>
      <w:r>
        <w:rPr/>
        <w:pict>
          <v:shape style="position:absolute;margin-left:91.538452pt;margin-top:7.469527pt;width:4.55pt;height:4.55pt;mso-position-horizontal-relative:page;mso-position-vertical-relative:paragraph;z-index:15730688"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t>Краткая</w:t>
      </w:r>
      <w:r>
        <w:rPr>
          <w:spacing w:val="4"/>
        </w:rPr>
        <w:t> </w:t>
      </w:r>
      <w:r>
        <w:rPr/>
        <w:t>информация</w:t>
      </w:r>
    </w:p>
    <w:p>
      <w:pPr>
        <w:pStyle w:val="ListParagraph"/>
        <w:numPr>
          <w:ilvl w:val="0"/>
          <w:numId w:val="1"/>
        </w:numPr>
        <w:tabs>
          <w:tab w:pos="1002" w:val="left" w:leader="none"/>
        </w:tabs>
        <w:spacing w:line="240" w:lineRule="auto" w:before="26" w:after="0"/>
        <w:ind w:left="1001" w:right="0" w:hanging="307"/>
        <w:jc w:val="left"/>
        <w:rPr>
          <w:b/>
          <w:sz w:val="27"/>
        </w:rPr>
      </w:pPr>
      <w:r>
        <w:rPr/>
        <w:pict>
          <v:shape style="position:absolute;margin-left:91.538452pt;margin-top:8.719544pt;width:4.55pt;height:4.55pt;mso-position-horizontal-relative:page;mso-position-vertical-relative:paragraph;z-index:15731200"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b/>
          <w:sz w:val="27"/>
        </w:rPr>
        <w:t>Диагностика</w:t>
      </w:r>
    </w:p>
    <w:p>
      <w:pPr>
        <w:pStyle w:val="Heading3"/>
        <w:numPr>
          <w:ilvl w:val="0"/>
          <w:numId w:val="1"/>
        </w:numPr>
        <w:tabs>
          <w:tab w:pos="1002" w:val="left" w:leader="none"/>
        </w:tabs>
        <w:spacing w:line="240" w:lineRule="auto" w:before="26" w:after="0"/>
        <w:ind w:left="1001" w:right="0" w:hanging="307"/>
        <w:jc w:val="left"/>
      </w:pPr>
      <w:r>
        <w:rPr/>
        <w:pict>
          <v:shape style="position:absolute;margin-left:91.538452pt;margin-top:8.719501pt;width:4.55pt;height:4.55pt;mso-position-horizontal-relative:page;mso-position-vertical-relative:paragraph;z-index:15731712"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t>Лечение</w:t>
      </w:r>
    </w:p>
    <w:p>
      <w:pPr>
        <w:pStyle w:val="ListParagraph"/>
        <w:numPr>
          <w:ilvl w:val="0"/>
          <w:numId w:val="1"/>
        </w:numPr>
        <w:tabs>
          <w:tab w:pos="1002" w:val="left" w:leader="none"/>
        </w:tabs>
        <w:spacing w:line="240" w:lineRule="auto" w:before="26" w:after="0"/>
        <w:ind w:left="1001" w:right="0" w:hanging="307"/>
        <w:jc w:val="left"/>
        <w:rPr>
          <w:b/>
          <w:sz w:val="27"/>
        </w:rPr>
      </w:pPr>
      <w:r>
        <w:rPr/>
        <w:pict>
          <v:shape style="position:absolute;margin-left:91.538452pt;margin-top:8.719519pt;width:4.55pt;height:4.55pt;mso-position-horizontal-relative:page;mso-position-vertical-relative:paragraph;z-index:15732224"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b/>
          <w:sz w:val="27"/>
        </w:rPr>
        <w:t>Реабилитация</w:t>
      </w:r>
    </w:p>
    <w:p>
      <w:pPr>
        <w:pStyle w:val="Heading3"/>
        <w:numPr>
          <w:ilvl w:val="0"/>
          <w:numId w:val="1"/>
        </w:numPr>
        <w:tabs>
          <w:tab w:pos="1002" w:val="left" w:leader="none"/>
        </w:tabs>
        <w:spacing w:line="240" w:lineRule="auto" w:before="26" w:after="0"/>
        <w:ind w:left="1001" w:right="0" w:hanging="307"/>
        <w:jc w:val="left"/>
      </w:pPr>
      <w:r>
        <w:rPr/>
        <w:pict>
          <v:shape style="position:absolute;margin-left:91.538452pt;margin-top:8.719537pt;width:4.55pt;height:4.55pt;mso-position-horizontal-relative:page;mso-position-vertical-relative:paragraph;z-index:15732736"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t>Профилактика</w:t>
      </w:r>
    </w:p>
    <w:p>
      <w:pPr>
        <w:pStyle w:val="ListParagraph"/>
        <w:numPr>
          <w:ilvl w:val="0"/>
          <w:numId w:val="1"/>
        </w:numPr>
        <w:tabs>
          <w:tab w:pos="1044" w:val="left" w:leader="none"/>
        </w:tabs>
        <w:spacing w:line="256" w:lineRule="auto" w:before="25" w:after="0"/>
        <w:ind w:left="695" w:right="135" w:firstLine="0"/>
        <w:jc w:val="left"/>
        <w:rPr>
          <w:b/>
          <w:sz w:val="27"/>
        </w:rPr>
      </w:pPr>
      <w:r>
        <w:rPr/>
        <w:pict>
          <v:shape style="position:absolute;margin-left:91.538452pt;margin-top:8.669494pt;width:4.55pt;height:4.55pt;mso-position-horizontal-relative:page;mso-position-vertical-relative:paragraph;z-index:15733248" coordorigin="1831,173" coordsize="91,91" path="m1888,263l1863,263,1853,259,1835,241,1831,231,1831,206,1835,195,1853,178,1863,173,1888,173,1899,178,1916,195,1921,206,1921,218,1921,231,1916,241,1899,259,1888,263xe" filled="true" fillcolor="#000000" stroked="false">
            <v:path arrowok="t"/>
            <v:fill type="solid"/>
            <w10:wrap type="none"/>
          </v:shape>
        </w:pict>
      </w:r>
      <w:r>
        <w:rPr>
          <w:b/>
          <w:sz w:val="27"/>
        </w:rPr>
        <w:t>Дополнительная информация, влияющая на течение и </w:t>
      </w:r>
      <w:r>
        <w:rPr>
          <w:b/>
          <w:spacing w:val="-4"/>
          <w:sz w:val="27"/>
        </w:rPr>
        <w:t>исход</w:t>
      </w:r>
      <w:r>
        <w:rPr>
          <w:b/>
          <w:spacing w:val="5"/>
          <w:sz w:val="27"/>
        </w:rPr>
        <w:t> </w:t>
      </w:r>
      <w:r>
        <w:rPr>
          <w:b/>
          <w:sz w:val="27"/>
        </w:rPr>
        <w:t>заболевания</w:t>
      </w:r>
    </w:p>
    <w:p>
      <w:pPr>
        <w:pStyle w:val="Heading3"/>
        <w:spacing w:line="256" w:lineRule="auto" w:before="1"/>
        <w:ind w:right="1390"/>
      </w:pPr>
      <w:r>
        <w:rPr/>
        <w:pict>
          <v:shape style="position:absolute;margin-left:91.538452pt;margin-top:7.469529pt;width:4.55pt;height:4.55pt;mso-position-horizontal-relative:page;mso-position-vertical-relative:paragraph;z-index:15733760"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pict>
          <v:shape style="position:absolute;margin-left:91.538452pt;margin-top:26.977726pt;width:4.55pt;height:4.55pt;mso-position-horizontal-relative:page;mso-position-vertical-relative:paragraph;z-index:15734272" coordorigin="1831,540" coordsize="91,91" path="m1888,630l1863,630,1853,625,1835,608,1831,597,1831,572,1835,562,1853,544,1863,540,1888,540,1899,544,1916,562,1921,572,1921,585,1921,597,1916,608,1899,625,1888,630xe" filled="true" fillcolor="#000000" stroked="false">
            <v:path arrowok="t"/>
            <v:fill type="solid"/>
            <w10:wrap type="none"/>
          </v:shape>
        </w:pict>
      </w:r>
      <w:r>
        <w:rPr/>
        <w:t>Критерии оценки качества медицинской помощи Список литературы</w:t>
      </w:r>
    </w:p>
    <w:p>
      <w:pPr>
        <w:spacing w:before="1"/>
        <w:ind w:left="695" w:right="0" w:firstLine="0"/>
        <w:jc w:val="left"/>
        <w:rPr>
          <w:b/>
          <w:sz w:val="27"/>
        </w:rPr>
      </w:pPr>
      <w:r>
        <w:rPr/>
        <w:pict>
          <v:shape style="position:absolute;margin-left:91.538452pt;margin-top:7.469503pt;width:4.55pt;height:4.55pt;mso-position-horizontal-relative:page;mso-position-vertical-relative:paragraph;z-index:15734784"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b/>
          <w:sz w:val="27"/>
        </w:rPr>
        <w:t>Приложение А1. Состав рабочей группы</w:t>
      </w:r>
    </w:p>
    <w:p>
      <w:pPr>
        <w:pStyle w:val="Heading3"/>
        <w:tabs>
          <w:tab w:pos="2625" w:val="left" w:leader="none"/>
          <w:tab w:pos="3254" w:val="left" w:leader="none"/>
          <w:tab w:pos="5253" w:val="left" w:leader="none"/>
          <w:tab w:pos="7021" w:val="left" w:leader="none"/>
        </w:tabs>
        <w:spacing w:line="256" w:lineRule="auto" w:before="26"/>
        <w:ind w:right="141"/>
      </w:pPr>
      <w:r>
        <w:rPr/>
        <w:pict>
          <v:shape style="position:absolute;margin-left:91.538452pt;margin-top:8.719522pt;width:4.55pt;height:4.55pt;mso-position-horizontal-relative:page;mso-position-vertical-relative:paragraph;z-index:15735296"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t>Приложение</w:t>
        <w:tab/>
        <w:t>А2.</w:t>
        <w:tab/>
        <w:t>Методология</w:t>
        <w:tab/>
        <w:t>разработки</w:t>
        <w:tab/>
      </w:r>
      <w:r>
        <w:rPr>
          <w:spacing w:val="-1"/>
        </w:rPr>
        <w:t>клинических </w:t>
      </w:r>
      <w:r>
        <w:rPr/>
        <w:t>рекомендаций</w:t>
      </w:r>
    </w:p>
    <w:p>
      <w:pPr>
        <w:spacing w:line="256" w:lineRule="auto" w:before="1"/>
        <w:ind w:left="695" w:right="1966" w:firstLine="0"/>
        <w:jc w:val="left"/>
        <w:rPr>
          <w:b/>
          <w:sz w:val="27"/>
        </w:rPr>
      </w:pPr>
      <w:r>
        <w:rPr/>
        <w:pict>
          <v:shape style="position:absolute;margin-left:91.538452pt;margin-top:7.469526pt;width:4.55pt;height:4.55pt;mso-position-horizontal-relative:page;mso-position-vertical-relative:paragraph;z-index:15735808"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pict>
          <v:shape style="position:absolute;margin-left:91.538452pt;margin-top:26.977722pt;width:4.55pt;height:4.55pt;mso-position-horizontal-relative:page;mso-position-vertical-relative:paragraph;z-index:15736320" coordorigin="1831,540" coordsize="91,91" path="m1888,630l1863,630,1853,625,1835,608,1831,597,1831,572,1835,562,1853,544,1863,540,1888,540,1899,544,1916,562,1921,572,1921,585,1921,597,1916,608,1899,625,1888,630xe" filled="true" fillcolor="#000000" stroked="false">
            <v:path arrowok="t"/>
            <v:fill type="solid"/>
            <w10:wrap type="none"/>
          </v:shape>
        </w:pict>
      </w:r>
      <w:r>
        <w:rPr/>
        <w:pict>
          <v:shape style="position:absolute;margin-left:91.538452pt;margin-top:46.48592pt;width:4.55pt;height:4.55pt;mso-position-horizontal-relative:page;mso-position-vertical-relative:paragraph;z-index:15736832" coordorigin="1831,930" coordsize="91,91" path="m1888,1020l1863,1020,1853,1015,1835,998,1831,987,1831,962,1835,952,1853,934,1863,930,1888,930,1899,934,1916,952,1921,962,1921,975,1921,987,1916,998,1899,1015,1888,1020xe" filled="true" fillcolor="#000000" stroked="false">
            <v:path arrowok="t"/>
            <v:fill type="solid"/>
            <w10:wrap type="none"/>
          </v:shape>
        </w:pict>
      </w:r>
      <w:r>
        <w:rPr/>
        <w:pict>
          <v:shape style="position:absolute;margin-left:91.538452pt;margin-top:65.994118pt;width:4.55pt;height:4.55pt;mso-position-horizontal-relative:page;mso-position-vertical-relative:paragraph;z-index:15737344" coordorigin="1831,1320" coordsize="91,91" path="m1888,1410l1863,1410,1853,1406,1835,1388,1831,1377,1831,1352,1835,1342,1853,1324,1863,1320,1888,1320,1899,1324,1916,1342,1921,1352,1921,1365,1921,1377,1916,1388,1899,1406,1888,1410xe" filled="true" fillcolor="#000000" stroked="false">
            <v:path arrowok="t"/>
            <v:fill type="solid"/>
            <w10:wrap type="none"/>
          </v:shape>
        </w:pict>
      </w:r>
      <w:r>
        <w:rPr>
          <w:b/>
          <w:sz w:val="27"/>
        </w:rPr>
        <w:t>Приложение А3. Связанные документы Приложение Б. Алгоритмы ведения пациента Приложение В. Информация для пациентов Приложение</w:t>
      </w:r>
      <w:r>
        <w:rPr>
          <w:b/>
          <w:spacing w:val="4"/>
          <w:sz w:val="27"/>
        </w:rPr>
        <w:t> </w:t>
      </w:r>
      <w:r>
        <w:rPr>
          <w:b/>
          <w:sz w:val="27"/>
        </w:rPr>
        <w:t>Г.</w:t>
      </w:r>
    </w:p>
    <w:p>
      <w:pPr>
        <w:spacing w:after="0" w:line="256" w:lineRule="auto"/>
        <w:jc w:val="left"/>
        <w:rPr>
          <w:sz w:val="27"/>
        </w:rPr>
        <w:sectPr>
          <w:pgSz w:w="11900" w:h="16840"/>
          <w:pgMar w:top="600" w:bottom="280" w:left="1420" w:right="1520"/>
        </w:sectPr>
      </w:pPr>
    </w:p>
    <w:p>
      <w:pPr>
        <w:pStyle w:val="Heading1"/>
      </w:pPr>
      <w:r>
        <w:rPr/>
        <w:t>Ключевые слова</w:t>
      </w:r>
    </w:p>
    <w:p>
      <w:pPr>
        <w:spacing w:after="0"/>
        <w:sectPr>
          <w:pgSz w:w="11900" w:h="16840"/>
          <w:pgMar w:top="600" w:bottom="280" w:left="1420" w:right="1520"/>
        </w:sectPr>
      </w:pPr>
    </w:p>
    <w:p>
      <w:pPr>
        <w:spacing w:before="66"/>
        <w:ind w:left="380" w:right="0" w:firstLine="0"/>
        <w:jc w:val="left"/>
        <w:rPr>
          <w:b/>
          <w:sz w:val="48"/>
        </w:rPr>
      </w:pPr>
      <w:r>
        <w:rPr>
          <w:b/>
          <w:sz w:val="48"/>
        </w:rPr>
        <w:t>Список сокращений</w:t>
      </w:r>
    </w:p>
    <w:p>
      <w:pPr>
        <w:pStyle w:val="BodyText"/>
        <w:spacing w:before="384"/>
        <w:ind w:left="380"/>
        <w:jc w:val="left"/>
      </w:pPr>
      <w:r>
        <w:rPr/>
        <w:t>АГ — артериальная гипертензия</w:t>
      </w:r>
    </w:p>
    <w:p>
      <w:pPr>
        <w:pStyle w:val="BodyText"/>
        <w:spacing w:before="296"/>
        <w:ind w:left="380"/>
        <w:jc w:val="left"/>
      </w:pPr>
      <w:r>
        <w:rPr/>
        <w:t>АГП — антигипертензивные препараты</w:t>
      </w:r>
    </w:p>
    <w:p>
      <w:pPr>
        <w:pStyle w:val="BodyText"/>
        <w:spacing w:line="434" w:lineRule="auto" w:before="296"/>
        <w:ind w:left="380" w:right="2035"/>
        <w:jc w:val="left"/>
      </w:pPr>
      <w:r>
        <w:rPr/>
        <w:t>АГТ — антигипертензивная лекарственная терапия АГЭ — антигипертензивный эффект</w:t>
      </w:r>
    </w:p>
    <w:p>
      <w:pPr>
        <w:pStyle w:val="BodyText"/>
        <w:ind w:left="380"/>
        <w:jc w:val="left"/>
      </w:pPr>
      <w:r>
        <w:rPr/>
        <w:t>АД — артериальное давление</w:t>
      </w:r>
    </w:p>
    <w:p>
      <w:pPr>
        <w:pStyle w:val="BodyText"/>
        <w:spacing w:before="296"/>
        <w:ind w:left="380"/>
        <w:jc w:val="left"/>
      </w:pPr>
      <w:r>
        <w:rPr/>
        <w:t>АИР — агонисты имидазолиновых рецепторов</w:t>
      </w:r>
    </w:p>
    <w:p>
      <w:pPr>
        <w:pStyle w:val="BodyText"/>
        <w:spacing w:line="434" w:lineRule="auto" w:before="296"/>
        <w:ind w:left="380" w:right="608"/>
        <w:jc w:val="left"/>
      </w:pPr>
      <w:r>
        <w:rPr/>
        <w:t>АК — антагонисты кальция (блокаторы кальциевых каналов) АКС — ассоциированное клиническое состояние</w:t>
      </w:r>
    </w:p>
    <w:p>
      <w:pPr>
        <w:pStyle w:val="BodyText"/>
        <w:spacing w:before="2"/>
        <w:ind w:left="380"/>
        <w:jc w:val="left"/>
      </w:pPr>
      <w:r>
        <w:rPr/>
        <w:t>АЛТ — аланинаминотрансфераза</w:t>
      </w:r>
    </w:p>
    <w:p>
      <w:pPr>
        <w:pStyle w:val="BodyText"/>
        <w:spacing w:line="434" w:lineRule="auto" w:before="296"/>
        <w:ind w:left="380" w:right="1017"/>
        <w:jc w:val="left"/>
      </w:pPr>
      <w:r>
        <w:rPr/>
        <w:t>АМКР — антагонисты минералокортикоидных рецепторов АПФ — ангиотензинпревращающий фермент</w:t>
      </w:r>
    </w:p>
    <w:p>
      <w:pPr>
        <w:pStyle w:val="BodyText"/>
        <w:spacing w:line="434" w:lineRule="auto" w:before="2"/>
        <w:ind w:left="380" w:right="4105"/>
        <w:jc w:val="left"/>
      </w:pPr>
      <w:r>
        <w:rPr>
          <w:spacing w:val="-8"/>
        </w:rPr>
        <w:t>АСТ </w:t>
      </w:r>
      <w:r>
        <w:rPr/>
        <w:t>— аспартатаминотрансфераза БА — бронхиальная астма</w:t>
      </w:r>
    </w:p>
    <w:p>
      <w:pPr>
        <w:pStyle w:val="BodyText"/>
        <w:spacing w:before="2"/>
        <w:ind w:left="380"/>
        <w:jc w:val="left"/>
      </w:pPr>
      <w:r>
        <w:rPr/>
        <w:t>ББ — бета-адреноблокатор</w:t>
      </w:r>
    </w:p>
    <w:p>
      <w:pPr>
        <w:pStyle w:val="BodyText"/>
        <w:spacing w:line="434" w:lineRule="auto" w:before="296"/>
        <w:ind w:left="380" w:right="3104"/>
        <w:jc w:val="left"/>
      </w:pPr>
      <w:r>
        <w:rPr/>
        <w:t>БРА — блокатор рецепторов ангиотензина БСК — болезни системы кровообращения ГБ — гипертоническая болезнь</w:t>
      </w:r>
    </w:p>
    <w:p>
      <w:pPr>
        <w:pStyle w:val="BodyText"/>
        <w:spacing w:line="434" w:lineRule="auto" w:before="3"/>
        <w:ind w:left="380" w:right="4496"/>
        <w:jc w:val="left"/>
      </w:pPr>
      <w:r>
        <w:rPr/>
        <w:t>ГК — гипертонический криз </w:t>
      </w:r>
      <w:r>
        <w:rPr>
          <w:spacing w:val="-3"/>
        </w:rPr>
        <w:t>ГКС </w:t>
      </w:r>
      <w:r>
        <w:rPr/>
        <w:t>— </w:t>
      </w:r>
      <w:r>
        <w:rPr>
          <w:spacing w:val="-3"/>
        </w:rPr>
        <w:t>глюкокортикостероиды</w:t>
      </w:r>
    </w:p>
    <w:p>
      <w:pPr>
        <w:pStyle w:val="BodyText"/>
        <w:spacing w:before="2"/>
        <w:ind w:left="380"/>
        <w:jc w:val="left"/>
      </w:pPr>
      <w:r>
        <w:rPr/>
        <w:t>ГЛЖ — гипертрофия левого желудочка</w:t>
      </w:r>
    </w:p>
    <w:p>
      <w:pPr>
        <w:pStyle w:val="BodyText"/>
        <w:spacing w:before="296"/>
        <w:ind w:left="380"/>
        <w:jc w:val="left"/>
      </w:pPr>
      <w:r>
        <w:rPr/>
        <w:t>ДАД — диастолическое артериальное давление</w:t>
      </w:r>
    </w:p>
    <w:p>
      <w:pPr>
        <w:pStyle w:val="BodyText"/>
        <w:spacing w:before="296"/>
        <w:ind w:left="380"/>
        <w:jc w:val="left"/>
      </w:pPr>
      <w:r>
        <w:rPr/>
        <w:t>ДМАД — домашнее мониторирование артериального давления</w:t>
      </w:r>
    </w:p>
    <w:p>
      <w:pPr>
        <w:spacing w:after="0"/>
        <w:jc w:val="left"/>
        <w:sectPr>
          <w:pgSz w:w="11900" w:h="16840"/>
          <w:pgMar w:top="600" w:bottom="280" w:left="1420" w:right="1520"/>
        </w:sectPr>
      </w:pPr>
    </w:p>
    <w:p>
      <w:pPr>
        <w:pStyle w:val="BodyText"/>
        <w:spacing w:line="256" w:lineRule="auto" w:before="16"/>
        <w:ind w:left="380"/>
        <w:jc w:val="left"/>
      </w:pPr>
      <w:r>
        <w:rPr/>
        <w:t>ЕОК/ЕОАГ — Европейское общество кардиологов/Европейское общество артериальной гипертонии</w:t>
      </w:r>
    </w:p>
    <w:p>
      <w:pPr>
        <w:pStyle w:val="BodyText"/>
        <w:spacing w:line="434" w:lineRule="auto" w:before="271"/>
        <w:ind w:left="380" w:right="239"/>
        <w:jc w:val="left"/>
      </w:pPr>
      <w:r>
        <w:rPr/>
        <w:t>ИААГ</w:t>
      </w:r>
      <w:r>
        <w:rPr>
          <w:spacing w:val="-29"/>
        </w:rPr>
        <w:t> </w:t>
      </w:r>
      <w:r>
        <w:rPr/>
        <w:t>—</w:t>
      </w:r>
      <w:r>
        <w:rPr>
          <w:spacing w:val="-29"/>
        </w:rPr>
        <w:t> </w:t>
      </w:r>
      <w:r>
        <w:rPr/>
        <w:t>изолированная</w:t>
      </w:r>
      <w:r>
        <w:rPr>
          <w:spacing w:val="-28"/>
        </w:rPr>
        <w:t> </w:t>
      </w:r>
      <w:r>
        <w:rPr/>
        <w:t>амбулаторная</w:t>
      </w:r>
      <w:r>
        <w:rPr>
          <w:spacing w:val="-29"/>
        </w:rPr>
        <w:t> </w:t>
      </w:r>
      <w:r>
        <w:rPr/>
        <w:t>артериальная</w:t>
      </w:r>
      <w:r>
        <w:rPr>
          <w:spacing w:val="-28"/>
        </w:rPr>
        <w:t> </w:t>
      </w:r>
      <w:r>
        <w:rPr/>
        <w:t>гипертензия ИАПФ — ингибитор ангиотензинпревращающего</w:t>
      </w:r>
      <w:r>
        <w:rPr>
          <w:spacing w:val="-33"/>
        </w:rPr>
        <w:t> </w:t>
      </w:r>
      <w:r>
        <w:rPr/>
        <w:t>фермента</w:t>
      </w:r>
    </w:p>
    <w:p>
      <w:pPr>
        <w:pStyle w:val="BodyText"/>
        <w:spacing w:before="2"/>
        <w:ind w:left="380"/>
        <w:jc w:val="left"/>
      </w:pPr>
      <w:r>
        <w:rPr/>
        <w:t>ИБС — ишемическая болезнь сердца</w:t>
      </w:r>
    </w:p>
    <w:p>
      <w:pPr>
        <w:pStyle w:val="BodyText"/>
        <w:spacing w:line="434" w:lineRule="auto" w:before="296"/>
        <w:ind w:left="380" w:right="1752"/>
        <w:jc w:val="left"/>
      </w:pPr>
      <w:r>
        <w:rPr/>
        <w:t>ИММЛЖ</w:t>
      </w:r>
      <w:r>
        <w:rPr>
          <w:spacing w:val="-19"/>
        </w:rPr>
        <w:t> </w:t>
      </w:r>
      <w:r>
        <w:rPr/>
        <w:t>—</w:t>
      </w:r>
      <w:r>
        <w:rPr>
          <w:spacing w:val="-18"/>
        </w:rPr>
        <w:t> </w:t>
      </w:r>
      <w:r>
        <w:rPr/>
        <w:t>индекс</w:t>
      </w:r>
      <w:r>
        <w:rPr>
          <w:spacing w:val="-18"/>
        </w:rPr>
        <w:t> </w:t>
      </w:r>
      <w:r>
        <w:rPr/>
        <w:t>массы</w:t>
      </w:r>
      <w:r>
        <w:rPr>
          <w:spacing w:val="-18"/>
        </w:rPr>
        <w:t> </w:t>
      </w:r>
      <w:r>
        <w:rPr/>
        <w:t>миокарда</w:t>
      </w:r>
      <w:r>
        <w:rPr>
          <w:spacing w:val="-18"/>
        </w:rPr>
        <w:t> </w:t>
      </w:r>
      <w:r>
        <w:rPr/>
        <w:t>левого</w:t>
      </w:r>
      <w:r>
        <w:rPr>
          <w:spacing w:val="-18"/>
        </w:rPr>
        <w:t> </w:t>
      </w:r>
      <w:r>
        <w:rPr>
          <w:spacing w:val="-3"/>
        </w:rPr>
        <w:t>желудочка </w:t>
      </w:r>
      <w:r>
        <w:rPr/>
        <w:t>ИМТ — индекс массы</w:t>
      </w:r>
      <w:r>
        <w:rPr>
          <w:spacing w:val="-11"/>
        </w:rPr>
        <w:t> </w:t>
      </w:r>
      <w:r>
        <w:rPr/>
        <w:t>тела</w:t>
      </w:r>
    </w:p>
    <w:p>
      <w:pPr>
        <w:pStyle w:val="BodyText"/>
        <w:spacing w:line="434" w:lineRule="auto" w:before="2"/>
        <w:ind w:left="380" w:right="191"/>
        <w:jc w:val="left"/>
      </w:pPr>
      <w:r>
        <w:rPr/>
        <w:t>ИСАГ</w:t>
      </w:r>
      <w:r>
        <w:rPr>
          <w:spacing w:val="-23"/>
        </w:rPr>
        <w:t> </w:t>
      </w:r>
      <w:r>
        <w:rPr/>
        <w:t>—</w:t>
      </w:r>
      <w:r>
        <w:rPr>
          <w:spacing w:val="-22"/>
        </w:rPr>
        <w:t> </w:t>
      </w:r>
      <w:r>
        <w:rPr/>
        <w:t>изолированная</w:t>
      </w:r>
      <w:r>
        <w:rPr>
          <w:spacing w:val="-22"/>
        </w:rPr>
        <w:t> </w:t>
      </w:r>
      <w:r>
        <w:rPr/>
        <w:t>систолическая</w:t>
      </w:r>
      <w:r>
        <w:rPr>
          <w:spacing w:val="-22"/>
        </w:rPr>
        <w:t> </w:t>
      </w:r>
      <w:r>
        <w:rPr/>
        <w:t>артериальная</w:t>
      </w:r>
      <w:r>
        <w:rPr>
          <w:spacing w:val="-22"/>
        </w:rPr>
        <w:t> </w:t>
      </w:r>
      <w:r>
        <w:rPr/>
        <w:t>гипертензия КТ — компьютерная</w:t>
      </w:r>
      <w:r>
        <w:rPr>
          <w:spacing w:val="-10"/>
        </w:rPr>
        <w:t> </w:t>
      </w:r>
      <w:r>
        <w:rPr/>
        <w:t>томография</w:t>
      </w:r>
    </w:p>
    <w:p>
      <w:pPr>
        <w:pStyle w:val="BodyText"/>
        <w:spacing w:line="434" w:lineRule="auto" w:before="2"/>
        <w:ind w:left="380" w:right="5506"/>
        <w:jc w:val="left"/>
      </w:pPr>
      <w:r>
        <w:rPr/>
        <w:t>ЛЖ — левый</w:t>
      </w:r>
      <w:r>
        <w:rPr>
          <w:spacing w:val="-51"/>
        </w:rPr>
        <w:t> </w:t>
      </w:r>
      <w:r>
        <w:rPr>
          <w:spacing w:val="-5"/>
        </w:rPr>
        <w:t>желудочек </w:t>
      </w:r>
      <w:r>
        <w:rPr/>
        <w:t>ЛП — левое предсердие</w:t>
      </w:r>
    </w:p>
    <w:p>
      <w:pPr>
        <w:pStyle w:val="BodyText"/>
        <w:spacing w:before="2"/>
        <w:ind w:left="380"/>
        <w:jc w:val="left"/>
      </w:pPr>
      <w:r>
        <w:rPr/>
        <w:t>ЛПИ — лодыжечно-плечевой индекс</w:t>
      </w:r>
    </w:p>
    <w:p>
      <w:pPr>
        <w:pStyle w:val="BodyText"/>
        <w:spacing w:line="434" w:lineRule="auto" w:before="296"/>
        <w:ind w:left="380" w:right="2925"/>
        <w:jc w:val="left"/>
      </w:pPr>
      <w:r>
        <w:rPr/>
        <w:t>МРТ — магнитно-резонансная </w:t>
      </w:r>
      <w:r>
        <w:rPr>
          <w:spacing w:val="-3"/>
        </w:rPr>
        <w:t>томография </w:t>
      </w:r>
      <w:r>
        <w:rPr/>
        <w:t>МС — метаболический</w:t>
      </w:r>
      <w:r>
        <w:rPr>
          <w:spacing w:val="-15"/>
        </w:rPr>
        <w:t> </w:t>
      </w:r>
      <w:r>
        <w:rPr/>
        <w:t>синдром</w:t>
      </w:r>
    </w:p>
    <w:p>
      <w:pPr>
        <w:pStyle w:val="BodyText"/>
        <w:spacing w:line="434" w:lineRule="auto" w:before="2"/>
        <w:ind w:left="380" w:right="2925"/>
        <w:jc w:val="left"/>
      </w:pPr>
      <w:r>
        <w:rPr/>
        <w:t>НТГ — нарушенная толерантность к</w:t>
      </w:r>
      <w:r>
        <w:rPr>
          <w:spacing w:val="-38"/>
        </w:rPr>
        <w:t> </w:t>
      </w:r>
      <w:r>
        <w:rPr>
          <w:spacing w:val="-4"/>
        </w:rPr>
        <w:t>глюкозе </w:t>
      </w:r>
      <w:r>
        <w:rPr/>
        <w:t>ОК — оральные</w:t>
      </w:r>
      <w:r>
        <w:rPr>
          <w:spacing w:val="-10"/>
        </w:rPr>
        <w:t> </w:t>
      </w:r>
      <w:r>
        <w:rPr/>
        <w:t>контрацептивы</w:t>
      </w:r>
    </w:p>
    <w:p>
      <w:pPr>
        <w:pStyle w:val="BodyText"/>
        <w:spacing w:before="2"/>
        <w:ind w:left="380"/>
        <w:jc w:val="left"/>
      </w:pPr>
      <w:r>
        <w:rPr/>
        <w:t>ОКС — острый коронарный синдром</w:t>
      </w:r>
    </w:p>
    <w:p>
      <w:pPr>
        <w:pStyle w:val="BodyText"/>
        <w:spacing w:line="434" w:lineRule="auto" w:before="296"/>
        <w:ind w:left="380" w:right="1045"/>
        <w:jc w:val="left"/>
      </w:pPr>
      <w:r>
        <w:rPr/>
        <w:t>ОПСС</w:t>
      </w:r>
      <w:r>
        <w:rPr>
          <w:spacing w:val="-27"/>
        </w:rPr>
        <w:t> </w:t>
      </w:r>
      <w:r>
        <w:rPr/>
        <w:t>—</w:t>
      </w:r>
      <w:r>
        <w:rPr>
          <w:spacing w:val="-26"/>
        </w:rPr>
        <w:t> </w:t>
      </w:r>
      <w:r>
        <w:rPr/>
        <w:t>общее</w:t>
      </w:r>
      <w:r>
        <w:rPr>
          <w:spacing w:val="-27"/>
        </w:rPr>
        <w:t> </w:t>
      </w:r>
      <w:r>
        <w:rPr/>
        <w:t>периферическое</w:t>
      </w:r>
      <w:r>
        <w:rPr>
          <w:spacing w:val="-26"/>
        </w:rPr>
        <w:t> </w:t>
      </w:r>
      <w:r>
        <w:rPr/>
        <w:t>сосудистое</w:t>
      </w:r>
      <w:r>
        <w:rPr>
          <w:spacing w:val="-26"/>
        </w:rPr>
        <w:t> </w:t>
      </w:r>
      <w:r>
        <w:rPr/>
        <w:t>сопротивление </w:t>
      </w:r>
      <w:r>
        <w:rPr>
          <w:spacing w:val="-6"/>
        </w:rPr>
        <w:t>ОХС </w:t>
      </w:r>
      <w:r>
        <w:rPr/>
        <w:t>— общий</w:t>
      </w:r>
      <w:r>
        <w:rPr>
          <w:spacing w:val="-5"/>
        </w:rPr>
        <w:t> </w:t>
      </w:r>
      <w:r>
        <w:rPr/>
        <w:t>холестерин</w:t>
      </w:r>
    </w:p>
    <w:p>
      <w:pPr>
        <w:pStyle w:val="BodyText"/>
        <w:spacing w:line="434" w:lineRule="auto" w:before="2"/>
        <w:ind w:left="380" w:right="3857"/>
        <w:jc w:val="left"/>
      </w:pPr>
      <w:r>
        <w:rPr/>
        <w:t>ОЦК</w:t>
      </w:r>
      <w:r>
        <w:rPr>
          <w:spacing w:val="-42"/>
        </w:rPr>
        <w:t> </w:t>
      </w:r>
      <w:r>
        <w:rPr/>
        <w:t>—</w:t>
      </w:r>
      <w:r>
        <w:rPr>
          <w:spacing w:val="-42"/>
        </w:rPr>
        <w:t> </w:t>
      </w:r>
      <w:r>
        <w:rPr/>
        <w:t>объем</w:t>
      </w:r>
      <w:r>
        <w:rPr>
          <w:spacing w:val="-42"/>
        </w:rPr>
        <w:t> </w:t>
      </w:r>
      <w:r>
        <w:rPr/>
        <w:t>циркулирующей</w:t>
      </w:r>
      <w:r>
        <w:rPr>
          <w:spacing w:val="-42"/>
        </w:rPr>
        <w:t> </w:t>
      </w:r>
      <w:r>
        <w:rPr>
          <w:spacing w:val="-3"/>
        </w:rPr>
        <w:t>крови </w:t>
      </w:r>
      <w:r>
        <w:rPr/>
        <w:t>ПД — пульсовое</w:t>
      </w:r>
      <w:r>
        <w:rPr>
          <w:spacing w:val="-12"/>
        </w:rPr>
        <w:t> </w:t>
      </w:r>
      <w:r>
        <w:rPr/>
        <w:t>давление</w:t>
      </w:r>
    </w:p>
    <w:p>
      <w:pPr>
        <w:pStyle w:val="BodyText"/>
        <w:spacing w:before="2"/>
        <w:ind w:left="380"/>
        <w:jc w:val="left"/>
      </w:pPr>
      <w:r>
        <w:rPr/>
        <w:t>ПОМ — поражение органов-мишеней</w:t>
      </w:r>
    </w:p>
    <w:p>
      <w:pPr>
        <w:pStyle w:val="BodyText"/>
        <w:spacing w:line="434" w:lineRule="auto" w:before="296"/>
        <w:ind w:left="380" w:right="1390"/>
        <w:jc w:val="left"/>
      </w:pPr>
      <w:r>
        <w:rPr/>
        <w:t>РААС — ренин-ангиотензин-альдостероновая система РКИ — рандомизированные клинические исследования РФ — Российская Федерация</w:t>
      </w:r>
    </w:p>
    <w:p>
      <w:pPr>
        <w:pStyle w:val="BodyText"/>
        <w:spacing w:before="3"/>
        <w:ind w:left="380"/>
        <w:jc w:val="left"/>
      </w:pPr>
      <w:r>
        <w:rPr/>
        <w:t>САД — систолическое артериальное давление</w:t>
      </w:r>
    </w:p>
    <w:p>
      <w:pPr>
        <w:spacing w:after="0"/>
        <w:jc w:val="left"/>
        <w:sectPr>
          <w:pgSz w:w="11900" w:h="16840"/>
          <w:pgMar w:top="0" w:bottom="0" w:left="1420" w:right="1520"/>
        </w:sectPr>
      </w:pPr>
    </w:p>
    <w:p>
      <w:pPr>
        <w:pStyle w:val="BodyText"/>
        <w:spacing w:line="434" w:lineRule="auto" w:before="16"/>
        <w:ind w:left="380" w:right="3749"/>
        <w:jc w:val="left"/>
      </w:pPr>
      <w:r>
        <w:rPr/>
        <w:t>САС — симпато-адреналовая система СД — сахарный диабет</w:t>
      </w:r>
    </w:p>
    <w:p>
      <w:pPr>
        <w:pStyle w:val="BodyText"/>
        <w:spacing w:before="2"/>
        <w:ind w:left="380"/>
        <w:jc w:val="left"/>
      </w:pPr>
      <w:r>
        <w:rPr/>
        <w:t>СКФ — скорость клубочковой фильтрации</w:t>
      </w:r>
    </w:p>
    <w:p>
      <w:pPr>
        <w:pStyle w:val="BodyText"/>
        <w:spacing w:line="434" w:lineRule="auto" w:before="296"/>
        <w:ind w:left="380" w:right="608"/>
        <w:jc w:val="left"/>
      </w:pPr>
      <w:r>
        <w:rPr/>
        <w:t>СМАД — суточное мониторирование артериального давления СНС — симпатическая нервная система</w:t>
      </w:r>
    </w:p>
    <w:p>
      <w:pPr>
        <w:pStyle w:val="BodyText"/>
        <w:spacing w:line="434" w:lineRule="auto" w:before="2"/>
        <w:ind w:left="380" w:right="1755"/>
        <w:jc w:val="left"/>
      </w:pPr>
      <w:r>
        <w:rPr>
          <w:spacing w:val="-10"/>
        </w:rPr>
        <w:t>СОАС </w:t>
      </w:r>
      <w:r>
        <w:rPr/>
        <w:t>— синдром обструктивного апноэ во время сна СПВ — скорость пульсовой волны</w:t>
      </w:r>
    </w:p>
    <w:p>
      <w:pPr>
        <w:pStyle w:val="BodyText"/>
        <w:spacing w:before="2"/>
        <w:ind w:left="380"/>
        <w:jc w:val="left"/>
      </w:pPr>
      <w:r>
        <w:rPr/>
        <w:t>СС — сердечно-сосудистый</w:t>
      </w:r>
    </w:p>
    <w:p>
      <w:pPr>
        <w:pStyle w:val="BodyText"/>
        <w:spacing w:line="434" w:lineRule="auto" w:before="296"/>
        <w:ind w:left="380" w:right="3352"/>
      </w:pPr>
      <w:r>
        <w:rPr>
          <w:spacing w:val="-3"/>
        </w:rPr>
        <w:t>ССЗ </w:t>
      </w:r>
      <w:r>
        <w:rPr/>
        <w:t>— сердечно-сосудистые</w:t>
      </w:r>
      <w:r>
        <w:rPr>
          <w:spacing w:val="-23"/>
        </w:rPr>
        <w:t> </w:t>
      </w:r>
      <w:r>
        <w:rPr/>
        <w:t>заболевания </w:t>
      </w:r>
      <w:r>
        <w:rPr>
          <w:spacing w:val="-5"/>
        </w:rPr>
        <w:t>ССО</w:t>
      </w:r>
      <w:r>
        <w:rPr>
          <w:spacing w:val="-20"/>
        </w:rPr>
        <w:t> </w:t>
      </w:r>
      <w:r>
        <w:rPr/>
        <w:t>—</w:t>
      </w:r>
      <w:r>
        <w:rPr>
          <w:spacing w:val="-20"/>
        </w:rPr>
        <w:t> </w:t>
      </w:r>
      <w:r>
        <w:rPr/>
        <w:t>сердечно-сосудистые</w:t>
      </w:r>
      <w:r>
        <w:rPr>
          <w:spacing w:val="-20"/>
        </w:rPr>
        <w:t> </w:t>
      </w:r>
      <w:r>
        <w:rPr/>
        <w:t>осложнения ТГ —</w:t>
      </w:r>
      <w:r>
        <w:rPr>
          <w:spacing w:val="-7"/>
        </w:rPr>
        <w:t> </w:t>
      </w:r>
      <w:r>
        <w:rPr/>
        <w:t>триглицериды</w:t>
      </w:r>
    </w:p>
    <w:p>
      <w:pPr>
        <w:pStyle w:val="BodyText"/>
        <w:spacing w:line="434" w:lineRule="auto" w:before="3"/>
        <w:ind w:left="380" w:right="2725"/>
        <w:jc w:val="left"/>
      </w:pPr>
      <w:r>
        <w:rPr/>
        <w:t>ТИА — транзиторная ишемическая атака УДД — уровень достоверности доказательств УЗИ — ультразвуковое исследование</w:t>
      </w:r>
    </w:p>
    <w:p>
      <w:pPr>
        <w:pStyle w:val="BodyText"/>
        <w:spacing w:line="434" w:lineRule="auto" w:before="3"/>
        <w:ind w:left="380" w:right="2563"/>
        <w:jc w:val="left"/>
      </w:pPr>
      <w:r>
        <w:rPr/>
        <w:t>УУР — уровень убедительности рекомендаций ФВ — фракция выброса</w:t>
      </w:r>
    </w:p>
    <w:p>
      <w:pPr>
        <w:pStyle w:val="BodyText"/>
        <w:spacing w:line="434" w:lineRule="auto" w:before="2"/>
        <w:ind w:left="380" w:right="4496"/>
        <w:jc w:val="left"/>
      </w:pPr>
      <w:r>
        <w:rPr/>
        <w:t>ФК — функциональный класс ФП</w:t>
      </w:r>
      <w:r>
        <w:rPr>
          <w:spacing w:val="-36"/>
        </w:rPr>
        <w:t> </w:t>
      </w:r>
      <w:r>
        <w:rPr/>
        <w:t>—</w:t>
      </w:r>
      <w:r>
        <w:rPr>
          <w:spacing w:val="-35"/>
        </w:rPr>
        <w:t> </w:t>
      </w:r>
      <w:r>
        <w:rPr/>
        <w:t>фибрилляция</w:t>
      </w:r>
      <w:r>
        <w:rPr>
          <w:spacing w:val="-36"/>
        </w:rPr>
        <w:t> </w:t>
      </w:r>
      <w:r>
        <w:rPr>
          <w:spacing w:val="-4"/>
        </w:rPr>
        <w:t>предсердий </w:t>
      </w:r>
      <w:r>
        <w:rPr/>
        <w:t>ФР — фактор</w:t>
      </w:r>
      <w:r>
        <w:rPr>
          <w:spacing w:val="-11"/>
        </w:rPr>
        <w:t> </w:t>
      </w:r>
      <w:r>
        <w:rPr/>
        <w:t>риска</w:t>
      </w:r>
    </w:p>
    <w:p>
      <w:pPr>
        <w:pStyle w:val="BodyText"/>
        <w:spacing w:before="3"/>
        <w:ind w:left="380"/>
        <w:jc w:val="left"/>
      </w:pPr>
      <w:r>
        <w:rPr/>
        <w:t>ХБП — хроническая болезнь почек</w:t>
      </w:r>
    </w:p>
    <w:p>
      <w:pPr>
        <w:pStyle w:val="BodyText"/>
        <w:spacing w:line="434" w:lineRule="auto" w:before="296"/>
        <w:ind w:left="380" w:right="1390"/>
        <w:jc w:val="left"/>
      </w:pPr>
      <w:r>
        <w:rPr/>
        <w:t>ХОБЛ — хроническая обструктивная болезнь легких ХПН — хроническая почечная недостаточность</w:t>
      </w:r>
    </w:p>
    <w:p>
      <w:pPr>
        <w:pStyle w:val="BodyText"/>
        <w:spacing w:line="434" w:lineRule="auto" w:before="2"/>
        <w:ind w:left="380" w:right="1234"/>
        <w:jc w:val="left"/>
      </w:pPr>
      <w:r>
        <w:rPr>
          <w:spacing w:val="-5"/>
        </w:rPr>
        <w:t>ХС</w:t>
      </w:r>
      <w:r>
        <w:rPr>
          <w:spacing w:val="-19"/>
        </w:rPr>
        <w:t> </w:t>
      </w:r>
      <w:r>
        <w:rPr/>
        <w:t>ЛВП</w:t>
      </w:r>
      <w:r>
        <w:rPr>
          <w:spacing w:val="-19"/>
        </w:rPr>
        <w:t> </w:t>
      </w:r>
      <w:r>
        <w:rPr/>
        <w:t>—</w:t>
      </w:r>
      <w:r>
        <w:rPr>
          <w:spacing w:val="-18"/>
        </w:rPr>
        <w:t> </w:t>
      </w:r>
      <w:r>
        <w:rPr/>
        <w:t>холестерин</w:t>
      </w:r>
      <w:r>
        <w:rPr>
          <w:spacing w:val="-19"/>
        </w:rPr>
        <w:t> </w:t>
      </w:r>
      <w:r>
        <w:rPr/>
        <w:t>липопротеинов</w:t>
      </w:r>
      <w:r>
        <w:rPr>
          <w:spacing w:val="-18"/>
        </w:rPr>
        <w:t> </w:t>
      </w:r>
      <w:r>
        <w:rPr/>
        <w:t>высокой</w:t>
      </w:r>
      <w:r>
        <w:rPr>
          <w:spacing w:val="-19"/>
        </w:rPr>
        <w:t> </w:t>
      </w:r>
      <w:r>
        <w:rPr/>
        <w:t>плотности </w:t>
      </w:r>
      <w:r>
        <w:rPr>
          <w:spacing w:val="-5"/>
        </w:rPr>
        <w:t>ХС</w:t>
      </w:r>
      <w:r>
        <w:rPr>
          <w:spacing w:val="-20"/>
        </w:rPr>
        <w:t> </w:t>
      </w:r>
      <w:r>
        <w:rPr/>
        <w:t>ЛНП</w:t>
      </w:r>
      <w:r>
        <w:rPr>
          <w:spacing w:val="-19"/>
        </w:rPr>
        <w:t> </w:t>
      </w:r>
      <w:r>
        <w:rPr/>
        <w:t>—</w:t>
      </w:r>
      <w:r>
        <w:rPr>
          <w:spacing w:val="-20"/>
        </w:rPr>
        <w:t> </w:t>
      </w:r>
      <w:r>
        <w:rPr/>
        <w:t>холестерин</w:t>
      </w:r>
      <w:r>
        <w:rPr>
          <w:spacing w:val="-19"/>
        </w:rPr>
        <w:t> </w:t>
      </w:r>
      <w:r>
        <w:rPr/>
        <w:t>липопротеинов</w:t>
      </w:r>
      <w:r>
        <w:rPr>
          <w:spacing w:val="-19"/>
        </w:rPr>
        <w:t> </w:t>
      </w:r>
      <w:r>
        <w:rPr/>
        <w:t>низкой</w:t>
      </w:r>
      <w:r>
        <w:rPr>
          <w:spacing w:val="-20"/>
        </w:rPr>
        <w:t> </w:t>
      </w:r>
      <w:r>
        <w:rPr/>
        <w:t>плотности </w:t>
      </w:r>
      <w:r>
        <w:rPr>
          <w:spacing w:val="-3"/>
        </w:rPr>
        <w:t>ХСН </w:t>
      </w:r>
      <w:r>
        <w:rPr/>
        <w:t>— хроническая сердечная</w:t>
      </w:r>
      <w:r>
        <w:rPr>
          <w:spacing w:val="-5"/>
        </w:rPr>
        <w:t> </w:t>
      </w:r>
      <w:r>
        <w:rPr/>
        <w:t>недостаточность</w:t>
      </w:r>
    </w:p>
    <w:p>
      <w:pPr>
        <w:spacing w:after="0" w:line="434" w:lineRule="auto"/>
        <w:jc w:val="left"/>
        <w:sectPr>
          <w:pgSz w:w="11900" w:h="16840"/>
          <w:pgMar w:top="0" w:bottom="280" w:left="1420" w:right="1520"/>
        </w:sectPr>
      </w:pPr>
    </w:p>
    <w:p>
      <w:pPr>
        <w:pStyle w:val="BodyText"/>
        <w:spacing w:line="434" w:lineRule="auto" w:before="16"/>
        <w:ind w:left="380" w:right="2888"/>
        <w:jc w:val="left"/>
      </w:pPr>
      <w:r>
        <w:rPr/>
        <w:t>ЦАД — центральное артериальное давление ЦВБ — цереброваскулярная болезнь</w:t>
      </w:r>
    </w:p>
    <w:p>
      <w:pPr>
        <w:pStyle w:val="BodyText"/>
        <w:spacing w:line="434" w:lineRule="auto" w:before="2"/>
        <w:ind w:left="380" w:right="3292"/>
        <w:jc w:val="left"/>
      </w:pPr>
      <w:r>
        <w:rPr>
          <w:spacing w:val="-3"/>
        </w:rPr>
        <w:t>ЧСС </w:t>
      </w:r>
      <w:r>
        <w:rPr/>
        <w:t>— частота сердечных </w:t>
      </w:r>
      <w:r>
        <w:rPr>
          <w:spacing w:val="-3"/>
        </w:rPr>
        <w:t>сокращений </w:t>
      </w:r>
      <w:r>
        <w:rPr>
          <w:spacing w:val="-4"/>
        </w:rPr>
        <w:t>ЭД </w:t>
      </w:r>
      <w:r>
        <w:rPr/>
        <w:t>— эректильная дисфункция</w:t>
      </w:r>
    </w:p>
    <w:p>
      <w:pPr>
        <w:pStyle w:val="BodyText"/>
        <w:spacing w:line="434" w:lineRule="auto" w:before="2"/>
        <w:ind w:left="380" w:right="4496"/>
        <w:jc w:val="left"/>
      </w:pPr>
      <w:r>
        <w:rPr>
          <w:w w:val="95"/>
        </w:rPr>
        <w:t>ЭКГ — электрокардиограмма </w:t>
      </w:r>
      <w:r>
        <w:rPr/>
        <w:t>ЭхоКГ — эхокардиография</w:t>
      </w:r>
    </w:p>
    <w:p>
      <w:pPr>
        <w:pStyle w:val="BodyText"/>
        <w:spacing w:before="2"/>
        <w:ind w:left="380"/>
        <w:jc w:val="left"/>
      </w:pPr>
      <w:r>
        <w:rPr/>
        <w:t>CKD-EPI — ChronicKidneyDiseaseEpidemiology Collaboration</w:t>
      </w:r>
    </w:p>
    <w:p>
      <w:pPr>
        <w:pStyle w:val="BodyText"/>
        <w:spacing w:line="256" w:lineRule="auto" w:before="296"/>
        <w:ind w:left="380"/>
        <w:jc w:val="left"/>
      </w:pPr>
      <w:r>
        <w:rPr/>
        <w:t>ESC/ESH — European society of cardiology/European society of hypertension</w:t>
      </w:r>
    </w:p>
    <w:p>
      <w:pPr>
        <w:pStyle w:val="BodyText"/>
        <w:spacing w:line="434" w:lineRule="auto" w:before="271"/>
        <w:ind w:left="380" w:right="2967"/>
        <w:jc w:val="left"/>
      </w:pPr>
      <w:r>
        <w:rPr/>
        <w:t>MDRD</w:t>
      </w:r>
      <w:r>
        <w:rPr>
          <w:spacing w:val="-16"/>
        </w:rPr>
        <w:t> </w:t>
      </w:r>
      <w:r>
        <w:rPr/>
        <w:t>—</w:t>
      </w:r>
      <w:r>
        <w:rPr>
          <w:spacing w:val="-15"/>
        </w:rPr>
        <w:t> </w:t>
      </w:r>
      <w:r>
        <w:rPr/>
        <w:t>Modiﬁcation</w:t>
      </w:r>
      <w:r>
        <w:rPr>
          <w:spacing w:val="-15"/>
        </w:rPr>
        <w:t> </w:t>
      </w:r>
      <w:r>
        <w:rPr/>
        <w:t>of</w:t>
      </w:r>
      <w:r>
        <w:rPr>
          <w:spacing w:val="-16"/>
        </w:rPr>
        <w:t> </w:t>
      </w:r>
      <w:r>
        <w:rPr/>
        <w:t>Diet</w:t>
      </w:r>
      <w:r>
        <w:rPr>
          <w:spacing w:val="-15"/>
        </w:rPr>
        <w:t> </w:t>
      </w:r>
      <w:r>
        <w:rPr/>
        <w:t>in</w:t>
      </w:r>
      <w:r>
        <w:rPr>
          <w:spacing w:val="-15"/>
        </w:rPr>
        <w:t> </w:t>
      </w:r>
      <w:r>
        <w:rPr/>
        <w:t>Renal</w:t>
      </w:r>
      <w:r>
        <w:rPr>
          <w:spacing w:val="-16"/>
        </w:rPr>
        <w:t> </w:t>
      </w:r>
      <w:r>
        <w:rPr/>
        <w:t>Disease SCORE — Systemic coronary risk</w:t>
      </w:r>
      <w:r>
        <w:rPr>
          <w:spacing w:val="-48"/>
        </w:rPr>
        <w:t> </w:t>
      </w:r>
      <w:r>
        <w:rPr/>
        <w:t>evaluation</w:t>
      </w:r>
    </w:p>
    <w:p>
      <w:pPr>
        <w:spacing w:after="0" w:line="434" w:lineRule="auto"/>
        <w:jc w:val="left"/>
        <w:sectPr>
          <w:pgSz w:w="11900" w:h="16840"/>
          <w:pgMar w:top="0" w:bottom="280" w:left="1420" w:right="1520"/>
        </w:sectPr>
      </w:pPr>
    </w:p>
    <w:p>
      <w:pPr>
        <w:pStyle w:val="Heading1"/>
        <w:jc w:val="both"/>
      </w:pPr>
      <w:r>
        <w:rPr/>
        <w:t>Термины и определения</w:t>
      </w:r>
    </w:p>
    <w:p>
      <w:pPr>
        <w:pStyle w:val="BodyText"/>
        <w:tabs>
          <w:tab w:pos="3940" w:val="left" w:leader="none"/>
          <w:tab w:pos="6989" w:val="left" w:leader="none"/>
        </w:tabs>
        <w:spacing w:line="256" w:lineRule="auto" w:before="384"/>
        <w:ind w:left="380" w:right="129"/>
      </w:pPr>
      <w:r>
        <w:rPr>
          <w:b/>
        </w:rPr>
        <w:t>Артериальная гипертензия (АГ) — </w:t>
      </w:r>
      <w:r>
        <w:rPr/>
        <w:t>синдром повышения клинического артериального давления (АД) при гипертонической болезни и симптоматических АГ выше пороговых значений, определенных в результате эпидемиологических и рандомизированных</w:t>
        <w:tab/>
        <w:t>контролируемых</w:t>
        <w:tab/>
      </w:r>
      <w:r>
        <w:rPr>
          <w:spacing w:val="-4"/>
        </w:rPr>
        <w:t>исследований, </w:t>
      </w:r>
      <w:r>
        <w:rPr/>
        <w:t>продемонстрировавших связь с повышением сердечно- сосудистого риска и целесообразность и пользу лечения, направленного на снижение АД ниже этих уровней</w:t>
      </w:r>
      <w:r>
        <w:rPr>
          <w:spacing w:val="-31"/>
        </w:rPr>
        <w:t> </w:t>
      </w:r>
      <w:r>
        <w:rPr/>
        <w:t>АД.</w:t>
      </w:r>
    </w:p>
    <w:p>
      <w:pPr>
        <w:spacing w:line="256" w:lineRule="auto" w:before="273"/>
        <w:ind w:left="380" w:right="129" w:firstLine="0"/>
        <w:jc w:val="both"/>
        <w:rPr>
          <w:sz w:val="27"/>
        </w:rPr>
      </w:pPr>
      <w:r>
        <w:rPr>
          <w:b/>
          <w:sz w:val="27"/>
        </w:rPr>
        <w:t>АГ у молодых — </w:t>
      </w:r>
      <w:r>
        <w:rPr>
          <w:sz w:val="27"/>
        </w:rPr>
        <w:t>повышение АД выше пороговых значений у лиц моложе 50 лет</w:t>
      </w:r>
    </w:p>
    <w:p>
      <w:pPr>
        <w:pStyle w:val="BodyText"/>
        <w:spacing w:line="256" w:lineRule="auto" w:before="271"/>
        <w:ind w:left="380" w:right="135"/>
      </w:pPr>
      <w:r>
        <w:rPr>
          <w:b/>
        </w:rPr>
        <w:t>Высокое нормальное АД — </w:t>
      </w:r>
      <w:r>
        <w:rPr/>
        <w:t>давление в диапазоне систолического АД (САД) от 130 до 139 мм рт. ст. и/или диастолического АД (ДАД) от 85 до 89 мм рт. ст.</w:t>
      </w:r>
    </w:p>
    <w:p>
      <w:pPr>
        <w:pStyle w:val="BodyText"/>
        <w:spacing w:line="256" w:lineRule="auto" w:before="271"/>
        <w:ind w:left="380" w:right="130"/>
      </w:pPr>
      <w:r>
        <w:rPr>
          <w:b/>
        </w:rPr>
        <w:t>Гипертония белого халата </w:t>
      </w:r>
      <w:r>
        <w:rPr/>
        <w:t>— форма АГ, при которой повышение АД </w:t>
      </w:r>
      <w:r>
        <w:rPr>
          <w:rFonts w:ascii="Times New Roman" w:hAnsi="Times New Roman"/>
        </w:rPr>
        <w:t>≥</w:t>
      </w:r>
      <w:r>
        <w:rPr/>
        <w:t>140 и/или </w:t>
      </w:r>
      <w:r>
        <w:rPr>
          <w:rFonts w:ascii="Times New Roman" w:hAnsi="Times New Roman"/>
        </w:rPr>
        <w:t>≥</w:t>
      </w:r>
      <w:r>
        <w:rPr/>
        <w:t>90 мм рт. ст. отмечается только на приеме у врача, а при измерении АД методом домашнего мониторирования АД (ДМАД) и/или суточного</w:t>
      </w:r>
      <w:r>
        <w:rPr>
          <w:spacing w:val="-42"/>
        </w:rPr>
        <w:t> </w:t>
      </w:r>
      <w:r>
        <w:rPr/>
        <w:t>мониторирования АД</w:t>
      </w:r>
      <w:r>
        <w:rPr>
          <w:spacing w:val="-12"/>
        </w:rPr>
        <w:t> </w:t>
      </w:r>
      <w:r>
        <w:rPr/>
        <w:t>(СМАД)</w:t>
      </w:r>
      <w:r>
        <w:rPr>
          <w:spacing w:val="-11"/>
        </w:rPr>
        <w:t> </w:t>
      </w:r>
      <w:r>
        <w:rPr/>
        <w:t>показатели</w:t>
      </w:r>
      <w:r>
        <w:rPr>
          <w:spacing w:val="-12"/>
        </w:rPr>
        <w:t> </w:t>
      </w:r>
      <w:r>
        <w:rPr/>
        <w:t>АД</w:t>
      </w:r>
      <w:r>
        <w:rPr>
          <w:spacing w:val="-11"/>
        </w:rPr>
        <w:t> </w:t>
      </w:r>
      <w:r>
        <w:rPr/>
        <w:t>—</w:t>
      </w:r>
      <w:r>
        <w:rPr>
          <w:spacing w:val="-11"/>
        </w:rPr>
        <w:t> </w:t>
      </w:r>
      <w:r>
        <w:rPr/>
        <w:t>в</w:t>
      </w:r>
      <w:r>
        <w:rPr>
          <w:spacing w:val="-12"/>
        </w:rPr>
        <w:t> </w:t>
      </w:r>
      <w:r>
        <w:rPr/>
        <w:t>пределах</w:t>
      </w:r>
      <w:r>
        <w:rPr>
          <w:spacing w:val="-11"/>
        </w:rPr>
        <w:t> </w:t>
      </w:r>
      <w:r>
        <w:rPr/>
        <w:t>нормальных</w:t>
      </w:r>
      <w:r>
        <w:rPr>
          <w:spacing w:val="-11"/>
        </w:rPr>
        <w:t> </w:t>
      </w:r>
      <w:r>
        <w:rPr/>
        <w:t>значений.</w:t>
      </w:r>
    </w:p>
    <w:p>
      <w:pPr>
        <w:pStyle w:val="BodyText"/>
        <w:spacing w:line="256" w:lineRule="auto" w:before="272"/>
        <w:ind w:left="380" w:right="128"/>
      </w:pPr>
      <w:r>
        <w:rPr>
          <w:b/>
        </w:rPr>
        <w:t>Доказательная медицина </w:t>
      </w:r>
      <w:r>
        <w:rPr/>
        <w:t>— надлежащее, последовательное и осмысленное использование современных наилучших доказательств (результатов клинических исследований) в сочетании с индивидуальным клиническим опытом и c учетом ценностей и предпочтений пациента в процессе принятия решений о состоянии здоровья и лечении пациента [1].</w:t>
      </w:r>
    </w:p>
    <w:p>
      <w:pPr>
        <w:pStyle w:val="BodyText"/>
        <w:tabs>
          <w:tab w:pos="3633" w:val="left" w:leader="none"/>
          <w:tab w:pos="5946" w:val="left" w:leader="none"/>
          <w:tab w:pos="8678" w:val="left" w:leader="none"/>
        </w:tabs>
        <w:spacing w:line="256" w:lineRule="auto" w:before="273"/>
        <w:ind w:left="380" w:right="131"/>
      </w:pPr>
      <w:r>
        <w:rPr>
          <w:b/>
        </w:rPr>
        <w:t>Заболевание </w:t>
      </w:r>
      <w:r>
        <w:rPr/>
        <w:t>— состояние, возникающее в связи с воздействием патогенных факторов, нарушение деятельности организма, работоспособности,</w:t>
        <w:tab/>
        <w:t>способности</w:t>
        <w:tab/>
        <w:t>адаптироваться</w:t>
        <w:tab/>
      </w:r>
      <w:r>
        <w:rPr>
          <w:spacing w:val="-16"/>
        </w:rPr>
        <w:t>к </w:t>
      </w:r>
      <w:r>
        <w:rPr/>
        <w:t>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 [2].</w:t>
      </w:r>
    </w:p>
    <w:p>
      <w:pPr>
        <w:spacing w:line="256" w:lineRule="auto" w:before="273"/>
        <w:ind w:left="380" w:right="142" w:firstLine="0"/>
        <w:jc w:val="both"/>
        <w:rPr>
          <w:sz w:val="27"/>
        </w:rPr>
      </w:pPr>
      <w:r>
        <w:rPr>
          <w:b/>
          <w:sz w:val="27"/>
        </w:rPr>
        <w:t>Изолированная систолическая АГ</w:t>
      </w:r>
      <w:r>
        <w:rPr>
          <w:sz w:val="27"/>
        </w:rPr>
        <w:t>–повышение САД </w:t>
      </w:r>
      <w:r>
        <w:rPr>
          <w:rFonts w:ascii="Times New Roman" w:hAnsi="Times New Roman"/>
          <w:sz w:val="27"/>
        </w:rPr>
        <w:t>≥</w:t>
      </w:r>
      <w:r>
        <w:rPr>
          <w:sz w:val="27"/>
        </w:rPr>
        <w:t>140 мм рт. ст. при уровне ДАД &lt;90 мм рт. ст.</w:t>
      </w:r>
    </w:p>
    <w:p>
      <w:pPr>
        <w:spacing w:after="0" w:line="256" w:lineRule="auto"/>
        <w:jc w:val="both"/>
        <w:rPr>
          <w:sz w:val="27"/>
        </w:rPr>
        <w:sectPr>
          <w:pgSz w:w="11900" w:h="16840"/>
          <w:pgMar w:top="600" w:bottom="280" w:left="1420" w:right="1520"/>
        </w:sectPr>
      </w:pPr>
    </w:p>
    <w:p>
      <w:pPr>
        <w:pStyle w:val="BodyText"/>
        <w:spacing w:line="256" w:lineRule="auto" w:before="16"/>
        <w:ind w:left="380" w:right="132"/>
      </w:pPr>
      <w:r>
        <w:rPr>
          <w:b/>
        </w:rPr>
        <w:t>Исход — </w:t>
      </w:r>
      <w:r>
        <w:rPr/>
        <w:t>любой возможный результат, возникающий от воздействия причинного фактора, профилактического или терапевтического вмешательства, все установленные изменения состояния здоровья, возникающие как следствие вмешательства [3].</w:t>
      </w:r>
    </w:p>
    <w:p>
      <w:pPr>
        <w:pStyle w:val="BodyText"/>
        <w:spacing w:line="256" w:lineRule="auto" w:before="273"/>
        <w:ind w:left="380" w:right="131"/>
      </w:pPr>
      <w:r>
        <w:rPr>
          <w:b/>
        </w:rPr>
        <w:t>Клиническое исследование </w:t>
      </w:r>
      <w:r>
        <w:rPr/>
        <w:t>— любое исследование, проводимое с участием человека в качестве субъекта для выявления или подтверждения клинических и/или фармакологических эффектов исследуемых продуктов и/или выявления нежелательных реакций на исследуемые продукты, и/или изучения их всасывания, распределения, метаболизма и выведения с целью оценить их безопасность и/или эффективность [4].</w:t>
      </w:r>
    </w:p>
    <w:p>
      <w:pPr>
        <w:pStyle w:val="BodyText"/>
        <w:spacing w:line="256" w:lineRule="auto" w:before="272"/>
        <w:ind w:left="380" w:right="129"/>
      </w:pPr>
      <w:r>
        <w:rPr>
          <w:b/>
          <w:spacing w:val="-3"/>
        </w:rPr>
        <w:t>Конфликт </w:t>
      </w:r>
      <w:r>
        <w:rPr>
          <w:b/>
        </w:rPr>
        <w:t>интересов </w:t>
      </w:r>
      <w:r>
        <w:rPr/>
        <w:t>—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r>
        <w:rPr>
          <w:spacing w:val="-6"/>
        </w:rPr>
        <w:t> </w:t>
      </w:r>
      <w:r>
        <w:rPr/>
        <w:t>[2].</w:t>
      </w:r>
    </w:p>
    <w:p>
      <w:pPr>
        <w:pStyle w:val="BodyText"/>
        <w:spacing w:line="256" w:lineRule="auto" w:before="274"/>
        <w:ind w:left="380" w:right="128"/>
      </w:pPr>
      <w:r>
        <w:rPr>
          <w:b/>
        </w:rPr>
        <w:t>Лекарственные препараты </w:t>
      </w:r>
      <w:r>
        <w:rPr/>
        <w:t>—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 [5].</w:t>
      </w:r>
    </w:p>
    <w:p>
      <w:pPr>
        <w:pStyle w:val="BodyText"/>
        <w:spacing w:line="256" w:lineRule="auto" w:before="272"/>
        <w:ind w:left="380" w:right="130"/>
      </w:pPr>
      <w:r>
        <w:rPr>
          <w:b/>
        </w:rPr>
        <w:t>Маскированная (скрытая) АГ — </w:t>
      </w:r>
      <w:r>
        <w:rPr/>
        <w:t>форма гипертонии, особенностью которой являются нормальные показатели клинического АД (&lt;140/90 мм рт. ст.) и повышенные — по данным СМАД и/или ДМАД.</w:t>
      </w:r>
    </w:p>
    <w:p>
      <w:pPr>
        <w:pStyle w:val="BodyText"/>
        <w:spacing w:line="256" w:lineRule="auto" w:before="272"/>
        <w:ind w:left="380" w:right="134"/>
      </w:pPr>
      <w:r>
        <w:rPr>
          <w:b/>
        </w:rPr>
        <w:t>Медицинское вмешательство </w:t>
      </w:r>
      <w:r>
        <w:rPr/>
        <w:t>—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диагностическую, лечебную, реабилитационную </w:t>
      </w:r>
      <w:r>
        <w:rPr>
          <w:spacing w:val="-4"/>
        </w:rPr>
        <w:t>или </w:t>
      </w:r>
      <w:r>
        <w:rPr/>
        <w:t>исследовательскую направленность виды медицинских обследований и (или) медицинских манипуляций, а также искусственное прерывание беременности</w:t>
      </w:r>
      <w:r>
        <w:rPr>
          <w:spacing w:val="-1"/>
        </w:rPr>
        <w:t> </w:t>
      </w:r>
      <w:r>
        <w:rPr/>
        <w:t>[2].</w:t>
      </w:r>
    </w:p>
    <w:p>
      <w:pPr>
        <w:spacing w:after="0" w:line="256" w:lineRule="auto"/>
        <w:sectPr>
          <w:pgSz w:w="11900" w:h="16840"/>
          <w:pgMar w:top="0" w:bottom="280" w:left="1420" w:right="1520"/>
        </w:sectPr>
      </w:pPr>
    </w:p>
    <w:p>
      <w:pPr>
        <w:pStyle w:val="BodyText"/>
        <w:spacing w:line="256" w:lineRule="auto" w:before="16"/>
        <w:ind w:left="380" w:right="137"/>
      </w:pPr>
      <w:r>
        <w:rPr>
          <w:b/>
        </w:rPr>
        <w:t>Изменение образа жизни — </w:t>
      </w:r>
      <w:r>
        <w:rPr/>
        <w:t>мероприятия, направленные на нормализацию веса и характера питания, двигательной активности, целью которых является снижение сердечно- сосудистого риска.</w:t>
      </w:r>
    </w:p>
    <w:p>
      <w:pPr>
        <w:spacing w:line="256" w:lineRule="auto" w:before="272"/>
        <w:ind w:left="380" w:right="129" w:firstLine="0"/>
        <w:jc w:val="both"/>
        <w:rPr>
          <w:sz w:val="27"/>
        </w:rPr>
      </w:pPr>
      <w:r>
        <w:rPr>
          <w:b/>
          <w:sz w:val="27"/>
        </w:rPr>
        <w:t>Оптимальное</w:t>
      </w:r>
      <w:r>
        <w:rPr>
          <w:b/>
          <w:spacing w:val="-5"/>
          <w:sz w:val="27"/>
        </w:rPr>
        <w:t> </w:t>
      </w:r>
      <w:r>
        <w:rPr>
          <w:b/>
          <w:sz w:val="27"/>
        </w:rPr>
        <w:t>АД</w:t>
      </w:r>
      <w:r>
        <w:rPr>
          <w:b/>
          <w:spacing w:val="-6"/>
          <w:sz w:val="27"/>
        </w:rPr>
        <w:t> </w:t>
      </w:r>
      <w:r>
        <w:rPr>
          <w:sz w:val="27"/>
        </w:rPr>
        <w:t>—</w:t>
      </w:r>
      <w:r>
        <w:rPr>
          <w:spacing w:val="-7"/>
          <w:sz w:val="27"/>
        </w:rPr>
        <w:t> </w:t>
      </w:r>
      <w:r>
        <w:rPr>
          <w:spacing w:val="-3"/>
          <w:sz w:val="27"/>
        </w:rPr>
        <w:t>САД</w:t>
      </w:r>
      <w:r>
        <w:rPr>
          <w:spacing w:val="-6"/>
          <w:sz w:val="27"/>
        </w:rPr>
        <w:t> </w:t>
      </w:r>
      <w:r>
        <w:rPr>
          <w:sz w:val="27"/>
        </w:rPr>
        <w:t>менее</w:t>
      </w:r>
      <w:r>
        <w:rPr>
          <w:spacing w:val="-7"/>
          <w:sz w:val="27"/>
        </w:rPr>
        <w:t> </w:t>
      </w:r>
      <w:r>
        <w:rPr>
          <w:sz w:val="27"/>
        </w:rPr>
        <w:t>120</w:t>
      </w:r>
      <w:r>
        <w:rPr>
          <w:spacing w:val="-7"/>
          <w:sz w:val="27"/>
        </w:rPr>
        <w:t> </w:t>
      </w:r>
      <w:r>
        <w:rPr>
          <w:sz w:val="27"/>
        </w:rPr>
        <w:t>ммрт.</w:t>
      </w:r>
      <w:r>
        <w:rPr>
          <w:spacing w:val="-6"/>
          <w:sz w:val="27"/>
        </w:rPr>
        <w:t> </w:t>
      </w:r>
      <w:r>
        <w:rPr>
          <w:sz w:val="27"/>
        </w:rPr>
        <w:t>ст.</w:t>
      </w:r>
      <w:r>
        <w:rPr>
          <w:spacing w:val="-7"/>
          <w:sz w:val="27"/>
        </w:rPr>
        <w:t> </w:t>
      </w:r>
      <w:r>
        <w:rPr>
          <w:sz w:val="27"/>
        </w:rPr>
        <w:t>и/или</w:t>
      </w:r>
      <w:r>
        <w:rPr>
          <w:spacing w:val="-7"/>
          <w:sz w:val="27"/>
        </w:rPr>
        <w:t> </w:t>
      </w:r>
      <w:r>
        <w:rPr>
          <w:sz w:val="27"/>
        </w:rPr>
        <w:t>ДАД</w:t>
      </w:r>
      <w:r>
        <w:rPr>
          <w:spacing w:val="-6"/>
          <w:sz w:val="27"/>
        </w:rPr>
        <w:t> </w:t>
      </w:r>
      <w:r>
        <w:rPr>
          <w:sz w:val="27"/>
        </w:rPr>
        <w:t>менее</w:t>
      </w:r>
      <w:r>
        <w:rPr>
          <w:spacing w:val="-7"/>
          <w:sz w:val="27"/>
        </w:rPr>
        <w:t> </w:t>
      </w:r>
      <w:r>
        <w:rPr>
          <w:sz w:val="27"/>
        </w:rPr>
        <w:t>80 мм рт.</w:t>
      </w:r>
      <w:r>
        <w:rPr>
          <w:spacing w:val="-4"/>
          <w:sz w:val="27"/>
        </w:rPr>
        <w:t> </w:t>
      </w:r>
      <w:r>
        <w:rPr>
          <w:sz w:val="27"/>
        </w:rPr>
        <w:t>ст.</w:t>
      </w:r>
    </w:p>
    <w:p>
      <w:pPr>
        <w:spacing w:before="271"/>
        <w:ind w:left="380" w:right="0" w:firstLine="0"/>
        <w:jc w:val="left"/>
        <w:rPr>
          <w:sz w:val="27"/>
        </w:rPr>
      </w:pPr>
      <w:r>
        <w:rPr>
          <w:b/>
          <w:sz w:val="27"/>
        </w:rPr>
        <w:t>Очень пожилые пациенты </w:t>
      </w:r>
      <w:r>
        <w:rPr>
          <w:sz w:val="27"/>
        </w:rPr>
        <w:t>— пациенты в возрасте </w:t>
      </w:r>
      <w:r>
        <w:rPr>
          <w:rFonts w:ascii="Times New Roman" w:hAnsi="Times New Roman"/>
          <w:sz w:val="27"/>
        </w:rPr>
        <w:t>≥ </w:t>
      </w:r>
      <w:r>
        <w:rPr>
          <w:sz w:val="27"/>
        </w:rPr>
        <w:t>80 лет.</w:t>
      </w:r>
    </w:p>
    <w:p>
      <w:pPr>
        <w:pStyle w:val="BodyText"/>
        <w:spacing w:line="256" w:lineRule="auto" w:before="296"/>
        <w:ind w:left="380" w:right="132"/>
      </w:pPr>
      <w:r>
        <w:rPr>
          <w:b/>
        </w:rPr>
        <w:t>Пациент — </w:t>
      </w:r>
      <w:r>
        <w:rPr/>
        <w:t>физическое лицо, которому оказывается медицинская помощь или которое обратилось за оказанием медицинской помощи независимо </w:t>
      </w:r>
      <w:r>
        <w:rPr>
          <w:spacing w:val="-3"/>
        </w:rPr>
        <w:t>от </w:t>
      </w:r>
      <w:r>
        <w:rPr/>
        <w:t>наличия у него заболевания и </w:t>
      </w:r>
      <w:r>
        <w:rPr>
          <w:spacing w:val="-3"/>
        </w:rPr>
        <w:t>от </w:t>
      </w:r>
      <w:r>
        <w:rPr/>
        <w:t>его состояния</w:t>
      </w:r>
      <w:r>
        <w:rPr>
          <w:spacing w:val="-5"/>
        </w:rPr>
        <w:t> </w:t>
      </w:r>
      <w:r>
        <w:rPr/>
        <w:t>[2].</w:t>
      </w:r>
    </w:p>
    <w:p>
      <w:pPr>
        <w:pStyle w:val="BodyText"/>
        <w:spacing w:line="256" w:lineRule="auto" w:before="272"/>
        <w:ind w:left="380" w:right="138"/>
      </w:pPr>
      <w:r>
        <w:rPr>
          <w:b/>
        </w:rPr>
        <w:t>Нормальное АД </w:t>
      </w:r>
      <w:r>
        <w:rPr/>
        <w:t>— давление в диапазоне САД 120–129 мм рт. ст. и/или ДАД 80–84 мм рт. ст.</w:t>
      </w:r>
    </w:p>
    <w:p>
      <w:pPr>
        <w:spacing w:before="271"/>
        <w:ind w:left="380" w:right="0" w:firstLine="0"/>
        <w:jc w:val="left"/>
        <w:rPr>
          <w:sz w:val="27"/>
        </w:rPr>
      </w:pPr>
      <w:r>
        <w:rPr>
          <w:b/>
          <w:sz w:val="27"/>
        </w:rPr>
        <w:t>Пожилые пациенты </w:t>
      </w:r>
      <w:r>
        <w:rPr>
          <w:sz w:val="27"/>
        </w:rPr>
        <w:t>— пациенты, которым от 65 лет до 79 лет.</w:t>
      </w:r>
    </w:p>
    <w:p>
      <w:pPr>
        <w:pStyle w:val="BodyText"/>
        <w:spacing w:line="256" w:lineRule="auto" w:before="296"/>
        <w:ind w:left="380" w:right="130"/>
      </w:pPr>
      <w:r>
        <w:rPr>
          <w:b/>
        </w:rPr>
        <w:t>Постпрандиальная гипотензия — </w:t>
      </w:r>
      <w:r>
        <w:rPr/>
        <w:t>снижение систолического АД более, чем на 20 мм рт. ст. в течение двух часов после приема пищи при нахождении в положении лежа или сидя [6].</w:t>
      </w:r>
    </w:p>
    <w:p>
      <w:pPr>
        <w:pStyle w:val="BodyText"/>
        <w:spacing w:line="256" w:lineRule="auto" w:before="271"/>
        <w:ind w:left="380" w:right="141"/>
      </w:pPr>
      <w:r>
        <w:rPr>
          <w:b/>
        </w:rPr>
        <w:t>Постуральная гипотензия — </w:t>
      </w:r>
      <w:r>
        <w:rPr/>
        <w:t>снижение САД на 20 мм рт. ст. и более и/или ДАД — на 10 мм рт. ст. и более в первые 3 мин при переходе из горизонтального в вертикальное положение.</w:t>
      </w:r>
    </w:p>
    <w:p>
      <w:pPr>
        <w:pStyle w:val="BodyText"/>
        <w:spacing w:line="256" w:lineRule="auto" w:before="271"/>
        <w:ind w:left="380" w:right="132"/>
      </w:pPr>
      <w:r>
        <w:rPr>
          <w:b/>
        </w:rPr>
        <w:t>Псевдорезистентная АГ </w:t>
      </w:r>
      <w:r>
        <w:rPr/>
        <w:t>— случаи резистентной АГ, в которых</w:t>
      </w:r>
      <w:r>
        <w:rPr>
          <w:spacing w:val="-40"/>
        </w:rPr>
        <w:t> </w:t>
      </w:r>
      <w:r>
        <w:rPr/>
        <w:t>не могут быть исключены причины плохого контроля АД:</w:t>
      </w:r>
      <w:r>
        <w:rPr>
          <w:spacing w:val="-28"/>
        </w:rPr>
        <w:t> </w:t>
      </w:r>
      <w:r>
        <w:rPr/>
        <w:t>эффект</w:t>
      </w:r>
    </w:p>
    <w:p>
      <w:pPr>
        <w:pStyle w:val="BodyText"/>
        <w:spacing w:line="256" w:lineRule="auto"/>
        <w:ind w:left="380" w:right="140"/>
      </w:pPr>
      <w:r>
        <w:rPr/>
        <w:t>«белого халата», плохая приверженность к лечению, неправильно подобранная терапия, неправильное измерениеАД, выраженная кальцификация артерий, регулярный прием препаратов, повышающих АД, факторы образа жизни, наличие синдрома обструктивного апноэ во время сна.</w:t>
      </w:r>
    </w:p>
    <w:p>
      <w:pPr>
        <w:spacing w:before="272"/>
        <w:ind w:left="380" w:right="0" w:firstLine="0"/>
        <w:jc w:val="left"/>
        <w:rPr>
          <w:sz w:val="27"/>
        </w:rPr>
      </w:pPr>
      <w:r>
        <w:rPr>
          <w:b/>
          <w:sz w:val="27"/>
        </w:rPr>
        <w:t>Пульсовое давление </w:t>
      </w:r>
      <w:r>
        <w:rPr>
          <w:sz w:val="27"/>
        </w:rPr>
        <w:t>— разница между САД и ДАД.</w:t>
      </w:r>
    </w:p>
    <w:p>
      <w:pPr>
        <w:spacing w:line="256" w:lineRule="auto" w:before="296"/>
        <w:ind w:left="380" w:right="131" w:firstLine="0"/>
        <w:jc w:val="both"/>
        <w:rPr>
          <w:sz w:val="27"/>
        </w:rPr>
      </w:pPr>
      <w:r>
        <w:rPr>
          <w:b/>
          <w:sz w:val="27"/>
        </w:rPr>
        <w:t>Рабочая группа по разработке/актуализации клинических рекомендаций </w:t>
      </w:r>
      <w:r>
        <w:rPr>
          <w:sz w:val="27"/>
        </w:rPr>
        <w:t>— коллектив специалистов, работающих совместно и согласованно в целях разработки/актуализации клинических рекомендаций и несущих общую ответственность за результаты данной работы.</w:t>
      </w:r>
    </w:p>
    <w:p>
      <w:pPr>
        <w:spacing w:after="0" w:line="256" w:lineRule="auto"/>
        <w:jc w:val="both"/>
        <w:rPr>
          <w:sz w:val="27"/>
        </w:rPr>
        <w:sectPr>
          <w:pgSz w:w="11900" w:h="16840"/>
          <w:pgMar w:top="0" w:bottom="280" w:left="1420" w:right="1520"/>
        </w:sectPr>
      </w:pPr>
    </w:p>
    <w:p>
      <w:pPr>
        <w:pStyle w:val="BodyText"/>
        <w:spacing w:line="256" w:lineRule="auto" w:before="16"/>
        <w:ind w:left="380" w:right="131"/>
      </w:pPr>
      <w:r>
        <w:rPr>
          <w:b/>
        </w:rPr>
        <w:t>Резистентная АГ — </w:t>
      </w:r>
      <w:r>
        <w:rPr/>
        <w:t>диагностируется в случаях, </w:t>
      </w:r>
      <w:r>
        <w:rPr>
          <w:spacing w:val="-3"/>
        </w:rPr>
        <w:t>когда </w:t>
      </w:r>
      <w:r>
        <w:rPr/>
        <w:t>назначение трех антигипертензивных препаратов (включая диуретик) в оптимальных или максимально переносимых дозах не приводит  к достижению целевого АД ниже 140 и/или 90 мм рт. ст. у приверженных к лечению пациентов. При этом отсутствие контроля АД подтверждено измерением АД вне медицинского учреждения (СМАД или ДМАД), а вторичные причины АГ исключены.</w:t>
      </w:r>
    </w:p>
    <w:p>
      <w:pPr>
        <w:pStyle w:val="BodyText"/>
        <w:spacing w:line="256" w:lineRule="auto" w:before="274"/>
        <w:ind w:left="380" w:right="129"/>
      </w:pPr>
      <w:r>
        <w:rPr>
          <w:b/>
        </w:rPr>
        <w:t>Синдром </w:t>
      </w:r>
      <w:r>
        <w:rPr/>
        <w:t>— устойчивая совокупность ряда симптомов с единым патогенезом [7].</w:t>
      </w:r>
    </w:p>
    <w:p>
      <w:pPr>
        <w:pStyle w:val="BodyText"/>
        <w:spacing w:line="256" w:lineRule="auto" w:before="271"/>
        <w:ind w:left="380" w:right="136"/>
      </w:pPr>
      <w:r>
        <w:rPr>
          <w:b/>
        </w:rPr>
        <w:t>Состояние — </w:t>
      </w:r>
      <w:r>
        <w:rPr/>
        <w:t>изменения организма, возникающие в связи с воздействием патогенных и (или) физиологических факторов и требующие оказания медицинской помощи [2].</w:t>
      </w:r>
    </w:p>
    <w:p>
      <w:pPr>
        <w:spacing w:line="256" w:lineRule="auto" w:before="271"/>
        <w:ind w:left="380" w:right="133" w:firstLine="0"/>
        <w:jc w:val="both"/>
        <w:rPr>
          <w:sz w:val="27"/>
        </w:rPr>
      </w:pPr>
      <w:r>
        <w:rPr>
          <w:b/>
          <w:spacing w:val="-4"/>
          <w:w w:val="105"/>
          <w:sz w:val="27"/>
        </w:rPr>
        <w:t>Уровень</w:t>
      </w:r>
      <w:r>
        <w:rPr>
          <w:b/>
          <w:spacing w:val="-35"/>
          <w:w w:val="105"/>
          <w:sz w:val="27"/>
        </w:rPr>
        <w:t> </w:t>
      </w:r>
      <w:r>
        <w:rPr>
          <w:b/>
          <w:w w:val="105"/>
          <w:sz w:val="27"/>
        </w:rPr>
        <w:t>достоверности</w:t>
      </w:r>
      <w:r>
        <w:rPr>
          <w:b/>
          <w:spacing w:val="-34"/>
          <w:w w:val="105"/>
          <w:sz w:val="27"/>
        </w:rPr>
        <w:t> </w:t>
      </w:r>
      <w:r>
        <w:rPr>
          <w:b/>
          <w:w w:val="105"/>
          <w:sz w:val="27"/>
        </w:rPr>
        <w:t>доказательств</w:t>
      </w:r>
      <w:r>
        <w:rPr>
          <w:b/>
          <w:spacing w:val="-33"/>
          <w:w w:val="105"/>
          <w:sz w:val="27"/>
        </w:rPr>
        <w:t> </w:t>
      </w:r>
      <w:r>
        <w:rPr>
          <w:w w:val="105"/>
          <w:sz w:val="27"/>
        </w:rPr>
        <w:t>—</w:t>
      </w:r>
      <w:r>
        <w:rPr>
          <w:spacing w:val="-32"/>
          <w:w w:val="105"/>
          <w:sz w:val="27"/>
        </w:rPr>
        <w:t> </w:t>
      </w:r>
      <w:r>
        <w:rPr>
          <w:w w:val="105"/>
          <w:sz w:val="27"/>
        </w:rPr>
        <w:t>степень</w:t>
      </w:r>
      <w:r>
        <w:rPr>
          <w:spacing w:val="-33"/>
          <w:w w:val="105"/>
          <w:sz w:val="27"/>
        </w:rPr>
        <w:t> </w:t>
      </w:r>
      <w:r>
        <w:rPr>
          <w:w w:val="105"/>
          <w:sz w:val="27"/>
        </w:rPr>
        <w:t>уверенности в том, что полученный эффект </w:t>
      </w:r>
      <w:r>
        <w:rPr>
          <w:spacing w:val="-3"/>
          <w:w w:val="105"/>
          <w:sz w:val="27"/>
        </w:rPr>
        <w:t>от </w:t>
      </w:r>
      <w:r>
        <w:rPr>
          <w:w w:val="105"/>
          <w:sz w:val="27"/>
        </w:rPr>
        <w:t>применения медицинского вмешательства является истинным</w:t>
      </w:r>
      <w:r>
        <w:rPr>
          <w:spacing w:val="-25"/>
          <w:w w:val="105"/>
          <w:sz w:val="27"/>
        </w:rPr>
        <w:t> </w:t>
      </w:r>
      <w:r>
        <w:rPr>
          <w:w w:val="105"/>
          <w:sz w:val="27"/>
        </w:rPr>
        <w:t>[8].</w:t>
      </w:r>
    </w:p>
    <w:p>
      <w:pPr>
        <w:pStyle w:val="BodyText"/>
        <w:spacing w:line="256" w:lineRule="auto" w:before="271"/>
        <w:ind w:left="380" w:right="130"/>
      </w:pPr>
      <w:r>
        <w:rPr>
          <w:b/>
          <w:spacing w:val="-4"/>
        </w:rPr>
        <w:t>Уровень </w:t>
      </w:r>
      <w:r>
        <w:rPr>
          <w:b/>
        </w:rPr>
        <w:t>убедительности рекомендаций </w:t>
      </w:r>
      <w:r>
        <w:rPr/>
        <w:t>— степень уверенности в достоверности эффекта вмешательства и в том, что следование рекомендациям принесет больше пользы, чем вреда в конкретной ситуации</w:t>
      </w:r>
      <w:r>
        <w:rPr>
          <w:spacing w:val="-4"/>
        </w:rPr>
        <w:t> </w:t>
      </w:r>
      <w:r>
        <w:rPr/>
        <w:t>[8].</w:t>
      </w:r>
    </w:p>
    <w:p>
      <w:pPr>
        <w:spacing w:line="256" w:lineRule="auto" w:before="272"/>
        <w:ind w:left="380" w:right="131" w:firstLine="0"/>
        <w:jc w:val="both"/>
        <w:rPr>
          <w:sz w:val="27"/>
        </w:rPr>
      </w:pPr>
      <w:r>
        <w:rPr>
          <w:b/>
          <w:sz w:val="27"/>
        </w:rPr>
        <w:t>Фиксированная комбинация лекарственных препаратов </w:t>
      </w:r>
      <w:r>
        <w:rPr>
          <w:sz w:val="27"/>
        </w:rPr>
        <w:t>— сочетание двух и более разных классов препаратов в одной таблетке.</w:t>
      </w:r>
    </w:p>
    <w:p>
      <w:pPr>
        <w:pStyle w:val="BodyText"/>
        <w:spacing w:line="256" w:lineRule="auto" w:before="271"/>
        <w:ind w:left="380" w:right="133"/>
      </w:pPr>
      <w:r>
        <w:rPr>
          <w:b/>
        </w:rPr>
        <w:t>Хроническая болезнь почек — </w:t>
      </w:r>
      <w:r>
        <w:rPr/>
        <w:t>наднозологическое понятие, объединяющее всех пациентов с признаками повреждения почек и/или снижением функции, оцениваемой по величине скорости клубочковой фильтрации, которые сохраняются в течение 3 и более месяцев.</w:t>
      </w:r>
    </w:p>
    <w:p>
      <w:pPr>
        <w:pStyle w:val="BodyText"/>
        <w:spacing w:line="256" w:lineRule="auto" w:before="272"/>
        <w:ind w:left="380" w:right="130"/>
      </w:pPr>
      <w:r>
        <w:rPr>
          <w:b/>
        </w:rPr>
        <w:t>Хроническая алкогольная интоксикация </w:t>
      </w:r>
      <w:r>
        <w:rPr/>
        <w:t>— комплекс физиологических, поведенческих и когнитивных явлений, при которых употребление алкогольных напитков начинает занимать более важное место в системе ценностей человека, чем другие формы поведения, которые ранее были более важными для него.</w:t>
      </w:r>
    </w:p>
    <w:p>
      <w:pPr>
        <w:pStyle w:val="BodyText"/>
        <w:spacing w:line="256" w:lineRule="auto" w:before="273"/>
        <w:ind w:left="380" w:right="131"/>
      </w:pPr>
      <w:r>
        <w:rPr>
          <w:b/>
        </w:rPr>
        <w:t>Синдром старческой астении — </w:t>
      </w:r>
      <w:r>
        <w:rPr/>
        <w:t>гериатрическийсиндром, характеризующийся возраст-ассоциированным снижением физиологического резерва и функций многих систем организма, приводящий к повышенной уязвимости организма пожилого</w:t>
      </w:r>
    </w:p>
    <w:p>
      <w:pPr>
        <w:spacing w:after="0" w:line="256" w:lineRule="auto"/>
        <w:sectPr>
          <w:pgSz w:w="11900" w:h="16840"/>
          <w:pgMar w:top="0" w:bottom="0" w:left="1420" w:right="1520"/>
        </w:sectPr>
      </w:pPr>
    </w:p>
    <w:p>
      <w:pPr>
        <w:pStyle w:val="BodyText"/>
        <w:spacing w:line="256" w:lineRule="auto" w:before="16"/>
        <w:ind w:left="380" w:right="132"/>
      </w:pPr>
      <w:r>
        <w:rPr/>
        <w:t>человека к воздействию эндо- и экзогенных факторов и высокому риску развития неблагоприятных исходов для здоровья, потери автономности и смерти [9].</w:t>
      </w:r>
    </w:p>
    <w:p>
      <w:pPr>
        <w:pStyle w:val="BodyText"/>
        <w:spacing w:line="256" w:lineRule="auto" w:before="272"/>
        <w:ind w:left="380" w:right="132"/>
      </w:pPr>
      <w:r>
        <w:rPr>
          <w:b/>
          <w:w w:val="105"/>
        </w:rPr>
        <w:t>Целевой уровень АД </w:t>
      </w:r>
      <w:r>
        <w:rPr>
          <w:w w:val="105"/>
        </w:rPr>
        <w:t>— уровень АД, различный для разных групп</w:t>
      </w:r>
      <w:r>
        <w:rPr>
          <w:spacing w:val="-17"/>
          <w:w w:val="105"/>
        </w:rPr>
        <w:t> </w:t>
      </w:r>
      <w:r>
        <w:rPr>
          <w:w w:val="105"/>
        </w:rPr>
        <w:t>пациентов</w:t>
      </w:r>
      <w:r>
        <w:rPr>
          <w:spacing w:val="-16"/>
          <w:w w:val="105"/>
        </w:rPr>
        <w:t> </w:t>
      </w:r>
      <w:r>
        <w:rPr>
          <w:w w:val="105"/>
        </w:rPr>
        <w:t>с</w:t>
      </w:r>
      <w:r>
        <w:rPr>
          <w:spacing w:val="-17"/>
          <w:w w:val="105"/>
        </w:rPr>
        <w:t> </w:t>
      </w:r>
      <w:r>
        <w:rPr>
          <w:w w:val="105"/>
        </w:rPr>
        <w:t>АГ,</w:t>
      </w:r>
      <w:r>
        <w:rPr>
          <w:spacing w:val="-16"/>
          <w:w w:val="105"/>
        </w:rPr>
        <w:t> </w:t>
      </w:r>
      <w:r>
        <w:rPr>
          <w:w w:val="105"/>
        </w:rPr>
        <w:t>достижение</w:t>
      </w:r>
      <w:r>
        <w:rPr>
          <w:spacing w:val="-17"/>
          <w:w w:val="105"/>
        </w:rPr>
        <w:t> </w:t>
      </w:r>
      <w:r>
        <w:rPr>
          <w:w w:val="105"/>
        </w:rPr>
        <w:t>которого</w:t>
      </w:r>
      <w:r>
        <w:rPr>
          <w:spacing w:val="-16"/>
          <w:w w:val="105"/>
        </w:rPr>
        <w:t> </w:t>
      </w:r>
      <w:r>
        <w:rPr>
          <w:w w:val="105"/>
        </w:rPr>
        <w:t>в</w:t>
      </w:r>
      <w:r>
        <w:rPr>
          <w:spacing w:val="-17"/>
          <w:w w:val="105"/>
        </w:rPr>
        <w:t> </w:t>
      </w:r>
      <w:r>
        <w:rPr>
          <w:w w:val="105"/>
        </w:rPr>
        <w:t>процессе</w:t>
      </w:r>
      <w:r>
        <w:rPr>
          <w:spacing w:val="-16"/>
          <w:w w:val="105"/>
        </w:rPr>
        <w:t> </w:t>
      </w:r>
      <w:r>
        <w:rPr>
          <w:w w:val="105"/>
        </w:rPr>
        <w:t>лечения позволяет добиться наиболее благоприятного соотношения польза (снижение сердечно-сосудистого (СС) риска) — риск (неблагоприятные</w:t>
      </w:r>
      <w:r>
        <w:rPr>
          <w:spacing w:val="-8"/>
          <w:w w:val="105"/>
        </w:rPr>
        <w:t> </w:t>
      </w:r>
      <w:r>
        <w:rPr>
          <w:w w:val="105"/>
        </w:rPr>
        <w:t>эффекты).</w:t>
      </w:r>
    </w:p>
    <w:p>
      <w:pPr>
        <w:spacing w:after="0" w:line="256" w:lineRule="auto"/>
        <w:sectPr>
          <w:pgSz w:w="11900" w:h="16840"/>
          <w:pgMar w:top="0" w:bottom="280" w:left="1420" w:right="1520"/>
        </w:sectPr>
      </w:pPr>
    </w:p>
    <w:p>
      <w:pPr>
        <w:pStyle w:val="Heading1"/>
        <w:numPr>
          <w:ilvl w:val="0"/>
          <w:numId w:val="2"/>
        </w:numPr>
        <w:tabs>
          <w:tab w:pos="924" w:val="left" w:leader="none"/>
        </w:tabs>
        <w:spacing w:line="240" w:lineRule="auto" w:before="66" w:after="0"/>
        <w:ind w:left="923" w:right="0" w:hanging="544"/>
        <w:jc w:val="left"/>
      </w:pPr>
      <w:r>
        <w:rPr/>
        <w:t>Краткая</w:t>
      </w:r>
      <w:r>
        <w:rPr>
          <w:spacing w:val="6"/>
        </w:rPr>
        <w:t> </w:t>
      </w:r>
      <w:r>
        <w:rPr/>
        <w:t>информация</w:t>
      </w:r>
    </w:p>
    <w:p>
      <w:pPr>
        <w:pStyle w:val="BodyText"/>
        <w:spacing w:before="7"/>
        <w:ind w:left="0"/>
        <w:jc w:val="left"/>
        <w:rPr>
          <w:b/>
          <w:sz w:val="51"/>
        </w:rPr>
      </w:pPr>
    </w:p>
    <w:p>
      <w:pPr>
        <w:pStyle w:val="Heading2"/>
        <w:numPr>
          <w:ilvl w:val="1"/>
          <w:numId w:val="2"/>
        </w:numPr>
        <w:tabs>
          <w:tab w:pos="941" w:val="left" w:leader="none"/>
        </w:tabs>
        <w:spacing w:line="177" w:lineRule="auto" w:before="1" w:after="0"/>
        <w:ind w:left="380" w:right="1100" w:firstLine="0"/>
        <w:jc w:val="left"/>
      </w:pPr>
      <w:r>
        <w:rPr/>
        <w:t>Определение заболевания или </w:t>
      </w:r>
      <w:r>
        <w:rPr>
          <w:spacing w:val="-4"/>
        </w:rPr>
        <w:t>состояния </w:t>
      </w:r>
      <w:r>
        <w:rPr/>
        <w:t>(группы заболеваний,</w:t>
      </w:r>
      <w:r>
        <w:rPr>
          <w:spacing w:val="15"/>
        </w:rPr>
        <w:t> </w:t>
      </w:r>
      <w:r>
        <w:rPr/>
        <w:t>состояний)</w:t>
      </w:r>
    </w:p>
    <w:p>
      <w:pPr>
        <w:pStyle w:val="BodyText"/>
        <w:spacing w:before="4"/>
        <w:ind w:left="0"/>
        <w:jc w:val="left"/>
        <w:rPr>
          <w:b/>
          <w:sz w:val="25"/>
        </w:rPr>
      </w:pPr>
    </w:p>
    <w:p>
      <w:pPr>
        <w:pStyle w:val="Heading3"/>
        <w:spacing w:line="256" w:lineRule="auto" w:before="98"/>
        <w:ind w:left="380" w:right="131"/>
        <w:jc w:val="both"/>
      </w:pPr>
      <w:r>
        <w:rPr/>
        <w:pict>
          <v:rect style="position:absolute;margin-left:229.640884pt;margin-top:58.838768pt;width:3.15413pt;height:.750315pt;mso-position-horizontal-relative:page;mso-position-vertical-relative:paragraph;z-index:-18371072" filled="true" fillcolor="#000000" stroked="false">
            <v:fill type="solid"/>
            <w10:wrap type="none"/>
          </v:rect>
        </w:pict>
      </w:r>
      <w:r>
        <w:rPr/>
        <w:pict>
          <v:rect style="position:absolute;margin-left:328.520142pt;margin-top:58.838768pt;width:2.99677pt;height:.750315pt;mso-position-horizontal-relative:page;mso-position-vertical-relative:paragraph;z-index:-18370560" filled="true" fillcolor="#000000" stroked="false">
            <v:fill type="solid"/>
            <w10:wrap type="none"/>
          </v:rect>
        </w:pict>
      </w:r>
      <w:r>
        <w:rPr>
          <w:u w:val="single"/>
        </w:rPr>
        <w:t>А</w:t>
      </w:r>
      <w:r>
        <w:rPr/>
        <w:t>р</w:t>
      </w:r>
      <w:r>
        <w:rPr>
          <w:u w:val="single"/>
        </w:rPr>
        <w:t>те</w:t>
      </w:r>
      <w:r>
        <w:rPr/>
        <w:t>р</w:t>
      </w:r>
      <w:r>
        <w:rPr>
          <w:u w:val="single"/>
        </w:rPr>
        <w:t>иальная гипе</w:t>
      </w:r>
      <w:r>
        <w:rPr/>
        <w:t>р</w:t>
      </w:r>
      <w:r>
        <w:rPr>
          <w:u w:val="single"/>
        </w:rPr>
        <w:t>тензия </w:t>
      </w:r>
      <w:r>
        <w:rPr/>
        <w:t>(</w:t>
      </w:r>
      <w:r>
        <w:rPr>
          <w:u w:val="single"/>
        </w:rPr>
        <w:t>АГ</w:t>
      </w:r>
      <w:r>
        <w:rPr/>
        <w:t>)</w:t>
      </w:r>
      <w:r>
        <w:rPr>
          <w:u w:val="single"/>
        </w:rPr>
        <w:t> — син</w:t>
      </w:r>
      <w:r>
        <w:rPr/>
        <w:t>др</w:t>
      </w:r>
      <w:r>
        <w:rPr>
          <w:u w:val="single"/>
        </w:rPr>
        <w:t>ом повышения</w:t>
      </w:r>
      <w:r>
        <w:rPr/>
        <w:t> </w:t>
      </w:r>
      <w:r>
        <w:rPr>
          <w:u w:val="single"/>
        </w:rPr>
        <w:t>систолического А</w:t>
      </w:r>
      <w:r>
        <w:rPr/>
        <w:t>Д</w:t>
      </w:r>
      <w:r>
        <w:rPr>
          <w:u w:val="single"/>
        </w:rPr>
        <w:t> </w:t>
      </w:r>
      <w:r>
        <w:rPr/>
        <w:t>(д</w:t>
      </w:r>
      <w:r>
        <w:rPr>
          <w:u w:val="single"/>
        </w:rPr>
        <w:t>алее — СА</w:t>
      </w:r>
      <w:r>
        <w:rPr/>
        <w:t>Д)</w:t>
      </w:r>
      <w:r>
        <w:rPr>
          <w:u w:val="single"/>
        </w:rPr>
        <w:t> </w:t>
      </w:r>
      <w:r>
        <w:rPr>
          <w:rFonts w:ascii="Times New Roman" w:hAnsi="Times New Roman"/>
        </w:rPr>
        <w:t>≥</w:t>
      </w:r>
      <w:r>
        <w:rPr>
          <w:u w:val="single"/>
        </w:rPr>
        <w:t>140 мм </w:t>
      </w:r>
      <w:r>
        <w:rPr/>
        <w:t>р</w:t>
      </w:r>
      <w:r>
        <w:rPr>
          <w:u w:val="single"/>
        </w:rPr>
        <w:t>т. ст. и/или</w:t>
      </w:r>
      <w:r>
        <w:rPr/>
        <w:t> д</w:t>
      </w:r>
      <w:r>
        <w:rPr>
          <w:u w:val="single"/>
        </w:rPr>
        <w:t>иастолического А</w:t>
      </w:r>
      <w:r>
        <w:rPr/>
        <w:t>Д (д</w:t>
      </w:r>
      <w:r>
        <w:rPr>
          <w:u w:val="single"/>
        </w:rPr>
        <w:t>алее —</w:t>
      </w:r>
      <w:r>
        <w:rPr/>
        <w:t> Д</w:t>
      </w:r>
      <w:r>
        <w:rPr>
          <w:u w:val="single"/>
        </w:rPr>
        <w:t>А</w:t>
      </w:r>
      <w:r>
        <w:rPr/>
        <w:t>Д) </w:t>
      </w:r>
      <w:r>
        <w:rPr>
          <w:rFonts w:ascii="Times New Roman" w:hAnsi="Times New Roman"/>
        </w:rPr>
        <w:t>≥</w:t>
      </w:r>
      <w:r>
        <w:rPr>
          <w:u w:val="single"/>
        </w:rPr>
        <w:t>90 мм</w:t>
      </w:r>
      <w:r>
        <w:rPr/>
        <w:t> р</w:t>
      </w:r>
      <w:r>
        <w:rPr>
          <w:u w:val="single"/>
        </w:rPr>
        <w:t>т. ст.</w:t>
      </w:r>
    </w:p>
    <w:p>
      <w:pPr>
        <w:pStyle w:val="BodyText"/>
        <w:spacing w:line="256" w:lineRule="auto" w:before="271"/>
        <w:ind w:left="380" w:right="131"/>
      </w:pPr>
      <w:r>
        <w:rPr>
          <w:b/>
        </w:rPr>
        <w:t>Гипертоническая болезнь (далее — ГБ) </w:t>
      </w:r>
      <w:r>
        <w:rPr/>
        <w:t>— хронически протекающее заболевание, основным проявлением которого является повышение АД, не связанное с выявлением явных причин, приводящих к развитию вторичных форм АГ (симптоматические АГ). Термин «гипертоническая болезнь», предложенный Г. Ф. Лангом в 1948 г., соответствует терминам</w:t>
      </w:r>
    </w:p>
    <w:p>
      <w:pPr>
        <w:pStyle w:val="BodyText"/>
        <w:spacing w:line="256" w:lineRule="auto" w:before="3"/>
        <w:ind w:left="380" w:right="134"/>
      </w:pPr>
      <w:r>
        <w:rPr/>
        <w:t>«эссенциальная гипертензия» и «артериальная гипертензия», используемым</w:t>
      </w:r>
      <w:r>
        <w:rPr>
          <w:spacing w:val="-8"/>
        </w:rPr>
        <w:t> </w:t>
      </w:r>
      <w:r>
        <w:rPr/>
        <w:t>за</w:t>
      </w:r>
      <w:r>
        <w:rPr>
          <w:spacing w:val="-7"/>
        </w:rPr>
        <w:t> </w:t>
      </w:r>
      <w:r>
        <w:rPr/>
        <w:t>рубежом.</w:t>
      </w:r>
      <w:r>
        <w:rPr>
          <w:spacing w:val="-8"/>
        </w:rPr>
        <w:t> </w:t>
      </w:r>
      <w:r>
        <w:rPr/>
        <w:t>ГБ</w:t>
      </w:r>
      <w:r>
        <w:rPr>
          <w:spacing w:val="-7"/>
        </w:rPr>
        <w:t> </w:t>
      </w:r>
      <w:r>
        <w:rPr/>
        <w:t>преобладает</w:t>
      </w:r>
      <w:r>
        <w:rPr>
          <w:spacing w:val="-7"/>
        </w:rPr>
        <w:t> </w:t>
      </w:r>
      <w:r>
        <w:rPr/>
        <w:t>среди</w:t>
      </w:r>
      <w:r>
        <w:rPr>
          <w:spacing w:val="-8"/>
        </w:rPr>
        <w:t> </w:t>
      </w:r>
      <w:r>
        <w:rPr>
          <w:spacing w:val="-3"/>
        </w:rPr>
        <w:t>всех</w:t>
      </w:r>
      <w:r>
        <w:rPr>
          <w:spacing w:val="-7"/>
        </w:rPr>
        <w:t> </w:t>
      </w:r>
      <w:r>
        <w:rPr/>
        <w:t>форм</w:t>
      </w:r>
      <w:r>
        <w:rPr>
          <w:spacing w:val="-7"/>
        </w:rPr>
        <w:t> </w:t>
      </w:r>
      <w:r>
        <w:rPr/>
        <w:t>АГ,</w:t>
      </w:r>
      <w:r>
        <w:rPr>
          <w:spacing w:val="-8"/>
        </w:rPr>
        <w:t> </w:t>
      </w:r>
      <w:r>
        <w:rPr/>
        <w:t>ее распространенность превышает</w:t>
      </w:r>
      <w:r>
        <w:rPr>
          <w:spacing w:val="-3"/>
        </w:rPr>
        <w:t> </w:t>
      </w:r>
      <w:r>
        <w:rPr/>
        <w:t>90%.</w:t>
      </w:r>
    </w:p>
    <w:p>
      <w:pPr>
        <w:spacing w:line="256" w:lineRule="auto" w:before="271"/>
        <w:ind w:left="380" w:right="141" w:firstLine="0"/>
        <w:jc w:val="both"/>
        <w:rPr>
          <w:sz w:val="27"/>
        </w:rPr>
      </w:pPr>
      <w:r>
        <w:rPr>
          <w:b/>
          <w:sz w:val="27"/>
        </w:rPr>
        <w:t>Вторичная (симптоматическая) АГ </w:t>
      </w:r>
      <w:r>
        <w:rPr>
          <w:sz w:val="27"/>
        </w:rPr>
        <w:t>— АГ, обусловленная известной причиной, которую можно устранить с помощью соответствующего вмешательства.</w:t>
      </w:r>
    </w:p>
    <w:p>
      <w:pPr>
        <w:pStyle w:val="BodyText"/>
        <w:spacing w:line="256" w:lineRule="auto" w:before="271"/>
        <w:ind w:left="380" w:right="130"/>
      </w:pPr>
      <w:r>
        <w:rPr>
          <w:b/>
        </w:rPr>
        <w:t>Гипертонический криз — </w:t>
      </w:r>
      <w:r>
        <w:rPr/>
        <w:t>cостояние, вызванное значительным повышением АД, ассоциирующееся с острым поражением органов-мишеней, нередко жизнеугрожающим, требующее немедленных квалифицированных действий, направленных на снижение АД, обычно с помощью внутривенной терапии</w:t>
      </w:r>
    </w:p>
    <w:p>
      <w:pPr>
        <w:pStyle w:val="BodyText"/>
        <w:spacing w:before="0"/>
        <w:ind w:left="0"/>
        <w:jc w:val="left"/>
        <w:rPr>
          <w:sz w:val="36"/>
        </w:rPr>
      </w:pPr>
    </w:p>
    <w:p>
      <w:pPr>
        <w:pStyle w:val="Heading2"/>
        <w:numPr>
          <w:ilvl w:val="1"/>
          <w:numId w:val="2"/>
        </w:numPr>
        <w:tabs>
          <w:tab w:pos="941" w:val="left" w:leader="none"/>
        </w:tabs>
        <w:spacing w:line="177" w:lineRule="auto" w:before="279" w:after="0"/>
        <w:ind w:left="380" w:right="1148" w:firstLine="0"/>
        <w:jc w:val="left"/>
      </w:pPr>
      <w:r>
        <w:rPr/>
        <w:t>Этиология и патогенез заболевания или состояния (группы заболеваний,</w:t>
      </w:r>
      <w:r>
        <w:rPr>
          <w:spacing w:val="34"/>
        </w:rPr>
        <w:t> </w:t>
      </w:r>
      <w:r>
        <w:rPr>
          <w:spacing w:val="-3"/>
        </w:rPr>
        <w:t>состояний)</w:t>
      </w:r>
    </w:p>
    <w:p>
      <w:pPr>
        <w:pStyle w:val="BodyText"/>
        <w:spacing w:before="8"/>
        <w:ind w:left="0"/>
        <w:jc w:val="left"/>
        <w:rPr>
          <w:b/>
          <w:sz w:val="32"/>
        </w:rPr>
      </w:pPr>
    </w:p>
    <w:p>
      <w:pPr>
        <w:pStyle w:val="BodyText"/>
        <w:spacing w:before="0"/>
        <w:ind w:left="380"/>
      </w:pPr>
      <w:r>
        <w:rPr/>
        <w:t>Предрасполагающие факторы</w:t>
      </w:r>
    </w:p>
    <w:p>
      <w:pPr>
        <w:pStyle w:val="BodyText"/>
        <w:spacing w:line="256" w:lineRule="auto" w:before="296"/>
        <w:ind w:left="380" w:right="138"/>
      </w:pPr>
      <w:r>
        <w:rPr/>
        <w:t>Этиология АГ остается не до конца выясненной, но выявлен ряд факторов, тесно и независимо связанных с повышением АД:</w:t>
      </w:r>
    </w:p>
    <w:p>
      <w:pPr>
        <w:pStyle w:val="BodyText"/>
        <w:spacing w:line="256" w:lineRule="auto" w:before="271"/>
        <w:ind w:left="695"/>
        <w:jc w:val="left"/>
      </w:pPr>
      <w:r>
        <w:rPr/>
        <w:pict>
          <v:shape style="position:absolute;margin-left:91.538452pt;margin-top:20.969509pt;width:4.55pt;height:4.55pt;mso-position-horizontal-relative:page;mso-position-vertical-relative:paragraph;z-index:15738880"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pict>
          <v:shape style="position:absolute;margin-left:91.538452pt;margin-top:59.985901pt;width:4.55pt;height:4.55pt;mso-position-horizontal-relative:page;mso-position-vertical-relative:paragraph;z-index:15739392" coordorigin="1831,1200" coordsize="91,91" path="m1888,1290l1863,1290,1853,1285,1835,1268,1831,1257,1831,1232,1835,1222,1853,1204,1863,1200,1888,1200,1899,1204,1916,1222,1921,1232,1921,1245,1921,1257,1916,1268,1899,1285,1888,1290xe" filled="true" fillcolor="#000000" stroked="false">
            <v:path arrowok="t"/>
            <v:fill type="solid"/>
            <w10:wrap type="none"/>
          </v:shape>
        </w:pict>
      </w:r>
      <w:r>
        <w:rPr/>
        <w:t>возраст — увеличение возраста ассоциировано с повышением частоты АГ и уровня АД (прежде всего систолического) [10]; избыточная масса тела и ожирение способствуют повышению АД;</w:t>
      </w:r>
    </w:p>
    <w:p>
      <w:pPr>
        <w:spacing w:after="0" w:line="256" w:lineRule="auto"/>
        <w:jc w:val="left"/>
        <w:sectPr>
          <w:pgSz w:w="11900" w:h="16840"/>
          <w:pgMar w:top="600" w:bottom="0" w:left="1420" w:right="1520"/>
        </w:sectPr>
      </w:pPr>
    </w:p>
    <w:p>
      <w:pPr>
        <w:pStyle w:val="BodyText"/>
        <w:spacing w:line="256" w:lineRule="auto" w:before="16"/>
        <w:ind w:left="695" w:right="130"/>
      </w:pPr>
      <w:r>
        <w:rPr/>
        <w:pict>
          <v:shape style="position:absolute;margin-left:91.538452pt;margin-top:8.219498pt;width:4.55pt;height:4.55pt;mso-position-horizontal-relative:page;mso-position-vertical-relative:paragraph;z-index:15739904" coordorigin="1831,164" coordsize="91,91" path="m1888,254l1863,254,1853,250,1835,232,1831,222,1831,197,1835,186,1853,169,1863,164,1888,164,1899,169,1916,186,1921,197,1921,209,1921,222,1916,232,1899,250,1888,254xe" filled="true" fillcolor="#000000" stroked="false">
            <v:path arrowok="t"/>
            <v:fill type="solid"/>
            <w10:wrap type="none"/>
          </v:shape>
        </w:pict>
      </w:r>
      <w:r>
        <w:rPr/>
        <w:t>наследственная предрасположенность — повышение АД встречается приблизительно в 2 раза чаще среди лиц, у которых один или оба родителя имели АГ. Эпидемиологические исследования показали, что </w:t>
      </w:r>
      <w:r>
        <w:rPr>
          <w:spacing w:val="-3"/>
        </w:rPr>
        <w:t>около </w:t>
      </w:r>
      <w:r>
        <w:rPr/>
        <w:t>30% вариаций АД в различных популяциях обусловлены генетическими факторами</w:t>
      </w:r>
      <w:r>
        <w:rPr>
          <w:spacing w:val="-3"/>
        </w:rPr>
        <w:t> </w:t>
      </w:r>
      <w:r>
        <w:rPr/>
        <w:t>[11].</w:t>
      </w:r>
    </w:p>
    <w:p>
      <w:pPr>
        <w:pStyle w:val="BodyText"/>
        <w:spacing w:line="256" w:lineRule="auto" w:before="3"/>
        <w:ind w:left="695" w:right="2064"/>
        <w:jc w:val="left"/>
      </w:pPr>
      <w:r>
        <w:rPr/>
        <w:pict>
          <v:shape style="position:absolute;margin-left:91.538452pt;margin-top:7.569482pt;width:4.55pt;height:4.55pt;mso-position-horizontal-relative:page;mso-position-vertical-relative:paragraph;z-index:15740416" coordorigin="1831,151" coordsize="91,91" path="m1888,241l1863,241,1853,237,1835,219,1831,209,1831,184,1835,173,1853,156,1863,151,1888,151,1899,156,1916,173,1921,184,1921,196,1921,209,1916,219,1899,237,1888,241xe" filled="true" fillcolor="#000000" stroked="false">
            <v:path arrowok="t"/>
            <v:fill type="solid"/>
            <w10:wrap type="none"/>
          </v:shape>
        </w:pict>
      </w:r>
      <w:r>
        <w:rPr/>
        <w:pict>
          <v:shape style="position:absolute;margin-left:91.538452pt;margin-top:27.077679pt;width:4.55pt;height:4.55pt;mso-position-horizontal-relative:page;mso-position-vertical-relative:paragraph;z-index:15740928" coordorigin="1831,542" coordsize="91,91" path="m1888,632l1863,632,1853,627,1835,610,1831,599,1831,574,1835,564,1853,546,1863,542,1888,542,1899,546,1916,564,1921,574,1921,587,1921,599,1916,610,1899,627,1888,632xe" filled="true" fillcolor="#000000" stroked="false">
            <v:path arrowok="t"/>
            <v:fill type="solid"/>
            <w10:wrap type="none"/>
          </v:shape>
        </w:pict>
      </w:r>
      <w:r>
        <w:rPr>
          <w:w w:val="105"/>
        </w:rPr>
        <w:t>избыточное</w:t>
      </w:r>
      <w:r>
        <w:rPr>
          <w:spacing w:val="-41"/>
          <w:w w:val="105"/>
        </w:rPr>
        <w:t> </w:t>
      </w:r>
      <w:r>
        <w:rPr>
          <w:w w:val="105"/>
        </w:rPr>
        <w:t>потребление</w:t>
      </w:r>
      <w:r>
        <w:rPr>
          <w:spacing w:val="-41"/>
          <w:w w:val="105"/>
        </w:rPr>
        <w:t> </w:t>
      </w:r>
      <w:r>
        <w:rPr>
          <w:w w:val="105"/>
        </w:rPr>
        <w:t>натрия</w:t>
      </w:r>
      <w:r>
        <w:rPr>
          <w:spacing w:val="-40"/>
          <w:w w:val="105"/>
        </w:rPr>
        <w:t> </w:t>
      </w:r>
      <w:r>
        <w:rPr>
          <w:w w:val="105"/>
        </w:rPr>
        <w:t>(&gt;5</w:t>
      </w:r>
      <w:r>
        <w:rPr>
          <w:spacing w:val="-41"/>
          <w:w w:val="105"/>
        </w:rPr>
        <w:t> </w:t>
      </w:r>
      <w:r>
        <w:rPr>
          <w:w w:val="105"/>
        </w:rPr>
        <w:t>г/день)</w:t>
      </w:r>
      <w:r>
        <w:rPr>
          <w:spacing w:val="-41"/>
          <w:w w:val="105"/>
        </w:rPr>
        <w:t> </w:t>
      </w:r>
      <w:r>
        <w:rPr>
          <w:spacing w:val="-3"/>
          <w:w w:val="105"/>
        </w:rPr>
        <w:t>[12]; </w:t>
      </w:r>
      <w:r>
        <w:rPr>
          <w:w w:val="105"/>
        </w:rPr>
        <w:t>злоупотребление</w:t>
      </w:r>
      <w:r>
        <w:rPr>
          <w:spacing w:val="-11"/>
          <w:w w:val="105"/>
        </w:rPr>
        <w:t> </w:t>
      </w:r>
      <w:r>
        <w:rPr>
          <w:w w:val="105"/>
        </w:rPr>
        <w:t>алкоголем;</w:t>
      </w:r>
    </w:p>
    <w:p>
      <w:pPr>
        <w:pStyle w:val="BodyText"/>
        <w:ind w:left="695"/>
        <w:jc w:val="left"/>
      </w:pPr>
      <w:r>
        <w:rPr/>
        <w:pict>
          <v:shape style="position:absolute;margin-left:91.538452pt;margin-top:7.469517pt;width:4.55pt;height:4.55pt;mso-position-horizontal-relative:page;mso-position-vertical-relative:paragraph;z-index:15741440"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t>гиподинамия.</w:t>
      </w:r>
    </w:p>
    <w:p>
      <w:pPr>
        <w:pStyle w:val="BodyText"/>
        <w:spacing w:line="256" w:lineRule="auto" w:before="296"/>
        <w:ind w:left="380"/>
        <w:jc w:val="left"/>
      </w:pPr>
      <w:r>
        <w:rPr/>
        <w:t>Стойкое и длительное повышение АД обусловлено изменением соотношения трех гемодинамических показателей:</w:t>
      </w:r>
    </w:p>
    <w:p>
      <w:pPr>
        <w:pStyle w:val="BodyText"/>
        <w:tabs>
          <w:tab w:pos="2965" w:val="left" w:leader="none"/>
          <w:tab w:pos="4476" w:val="left" w:leader="none"/>
          <w:tab w:pos="7300" w:val="left" w:leader="none"/>
        </w:tabs>
        <w:spacing w:line="256" w:lineRule="auto" w:before="271"/>
        <w:ind w:left="695" w:right="140"/>
        <w:jc w:val="left"/>
      </w:pPr>
      <w:r>
        <w:rPr/>
        <w:pict>
          <v:shape style="position:absolute;margin-left:91.538452pt;margin-top:20.969505pt;width:4.55pt;height:4.55pt;mso-position-horizontal-relative:page;mso-position-vertical-relative:paragraph;z-index:15741952"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t>повышением</w:t>
        <w:tab/>
        <w:t>общего</w:t>
        <w:tab/>
        <w:t>периферического</w:t>
        <w:tab/>
      </w:r>
      <w:r>
        <w:rPr>
          <w:spacing w:val="-4"/>
        </w:rPr>
        <w:t>сосудистого </w:t>
      </w:r>
      <w:r>
        <w:rPr/>
        <w:t>сопротивления</w:t>
      </w:r>
      <w:r>
        <w:rPr>
          <w:spacing w:val="-3"/>
        </w:rPr>
        <w:t> </w:t>
      </w:r>
      <w:r>
        <w:rPr/>
        <w:t>(ОПСС);</w:t>
      </w:r>
    </w:p>
    <w:p>
      <w:pPr>
        <w:pStyle w:val="BodyText"/>
        <w:spacing w:line="256" w:lineRule="auto" w:before="0"/>
        <w:ind w:left="695"/>
        <w:jc w:val="left"/>
      </w:pPr>
      <w:r>
        <w:rPr/>
        <w:pict>
          <v:shape style="position:absolute;margin-left:91.538452pt;margin-top:7.41948pt;width:4.55pt;height:4.55pt;mso-position-horizontal-relative:page;mso-position-vertical-relative:paragraph;z-index:15742464" coordorigin="1831,148" coordsize="91,91" path="m1888,238l1863,238,1853,234,1835,216,1831,206,1831,181,1835,170,1853,153,1863,148,1888,148,1899,153,1916,170,1921,181,1921,193,1921,206,1916,216,1899,234,1888,238xe" filled="true" fillcolor="#000000" stroked="false">
            <v:path arrowok="t"/>
            <v:fill type="solid"/>
            <w10:wrap type="none"/>
          </v:shape>
        </w:pict>
      </w:r>
      <w:r>
        <w:rPr/>
        <w:pict>
          <v:shape style="position:absolute;margin-left:91.538452pt;margin-top:26.927677pt;width:4.55pt;height:4.55pt;mso-position-horizontal-relative:page;mso-position-vertical-relative:paragraph;z-index:15742976" coordorigin="1831,539" coordsize="91,91" path="m1888,629l1863,629,1853,624,1835,607,1831,596,1831,571,1835,561,1853,543,1863,539,1888,539,1899,543,1916,561,1921,571,1921,584,1921,596,1916,607,1899,624,1888,629xe" filled="true" fillcolor="#000000" stroked="false">
            <v:path arrowok="t"/>
            <v:fill type="solid"/>
            <w10:wrap type="none"/>
          </v:shape>
        </w:pict>
      </w:r>
      <w:r>
        <w:rPr/>
        <w:t>увеличением сердечного выброса (минутного объема); увеличением объема циркулирующей крови (ОЦК).</w:t>
      </w:r>
    </w:p>
    <w:p>
      <w:pPr>
        <w:pStyle w:val="BodyText"/>
        <w:spacing w:line="256" w:lineRule="auto" w:before="271"/>
        <w:ind w:left="380" w:right="191"/>
        <w:jc w:val="left"/>
      </w:pPr>
      <w:r>
        <w:rPr/>
        <w:t>Наиболее важными патогенетическими звеньями формирования и прогрессирования эссенциальной АГ (ГБ) являются [13-16]:</w:t>
      </w:r>
    </w:p>
    <w:p>
      <w:pPr>
        <w:pStyle w:val="BodyText"/>
        <w:tabs>
          <w:tab w:pos="2476" w:val="left" w:leader="none"/>
          <w:tab w:pos="2928" w:val="left" w:leader="none"/>
          <w:tab w:pos="3523" w:val="left" w:leader="none"/>
          <w:tab w:pos="4495" w:val="left" w:leader="none"/>
          <w:tab w:pos="6895" w:val="left" w:leader="none"/>
          <w:tab w:pos="7467" w:val="left" w:leader="none"/>
          <w:tab w:pos="7742" w:val="left" w:leader="none"/>
        </w:tabs>
        <w:spacing w:line="390" w:lineRule="atLeast" w:before="245"/>
        <w:ind w:left="695" w:right="129"/>
        <w:jc w:val="left"/>
      </w:pPr>
      <w:r>
        <w:rPr/>
        <w:pict>
          <v:shape style="position:absolute;margin-left:91.538452pt;margin-top:20.956383pt;width:4.55pt;height:4.55pt;mso-position-horizontal-relative:page;mso-position-vertical-relative:paragraph;z-index:15743488"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pict>
          <v:shape style="position:absolute;margin-left:91.538452pt;margin-top:59.972775pt;width:4.55pt;height:4.55pt;mso-position-horizontal-relative:page;mso-position-vertical-relative:paragraph;z-index:15744000" coordorigin="1831,1199" coordsize="91,91" path="m1888,1289l1863,1289,1853,1285,1835,1267,1831,1257,1831,1232,1835,1221,1853,1204,1863,1199,1888,1199,1899,1204,1916,1221,1921,1232,1921,1244,1921,1257,1916,1267,1899,1285,1888,1289xe" filled="true" fillcolor="#000000" stroked="false">
            <v:path arrowok="t"/>
            <v:fill type="solid"/>
            <w10:wrap type="none"/>
          </v:shape>
        </w:pict>
      </w:r>
      <w:r>
        <w:rPr>
          <w:w w:val="105"/>
        </w:rPr>
        <w:t>активация симпатоадреналовой системы </w:t>
      </w:r>
      <w:r>
        <w:rPr>
          <w:spacing w:val="-5"/>
          <w:w w:val="105"/>
        </w:rPr>
        <w:t>(САС) </w:t>
      </w:r>
      <w:r>
        <w:rPr>
          <w:w w:val="105"/>
        </w:rPr>
        <w:t>(реализуется преимущественно через альфа- и бета-адренорецепторы); активация</w:t>
        <w:tab/>
      </w:r>
      <w:r>
        <w:rPr/>
        <w:t>ренин-ангиотензин-альдостероновой</w:t>
        <w:tab/>
        <w:tab/>
      </w:r>
      <w:r>
        <w:rPr>
          <w:spacing w:val="-3"/>
        </w:rPr>
        <w:t>системы </w:t>
      </w:r>
      <w:r>
        <w:rPr>
          <w:spacing w:val="-5"/>
          <w:w w:val="105"/>
        </w:rPr>
        <w:t>(РААС); </w:t>
      </w:r>
      <w:r>
        <w:rPr>
          <w:w w:val="105"/>
        </w:rPr>
        <w:t>в т.ч. повышение продукции минералокортикоидов (альдостерона</w:t>
        <w:tab/>
        <w:t>и</w:t>
        <w:tab/>
        <w:t>др.),</w:t>
        <w:tab/>
      </w:r>
      <w:r>
        <w:rPr/>
        <w:t>инициируемое,</w:t>
        <w:tab/>
      </w:r>
      <w:r>
        <w:rPr>
          <w:w w:val="105"/>
        </w:rPr>
        <w:t>в</w:t>
        <w:tab/>
      </w:r>
      <w:r>
        <w:rPr>
          <w:spacing w:val="-2"/>
        </w:rPr>
        <w:t>частности, </w:t>
      </w:r>
      <w:r>
        <w:rPr>
          <w:w w:val="105"/>
        </w:rPr>
        <w:t>гиперактивацией почечной</w:t>
      </w:r>
      <w:r>
        <w:rPr>
          <w:spacing w:val="-20"/>
          <w:w w:val="105"/>
        </w:rPr>
        <w:t> </w:t>
      </w:r>
      <w:r>
        <w:rPr>
          <w:spacing w:val="-7"/>
          <w:w w:val="105"/>
        </w:rPr>
        <w:t>РААС;</w:t>
      </w:r>
    </w:p>
    <w:p>
      <w:pPr>
        <w:pStyle w:val="BodyText"/>
        <w:spacing w:line="391" w:lineRule="exact" w:before="0"/>
        <w:ind w:left="695"/>
        <w:jc w:val="left"/>
      </w:pPr>
      <w:r>
        <w:rPr/>
        <w:pict>
          <v:shape style="position:absolute;margin-left:91.538452pt;margin-top:8.755562pt;width:4.55pt;height:4.5pt;mso-position-horizontal-relative:page;mso-position-vertical-relative:paragraph;z-index:15744512" coordorigin="1831,175" coordsize="91,90" path="m1888,265l1863,265,1853,261,1835,243,1831,233,1831,208,1835,197,1853,180,1863,175,1888,175,1899,180,1916,197,1921,208,1921,220,1921,233,1916,243,1899,261,1888,265xe" filled="true" fillcolor="#000000" stroked="false">
            <v:path arrowok="t"/>
            <v:fill type="solid"/>
            <w10:wrap type="none"/>
          </v:shape>
        </w:pict>
      </w:r>
      <w:r>
        <w:rPr/>
        <w:t>нарушение мембранного транспорта катионов (Nа</w:t>
      </w:r>
      <w:r>
        <w:rPr>
          <w:position w:val="14"/>
        </w:rPr>
        <w:t>+</w:t>
      </w:r>
      <w:r>
        <w:rPr/>
        <w:t>, Са</w:t>
      </w:r>
      <w:r>
        <w:rPr>
          <w:position w:val="14"/>
        </w:rPr>
        <w:t>2+</w:t>
      </w:r>
      <w:r>
        <w:rPr/>
        <w:t>, К</w:t>
      </w:r>
      <w:r>
        <w:rPr>
          <w:position w:val="14"/>
        </w:rPr>
        <w:t>+</w:t>
      </w:r>
      <w:r>
        <w:rPr/>
        <w:t>);</w:t>
      </w:r>
    </w:p>
    <w:p>
      <w:pPr>
        <w:pStyle w:val="BodyText"/>
        <w:spacing w:before="26"/>
        <w:ind w:left="695"/>
        <w:jc w:val="left"/>
      </w:pPr>
      <w:r>
        <w:rPr/>
        <w:pict>
          <v:shape style="position:absolute;margin-left:91.538452pt;margin-top:8.719520pt;width:4.55pt;height:4.5pt;mso-position-horizontal-relative:page;mso-position-vertical-relative:paragraph;z-index:15745024" coordorigin="1831,174" coordsize="91,90" path="m1888,264l1863,264,1853,260,1835,242,1831,232,1831,207,1835,196,1853,179,1863,174,1888,174,1899,179,1916,196,1921,207,1921,219,1921,232,1916,242,1899,260,1888,264xe" filled="true" fillcolor="#000000" stroked="false">
            <v:path arrowok="t"/>
            <v:fill type="solid"/>
            <w10:wrap type="none"/>
          </v:shape>
        </w:pict>
      </w:r>
      <w:r>
        <w:rPr>
          <w:w w:val="105"/>
        </w:rPr>
        <w:t>увеличение реабсорбции натрия в почках;</w:t>
      </w:r>
    </w:p>
    <w:p>
      <w:pPr>
        <w:pStyle w:val="BodyText"/>
        <w:tabs>
          <w:tab w:pos="2671" w:val="left" w:leader="none"/>
          <w:tab w:pos="2708" w:val="left" w:leader="none"/>
          <w:tab w:pos="2755" w:val="left" w:leader="none"/>
          <w:tab w:pos="3318" w:val="left" w:leader="none"/>
          <w:tab w:pos="4442" w:val="left" w:leader="none"/>
          <w:tab w:pos="4605" w:val="left" w:leader="none"/>
          <w:tab w:pos="5005" w:val="left" w:leader="none"/>
          <w:tab w:pos="5212" w:val="left" w:leader="none"/>
          <w:tab w:pos="5590" w:val="left" w:leader="none"/>
          <w:tab w:pos="6470" w:val="left" w:leader="none"/>
          <w:tab w:pos="7026" w:val="left" w:leader="none"/>
          <w:tab w:pos="7424" w:val="left" w:leader="none"/>
          <w:tab w:pos="7495" w:val="left" w:leader="none"/>
          <w:tab w:pos="7786" w:val="left" w:leader="none"/>
        </w:tabs>
        <w:spacing w:line="256" w:lineRule="auto" w:before="26"/>
        <w:ind w:left="695" w:right="133"/>
        <w:jc w:val="left"/>
      </w:pPr>
      <w:r>
        <w:rPr/>
        <w:pict>
          <v:shape style="position:absolute;margin-left:91.538452pt;margin-top:8.719507pt;width:4.55pt;height:4.5pt;mso-position-horizontal-relative:page;mso-position-vertical-relative:paragraph;z-index:15745536" coordorigin="1831,174" coordsize="91,90" path="m1888,264l1863,264,1853,260,1835,242,1831,232,1831,207,1835,196,1853,179,1863,174,1888,174,1899,179,1916,196,1921,207,1921,219,1921,232,1916,242,1899,260,1888,264xe" filled="true" fillcolor="#000000" stroked="false">
            <v:path arrowok="t"/>
            <v:fill type="solid"/>
            <w10:wrap type="none"/>
          </v:shape>
        </w:pict>
      </w:r>
      <w:r>
        <w:rPr/>
        <w:pict>
          <v:shape style="position:absolute;margin-left:91.538452pt;margin-top:86.752296pt;width:4.55pt;height:4.5pt;mso-position-horizontal-relative:page;mso-position-vertical-relative:paragraph;z-index:15746048" coordorigin="1831,1735" coordsize="91,90" path="m1888,1825l1863,1825,1853,1821,1835,1803,1831,1792,1831,1768,1835,1757,1853,1739,1863,1735,1888,1735,1899,1739,1916,1757,1921,1768,1921,1780,1921,1792,1916,1803,1899,1821,1888,1825xe" filled="true" fillcolor="#000000" stroked="false">
            <v:path arrowok="t"/>
            <v:fill type="solid"/>
            <w10:wrap type="none"/>
          </v:shape>
        </w:pict>
      </w:r>
      <w:r>
        <w:rPr/>
        <w:pict>
          <v:shape style="position:absolute;margin-left:91.538452pt;margin-top:145.276886pt;width:4.55pt;height:4.5pt;mso-position-horizontal-relative:page;mso-position-vertical-relative:paragraph;z-index:15746560" coordorigin="1831,2906" coordsize="91,90" path="m1888,2996l1863,2996,1853,2991,1835,2974,1831,2963,1831,2938,1835,2927,1853,2910,1863,2906,1888,2906,1899,2910,1916,2927,1921,2938,1921,2951,1921,2963,1916,2974,1899,2991,1888,2996xe" filled="true" fillcolor="#000000" stroked="false">
            <v:path arrowok="t"/>
            <v:fill type="solid"/>
            <w10:wrap type="none"/>
          </v:shape>
        </w:pict>
      </w:r>
      <w:r>
        <w:rPr/>
        <w:t>дисфункция</w:t>
        <w:tab/>
        <w:t>эндотелия</w:t>
        <w:tab/>
        <w:t>с</w:t>
        <w:tab/>
        <w:tab/>
        <w:t>преобладанием</w:t>
        <w:tab/>
        <w:tab/>
      </w:r>
      <w:r>
        <w:rPr>
          <w:spacing w:val="-3"/>
          <w:w w:val="95"/>
        </w:rPr>
        <w:t>продукции </w:t>
      </w:r>
      <w:r>
        <w:rPr/>
        <w:t>вазоконстрикторных субстанций (тканевого ангиотензина-II, эндотелина)</w:t>
        <w:tab/>
        <w:tab/>
        <w:t>и</w:t>
        <w:tab/>
        <w:t>снижением</w:t>
        <w:tab/>
        <w:tab/>
        <w:t>выработки</w:t>
        <w:tab/>
      </w:r>
      <w:r>
        <w:rPr>
          <w:spacing w:val="-3"/>
        </w:rPr>
        <w:t>депрессорных </w:t>
      </w:r>
      <w:r>
        <w:rPr/>
        <w:t>соединений (брадикинина, NО, простациклина и др.); структурные</w:t>
        <w:tab/>
        <w:tab/>
        <w:tab/>
        <w:t>изменения</w:t>
        <w:tab/>
        <w:tab/>
        <w:t>сосудистой</w:t>
        <w:tab/>
        <w:t>стенки</w:t>
        <w:tab/>
        <w:tab/>
        <w:tab/>
      </w:r>
      <w:r>
        <w:rPr>
          <w:spacing w:val="-4"/>
        </w:rPr>
        <w:t>артерий </w:t>
      </w:r>
      <w:r>
        <w:rPr/>
        <w:t>мышечного (резистивного) и эластического типа, в том числе вследствие низкоинтенсивного неинфекционного воспаления; нарушение</w:t>
        <w:tab/>
        <w:t>микроциркуляции</w:t>
        <w:tab/>
        <w:tab/>
        <w:t>(снижение</w:t>
        <w:tab/>
        <w:tab/>
        <w:tab/>
      </w:r>
      <w:r>
        <w:rPr>
          <w:spacing w:val="-4"/>
        </w:rPr>
        <w:t>плотности </w:t>
      </w:r>
      <w:r>
        <w:rPr/>
        <w:t>капилляров);</w:t>
      </w:r>
    </w:p>
    <w:p>
      <w:pPr>
        <w:pStyle w:val="BodyText"/>
        <w:tabs>
          <w:tab w:pos="2337" w:val="left" w:leader="none"/>
          <w:tab w:pos="4921" w:val="left" w:leader="none"/>
          <w:tab w:pos="5856" w:val="left" w:leader="none"/>
          <w:tab w:pos="7165" w:val="left" w:leader="none"/>
        </w:tabs>
        <w:spacing w:line="256" w:lineRule="auto" w:before="4"/>
        <w:ind w:left="695" w:right="138"/>
        <w:jc w:val="left"/>
      </w:pPr>
      <w:r>
        <w:rPr/>
        <w:pict>
          <v:shape style="position:absolute;margin-left:91.538452pt;margin-top:7.619506pt;width:4.55pt;height:4.5pt;mso-position-horizontal-relative:page;mso-position-vertical-relative:paragraph;z-index:15747072" coordorigin="1831,152" coordsize="91,90" path="m1888,242l1863,242,1853,238,1835,220,1831,210,1831,185,1835,174,1853,157,1863,152,1888,152,1899,157,1916,174,1921,185,1921,197,1921,210,1916,220,1899,238,1888,242xe" filled="true" fillcolor="#000000" stroked="false">
            <v:path arrowok="t"/>
            <v:fill type="solid"/>
            <w10:wrap type="none"/>
          </v:shape>
        </w:pict>
      </w:r>
      <w:r>
        <w:rPr/>
        <w:t>нарушение</w:t>
        <w:tab/>
        <w:t>барорецепторного</w:t>
        <w:tab/>
        <w:t>звена</w:t>
        <w:tab/>
        <w:t>системы</w:t>
        <w:tab/>
      </w:r>
      <w:r>
        <w:rPr>
          <w:spacing w:val="-1"/>
        </w:rPr>
        <w:t>центральной </w:t>
      </w:r>
      <w:r>
        <w:rPr/>
        <w:t>регуляции уровня</w:t>
      </w:r>
      <w:r>
        <w:rPr>
          <w:spacing w:val="-6"/>
        </w:rPr>
        <w:t> </w:t>
      </w:r>
      <w:r>
        <w:rPr/>
        <w:t>АД;</w:t>
      </w:r>
    </w:p>
    <w:p>
      <w:pPr>
        <w:pStyle w:val="BodyText"/>
        <w:ind w:left="695"/>
        <w:jc w:val="left"/>
      </w:pPr>
      <w:r>
        <w:rPr/>
        <w:pict>
          <v:shape style="position:absolute;margin-left:91.538452pt;margin-top:7.469512pt;width:4.55pt;height:4.5pt;mso-position-horizontal-relative:page;mso-position-vertical-relative:paragraph;z-index:15747584" coordorigin="1831,149" coordsize="91,90" path="m1888,239l1863,239,1853,235,1835,217,1831,207,1831,182,1835,171,1853,154,1863,149,1888,149,1899,154,1916,171,1921,182,1921,194,1921,207,1916,217,1899,235,1888,239xe" filled="true" fillcolor="#000000" stroked="false">
            <v:path arrowok="t"/>
            <v:fill type="solid"/>
            <w10:wrap type="none"/>
          </v:shape>
        </w:pict>
      </w:r>
      <w:r>
        <w:rPr/>
        <w:t>повышение жесткости крупных сосудов.</w:t>
      </w:r>
    </w:p>
    <w:p>
      <w:pPr>
        <w:spacing w:after="0"/>
        <w:jc w:val="left"/>
        <w:sectPr>
          <w:pgSz w:w="11900" w:h="16840"/>
          <w:pgMar w:top="0" w:bottom="280" w:left="1420" w:right="1520"/>
        </w:sectPr>
      </w:pPr>
    </w:p>
    <w:p>
      <w:pPr>
        <w:pStyle w:val="Heading2"/>
        <w:numPr>
          <w:ilvl w:val="1"/>
          <w:numId w:val="2"/>
        </w:numPr>
        <w:tabs>
          <w:tab w:pos="941" w:val="left" w:leader="none"/>
        </w:tabs>
        <w:spacing w:line="177" w:lineRule="auto" w:before="28" w:after="0"/>
        <w:ind w:left="380" w:right="635" w:firstLine="0"/>
        <w:jc w:val="left"/>
      </w:pPr>
      <w:r>
        <w:rPr/>
        <w:t>Эпидемиология заболевания или </w:t>
      </w:r>
      <w:r>
        <w:rPr>
          <w:spacing w:val="-4"/>
        </w:rPr>
        <w:t>состояния </w:t>
      </w:r>
      <w:r>
        <w:rPr/>
        <w:t>(группы заболеваний,</w:t>
      </w:r>
      <w:r>
        <w:rPr>
          <w:spacing w:val="14"/>
        </w:rPr>
        <w:t> </w:t>
      </w:r>
      <w:r>
        <w:rPr/>
        <w:t>состояний)</w:t>
      </w:r>
    </w:p>
    <w:p>
      <w:pPr>
        <w:pStyle w:val="BodyText"/>
        <w:spacing w:before="8"/>
        <w:ind w:left="0"/>
        <w:jc w:val="left"/>
        <w:rPr>
          <w:b/>
          <w:sz w:val="32"/>
        </w:rPr>
      </w:pPr>
    </w:p>
    <w:p>
      <w:pPr>
        <w:pStyle w:val="BodyText"/>
        <w:spacing w:line="256" w:lineRule="auto" w:before="0"/>
        <w:ind w:left="380" w:right="130"/>
      </w:pPr>
      <w:r>
        <w:rPr/>
        <w:t>Распространенность АГ среди взрослого населения составляет 30– 45% [17]. Распространенность АГ не зависит </w:t>
      </w:r>
      <w:r>
        <w:rPr>
          <w:spacing w:val="-3"/>
        </w:rPr>
        <w:t>от </w:t>
      </w:r>
      <w:r>
        <w:rPr/>
        <w:t>уровня </w:t>
      </w:r>
      <w:r>
        <w:rPr>
          <w:spacing w:val="-3"/>
        </w:rPr>
        <w:t>дохода </w:t>
      </w:r>
      <w:r>
        <w:rPr/>
        <w:t>и одинакова в странах с низким, средним и высоким уровнями </w:t>
      </w:r>
      <w:r>
        <w:rPr>
          <w:spacing w:val="-3"/>
        </w:rPr>
        <w:t>дохода </w:t>
      </w:r>
      <w:r>
        <w:rPr/>
        <w:t>[17]. В российской популяции среди мужчин в возрасте 25–65 лет распространенность АГ несколько выше (в некоторых регионах она достигает 47%), </w:t>
      </w:r>
      <w:r>
        <w:rPr>
          <w:spacing w:val="-3"/>
        </w:rPr>
        <w:t>тогда </w:t>
      </w:r>
      <w:r>
        <w:rPr/>
        <w:t>как среди женщин распространенность АГ — </w:t>
      </w:r>
      <w:r>
        <w:rPr>
          <w:spacing w:val="-3"/>
        </w:rPr>
        <w:t>около </w:t>
      </w:r>
      <w:r>
        <w:rPr/>
        <w:t>40% [18]. Распространенность АГ увеличивается с возрастом, достигая 60% и выше у лиц старше 60 лет [17]. Поскольку наблюдаемое увеличение продолжительности жизни сопровождается постарением населения и,  соответственно, увеличением количества малоподвижных пациентов с избыточной массой тела, прогнозируется, что распространенность АГ </w:t>
      </w:r>
      <w:r>
        <w:rPr>
          <w:spacing w:val="-3"/>
        </w:rPr>
        <w:t>будет </w:t>
      </w:r>
      <w:r>
        <w:rPr/>
        <w:t>расти во всем мире. </w:t>
      </w:r>
      <w:r>
        <w:rPr>
          <w:spacing w:val="-3"/>
        </w:rPr>
        <w:t>Согласно </w:t>
      </w:r>
      <w:r>
        <w:rPr/>
        <w:t>прогнозу, к 2025 году число пациентов АГ увеличится на 15–20%   и достигнет почти 1,5 миллиардов</w:t>
      </w:r>
      <w:r>
        <w:rPr>
          <w:spacing w:val="-7"/>
        </w:rPr>
        <w:t> </w:t>
      </w:r>
      <w:r>
        <w:rPr/>
        <w:t>[19].</w:t>
      </w:r>
    </w:p>
    <w:p>
      <w:pPr>
        <w:pStyle w:val="BodyText"/>
        <w:spacing w:line="256" w:lineRule="auto" w:before="276"/>
        <w:ind w:left="380" w:right="128"/>
      </w:pPr>
      <w:r>
        <w:rPr/>
        <w:t>АГ является ведущим фактором риска развития сердечно- сосудистых (СС) (инфаркт миокарда, инсульт, ишемическая болезнь сердца (ИБС), хроническая сердечная недостаточность), цереброваскулярных (ишемический или геморрагический инсульт, транзиторная ишемическая атака) и почечных (хроническая болезнь почек (ХБП)) заболеваний [20–22].</w:t>
      </w:r>
    </w:p>
    <w:p>
      <w:pPr>
        <w:pStyle w:val="BodyText"/>
        <w:spacing w:line="256" w:lineRule="auto" w:before="273"/>
        <w:ind w:left="380" w:right="136"/>
      </w:pPr>
      <w:r>
        <w:rPr/>
        <w:t>Взаимосвязь артериального давления с риском развития сердечно-сосудистых, цереброваскулярных и почечных осложнений</w:t>
      </w:r>
    </w:p>
    <w:p>
      <w:pPr>
        <w:pStyle w:val="BodyText"/>
        <w:spacing w:line="256" w:lineRule="auto" w:before="271"/>
        <w:ind w:left="380" w:right="131"/>
      </w:pPr>
      <w:r>
        <w:rPr>
          <w:w w:val="105"/>
        </w:rPr>
        <w:t>Повышенное АД является основным фактором развития преждевременной смерти и причиной почти 10 миллионов смертей</w:t>
      </w:r>
      <w:r>
        <w:rPr>
          <w:spacing w:val="-40"/>
          <w:w w:val="105"/>
        </w:rPr>
        <w:t> </w:t>
      </w:r>
      <w:r>
        <w:rPr>
          <w:w w:val="105"/>
        </w:rPr>
        <w:t>и</w:t>
      </w:r>
      <w:r>
        <w:rPr>
          <w:spacing w:val="-39"/>
          <w:w w:val="105"/>
        </w:rPr>
        <w:t> </w:t>
      </w:r>
      <w:r>
        <w:rPr>
          <w:w w:val="105"/>
        </w:rPr>
        <w:t>более</w:t>
      </w:r>
      <w:r>
        <w:rPr>
          <w:spacing w:val="-40"/>
          <w:w w:val="105"/>
        </w:rPr>
        <w:t> </w:t>
      </w:r>
      <w:r>
        <w:rPr>
          <w:w w:val="105"/>
        </w:rPr>
        <w:t>чем</w:t>
      </w:r>
      <w:r>
        <w:rPr>
          <w:spacing w:val="-39"/>
          <w:w w:val="105"/>
        </w:rPr>
        <w:t> </w:t>
      </w:r>
      <w:r>
        <w:rPr>
          <w:w w:val="105"/>
        </w:rPr>
        <w:t>200</w:t>
      </w:r>
      <w:r>
        <w:rPr>
          <w:spacing w:val="-40"/>
          <w:w w:val="105"/>
        </w:rPr>
        <w:t> </w:t>
      </w:r>
      <w:r>
        <w:rPr>
          <w:w w:val="105"/>
        </w:rPr>
        <w:t>миллионов</w:t>
      </w:r>
      <w:r>
        <w:rPr>
          <w:spacing w:val="-39"/>
          <w:w w:val="105"/>
        </w:rPr>
        <w:t> </w:t>
      </w:r>
      <w:r>
        <w:rPr>
          <w:w w:val="105"/>
        </w:rPr>
        <w:t>случаев</w:t>
      </w:r>
      <w:r>
        <w:rPr>
          <w:spacing w:val="-40"/>
          <w:w w:val="105"/>
        </w:rPr>
        <w:t> </w:t>
      </w:r>
      <w:r>
        <w:rPr>
          <w:w w:val="105"/>
        </w:rPr>
        <w:t>инвалидности</w:t>
      </w:r>
      <w:r>
        <w:rPr>
          <w:spacing w:val="-39"/>
          <w:w w:val="105"/>
        </w:rPr>
        <w:t> </w:t>
      </w:r>
      <w:r>
        <w:rPr>
          <w:w w:val="105"/>
        </w:rPr>
        <w:t>в</w:t>
      </w:r>
      <w:r>
        <w:rPr>
          <w:spacing w:val="-40"/>
          <w:w w:val="105"/>
        </w:rPr>
        <w:t> </w:t>
      </w:r>
      <w:r>
        <w:rPr>
          <w:w w:val="105"/>
        </w:rPr>
        <w:t>мире [20–22]. </w:t>
      </w:r>
      <w:r>
        <w:rPr>
          <w:spacing w:val="-3"/>
          <w:w w:val="105"/>
        </w:rPr>
        <w:t>Уровень САД </w:t>
      </w:r>
      <w:r>
        <w:rPr>
          <w:rFonts w:ascii="Times New Roman" w:hAnsi="Times New Roman"/>
          <w:w w:val="105"/>
        </w:rPr>
        <w:t>≥</w:t>
      </w:r>
      <w:r>
        <w:rPr>
          <w:w w:val="105"/>
        </w:rPr>
        <w:t>140 мм рт. ст. ассоциируется с повышением риска смертности и инвалидности в 70% случаев, при</w:t>
      </w:r>
      <w:r>
        <w:rPr>
          <w:spacing w:val="-19"/>
          <w:w w:val="105"/>
        </w:rPr>
        <w:t> </w:t>
      </w:r>
      <w:r>
        <w:rPr>
          <w:w w:val="105"/>
        </w:rPr>
        <w:t>этом</w:t>
      </w:r>
      <w:r>
        <w:rPr>
          <w:spacing w:val="-19"/>
          <w:w w:val="105"/>
        </w:rPr>
        <w:t> </w:t>
      </w:r>
      <w:r>
        <w:rPr>
          <w:w w:val="105"/>
        </w:rPr>
        <w:t>наибольшее</w:t>
      </w:r>
      <w:r>
        <w:rPr>
          <w:spacing w:val="-19"/>
          <w:w w:val="105"/>
        </w:rPr>
        <w:t> </w:t>
      </w:r>
      <w:r>
        <w:rPr>
          <w:w w:val="105"/>
        </w:rPr>
        <w:t>число</w:t>
      </w:r>
      <w:r>
        <w:rPr>
          <w:spacing w:val="-19"/>
          <w:w w:val="105"/>
        </w:rPr>
        <w:t> </w:t>
      </w:r>
      <w:r>
        <w:rPr>
          <w:w w:val="105"/>
        </w:rPr>
        <w:t>смертей</w:t>
      </w:r>
      <w:r>
        <w:rPr>
          <w:spacing w:val="-19"/>
          <w:w w:val="105"/>
        </w:rPr>
        <w:t> </w:t>
      </w:r>
      <w:r>
        <w:rPr>
          <w:w w:val="105"/>
        </w:rPr>
        <w:t>в</w:t>
      </w:r>
      <w:r>
        <w:rPr>
          <w:spacing w:val="-19"/>
          <w:w w:val="105"/>
        </w:rPr>
        <w:t> </w:t>
      </w:r>
      <w:r>
        <w:rPr>
          <w:w w:val="105"/>
        </w:rPr>
        <w:t>течение</w:t>
      </w:r>
      <w:r>
        <w:rPr>
          <w:spacing w:val="-19"/>
          <w:w w:val="105"/>
        </w:rPr>
        <w:t> </w:t>
      </w:r>
      <w:r>
        <w:rPr>
          <w:w w:val="105"/>
        </w:rPr>
        <w:t>года,</w:t>
      </w:r>
      <w:r>
        <w:rPr>
          <w:spacing w:val="-18"/>
          <w:w w:val="105"/>
        </w:rPr>
        <w:t> </w:t>
      </w:r>
      <w:r>
        <w:rPr>
          <w:w w:val="105"/>
        </w:rPr>
        <w:t>связанных</w:t>
      </w:r>
      <w:r>
        <w:rPr>
          <w:spacing w:val="-19"/>
          <w:w w:val="105"/>
        </w:rPr>
        <w:t> </w:t>
      </w:r>
      <w:r>
        <w:rPr>
          <w:w w:val="105"/>
        </w:rPr>
        <w:t>с уровнем САД, возникают вследствие ИБС, ишемических и геморрагических инсультов [21].Между уровнем АД и риском </w:t>
      </w:r>
      <w:r>
        <w:rPr/>
        <w:t>сердечно-сосудистых заболеваний (ССЗ) существует прямая связь. </w:t>
      </w:r>
      <w:r>
        <w:rPr>
          <w:w w:val="105"/>
        </w:rPr>
        <w:t>Эта</w:t>
      </w:r>
      <w:r>
        <w:rPr>
          <w:spacing w:val="-21"/>
          <w:w w:val="105"/>
        </w:rPr>
        <w:t> </w:t>
      </w:r>
      <w:r>
        <w:rPr>
          <w:w w:val="105"/>
        </w:rPr>
        <w:t>связь</w:t>
      </w:r>
      <w:r>
        <w:rPr>
          <w:spacing w:val="-20"/>
          <w:w w:val="105"/>
        </w:rPr>
        <w:t> </w:t>
      </w:r>
      <w:r>
        <w:rPr>
          <w:w w:val="105"/>
        </w:rPr>
        <w:t>начинается</w:t>
      </w:r>
      <w:r>
        <w:rPr>
          <w:spacing w:val="-20"/>
          <w:w w:val="105"/>
        </w:rPr>
        <w:t> </w:t>
      </w:r>
      <w:r>
        <w:rPr>
          <w:w w:val="105"/>
        </w:rPr>
        <w:t>с</w:t>
      </w:r>
      <w:r>
        <w:rPr>
          <w:spacing w:val="-20"/>
          <w:w w:val="105"/>
        </w:rPr>
        <w:t> </w:t>
      </w:r>
      <w:r>
        <w:rPr>
          <w:w w:val="105"/>
        </w:rPr>
        <w:t>относительно</w:t>
      </w:r>
      <w:r>
        <w:rPr>
          <w:spacing w:val="-20"/>
          <w:w w:val="105"/>
        </w:rPr>
        <w:t> </w:t>
      </w:r>
      <w:r>
        <w:rPr>
          <w:w w:val="105"/>
        </w:rPr>
        <w:t>низких</w:t>
      </w:r>
      <w:r>
        <w:rPr>
          <w:spacing w:val="-20"/>
          <w:w w:val="105"/>
        </w:rPr>
        <w:t> </w:t>
      </w:r>
      <w:r>
        <w:rPr>
          <w:w w:val="105"/>
        </w:rPr>
        <w:t>значений</w:t>
      </w:r>
      <w:r>
        <w:rPr>
          <w:spacing w:val="-20"/>
          <w:w w:val="105"/>
        </w:rPr>
        <w:t> </w:t>
      </w:r>
      <w:r>
        <w:rPr>
          <w:w w:val="105"/>
        </w:rPr>
        <w:t>—</w:t>
      </w:r>
      <w:r>
        <w:rPr>
          <w:spacing w:val="-20"/>
          <w:w w:val="105"/>
        </w:rPr>
        <w:t> </w:t>
      </w:r>
      <w:r>
        <w:rPr>
          <w:w w:val="105"/>
        </w:rPr>
        <w:t>110–115 мм</w:t>
      </w:r>
      <w:r>
        <w:rPr>
          <w:spacing w:val="-13"/>
          <w:w w:val="105"/>
        </w:rPr>
        <w:t> </w:t>
      </w:r>
      <w:r>
        <w:rPr>
          <w:w w:val="105"/>
        </w:rPr>
        <w:t>рт.</w:t>
      </w:r>
      <w:r>
        <w:rPr>
          <w:spacing w:val="-12"/>
          <w:w w:val="105"/>
        </w:rPr>
        <w:t> </w:t>
      </w:r>
      <w:r>
        <w:rPr>
          <w:w w:val="105"/>
        </w:rPr>
        <w:t>ст.</w:t>
      </w:r>
      <w:r>
        <w:rPr>
          <w:spacing w:val="-12"/>
          <w:w w:val="105"/>
        </w:rPr>
        <w:t> </w:t>
      </w:r>
      <w:r>
        <w:rPr>
          <w:w w:val="105"/>
        </w:rPr>
        <w:t>для</w:t>
      </w:r>
      <w:r>
        <w:rPr>
          <w:spacing w:val="-12"/>
          <w:w w:val="105"/>
        </w:rPr>
        <w:t> </w:t>
      </w:r>
      <w:r>
        <w:rPr>
          <w:spacing w:val="-3"/>
          <w:w w:val="105"/>
        </w:rPr>
        <w:t>САД</w:t>
      </w:r>
      <w:r>
        <w:rPr>
          <w:spacing w:val="-13"/>
          <w:w w:val="105"/>
        </w:rPr>
        <w:t> </w:t>
      </w:r>
      <w:r>
        <w:rPr>
          <w:w w:val="105"/>
        </w:rPr>
        <w:t>и</w:t>
      </w:r>
      <w:r>
        <w:rPr>
          <w:spacing w:val="-12"/>
          <w:w w:val="105"/>
        </w:rPr>
        <w:t> </w:t>
      </w:r>
      <w:r>
        <w:rPr>
          <w:w w:val="105"/>
        </w:rPr>
        <w:t>70–75</w:t>
      </w:r>
      <w:r>
        <w:rPr>
          <w:spacing w:val="-12"/>
          <w:w w:val="105"/>
        </w:rPr>
        <w:t> </w:t>
      </w:r>
      <w:r>
        <w:rPr>
          <w:w w:val="105"/>
        </w:rPr>
        <w:t>мм</w:t>
      </w:r>
      <w:r>
        <w:rPr>
          <w:spacing w:val="-12"/>
          <w:w w:val="105"/>
        </w:rPr>
        <w:t> </w:t>
      </w:r>
      <w:r>
        <w:rPr>
          <w:w w:val="105"/>
        </w:rPr>
        <w:t>рт.</w:t>
      </w:r>
      <w:r>
        <w:rPr>
          <w:spacing w:val="-12"/>
          <w:w w:val="105"/>
        </w:rPr>
        <w:t> </w:t>
      </w:r>
      <w:r>
        <w:rPr>
          <w:w w:val="105"/>
        </w:rPr>
        <w:t>ст.</w:t>
      </w:r>
      <w:r>
        <w:rPr>
          <w:spacing w:val="-13"/>
          <w:w w:val="105"/>
        </w:rPr>
        <w:t> </w:t>
      </w:r>
      <w:r>
        <w:rPr>
          <w:w w:val="105"/>
        </w:rPr>
        <w:t>для</w:t>
      </w:r>
      <w:r>
        <w:rPr>
          <w:spacing w:val="-12"/>
          <w:w w:val="105"/>
        </w:rPr>
        <w:t> </w:t>
      </w:r>
      <w:r>
        <w:rPr>
          <w:w w:val="105"/>
        </w:rPr>
        <w:t>ДАД</w:t>
      </w:r>
      <w:r>
        <w:rPr>
          <w:spacing w:val="-12"/>
          <w:w w:val="105"/>
        </w:rPr>
        <w:t> </w:t>
      </w:r>
      <w:r>
        <w:rPr>
          <w:w w:val="105"/>
        </w:rPr>
        <w:t>[22].</w:t>
      </w:r>
    </w:p>
    <w:p>
      <w:pPr>
        <w:spacing w:after="0" w:line="256" w:lineRule="auto"/>
        <w:sectPr>
          <w:pgSz w:w="11900" w:h="16840"/>
          <w:pgMar w:top="0" w:bottom="280" w:left="1420" w:right="1520"/>
        </w:sectPr>
      </w:pPr>
    </w:p>
    <w:p>
      <w:pPr>
        <w:pStyle w:val="BodyText"/>
        <w:spacing w:line="256" w:lineRule="auto" w:before="16"/>
        <w:ind w:left="380" w:right="130"/>
      </w:pPr>
      <w:r>
        <w:rPr/>
        <w:t>Повышенные уровни АД, измеренные в медицинском учреждении или вне его, имеют прямую и независимую связь с частотой развития большинства </w:t>
      </w:r>
      <w:r>
        <w:rPr>
          <w:spacing w:val="-4"/>
        </w:rPr>
        <w:t>СС </w:t>
      </w:r>
      <w:r>
        <w:rPr/>
        <w:t>событий (геморрагического инсульта, ишемического инсульта, инфаркта миокарда, внезапной смерти, сердечной недостаточности и заболеваний периферических артерий), а также терминальной почечной недостаточности [23]. Все больше данных свидетельствуют о тесной связи АГ с увеличением частоты развития фибрилляции предсердий [24], а также когнитивной дисфункции и деменции. Повышение АД в среднем возрасте ассоциируется с</w:t>
      </w:r>
      <w:r>
        <w:rPr>
          <w:spacing w:val="56"/>
        </w:rPr>
        <w:t> </w:t>
      </w:r>
      <w:r>
        <w:rPr/>
        <w:t>развитием когнитивных нарушений и деменции в пожилом возрасте, а интенсивная терапия артериальной гипертензии с достижением целевых цифр АД уменьшает риски развития умеренных когнитивных нарушений и возможной деменции [25,</w:t>
      </w:r>
      <w:r>
        <w:rPr>
          <w:spacing w:val="1"/>
        </w:rPr>
        <w:t> </w:t>
      </w:r>
      <w:r>
        <w:rPr/>
        <w:t>26].</w:t>
      </w:r>
    </w:p>
    <w:p>
      <w:pPr>
        <w:pStyle w:val="BodyText"/>
        <w:spacing w:line="256" w:lineRule="auto" w:before="276"/>
        <w:ind w:left="380" w:right="130"/>
      </w:pPr>
      <w:r>
        <w:rPr/>
        <w:t>Прямая связь между повышенным уровнем АД и риском </w:t>
      </w:r>
      <w:r>
        <w:rPr>
          <w:spacing w:val="-4"/>
        </w:rPr>
        <w:t>СС</w:t>
      </w:r>
      <w:r>
        <w:rPr>
          <w:spacing w:val="59"/>
        </w:rPr>
        <w:t> </w:t>
      </w:r>
      <w:r>
        <w:rPr/>
        <w:t>событий продемонстрирована для </w:t>
      </w:r>
      <w:r>
        <w:rPr>
          <w:spacing w:val="-3"/>
        </w:rPr>
        <w:t>всех </w:t>
      </w:r>
      <w:r>
        <w:rPr/>
        <w:t>возрастных [27] и этнических групп [28]. У пациентов старше 50 лет </w:t>
      </w:r>
      <w:r>
        <w:rPr>
          <w:spacing w:val="-3"/>
        </w:rPr>
        <w:t>САД </w:t>
      </w:r>
      <w:r>
        <w:rPr/>
        <w:t>является более сильным предиктором событий, чем ДАД </w:t>
      </w:r>
      <w:r>
        <w:rPr>
          <w:spacing w:val="-7"/>
        </w:rPr>
        <w:t>[27, </w:t>
      </w:r>
      <w:r>
        <w:rPr/>
        <w:t>29]. Высокое ДАД ассоциируется с увеличением риска </w:t>
      </w:r>
      <w:r>
        <w:rPr>
          <w:spacing w:val="-4"/>
        </w:rPr>
        <w:t>СС </w:t>
      </w:r>
      <w:r>
        <w:rPr/>
        <w:t>событий и чаще является повышенным у более молодых (&lt;50 лет) пациентов. ДАД имеет тенденцию к понижению во второй половине жизни вследствие увеличения артериальной жесткости, </w:t>
      </w:r>
      <w:r>
        <w:rPr>
          <w:spacing w:val="-3"/>
        </w:rPr>
        <w:t>тогда </w:t>
      </w:r>
      <w:r>
        <w:rPr/>
        <w:t>как САД, как фактор риска, приобретает в </w:t>
      </w:r>
      <w:r>
        <w:rPr>
          <w:spacing w:val="-3"/>
        </w:rPr>
        <w:t>этот </w:t>
      </w:r>
      <w:r>
        <w:rPr/>
        <w:t>период еще большее значение [29]. У пациентов среднего возраста и пожилых повышение пульсового давления (ПД) (которое представляет собой разницу между </w:t>
      </w:r>
      <w:r>
        <w:rPr>
          <w:spacing w:val="-3"/>
        </w:rPr>
        <w:t>САД </w:t>
      </w:r>
      <w:r>
        <w:rPr/>
        <w:t>и ДАД) оказывает дополнительное негативное влияние на прогноз [20, 30].</w:t>
      </w:r>
    </w:p>
    <w:p>
      <w:pPr>
        <w:pStyle w:val="BodyText"/>
        <w:spacing w:before="0"/>
        <w:ind w:left="0"/>
        <w:jc w:val="left"/>
        <w:rPr>
          <w:sz w:val="36"/>
        </w:rPr>
      </w:pPr>
    </w:p>
    <w:p>
      <w:pPr>
        <w:pStyle w:val="Heading2"/>
        <w:numPr>
          <w:ilvl w:val="1"/>
          <w:numId w:val="2"/>
        </w:numPr>
        <w:tabs>
          <w:tab w:pos="941" w:val="left" w:leader="none"/>
        </w:tabs>
        <w:spacing w:line="177" w:lineRule="auto" w:before="282" w:after="0"/>
        <w:ind w:left="380" w:right="501" w:firstLine="0"/>
        <w:jc w:val="left"/>
      </w:pPr>
      <w:r>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w:t>
      </w:r>
      <w:r>
        <w:rPr>
          <w:spacing w:val="-3"/>
        </w:rPr>
        <w:t>со</w:t>
      </w:r>
      <w:r>
        <w:rPr>
          <w:spacing w:val="6"/>
        </w:rPr>
        <w:t> </w:t>
      </w:r>
      <w:r>
        <w:rPr/>
        <w:t>здоровьем</w:t>
      </w:r>
    </w:p>
    <w:p>
      <w:pPr>
        <w:pStyle w:val="BodyText"/>
        <w:spacing w:before="10"/>
        <w:ind w:left="0"/>
        <w:jc w:val="left"/>
        <w:rPr>
          <w:b/>
          <w:sz w:val="32"/>
        </w:rPr>
      </w:pPr>
    </w:p>
    <w:p>
      <w:pPr>
        <w:pStyle w:val="BodyText"/>
        <w:spacing w:line="256" w:lineRule="auto" w:before="0"/>
        <w:ind w:left="380"/>
        <w:jc w:val="left"/>
      </w:pPr>
      <w:r>
        <w:rPr/>
        <w:t>Болезни, характеризующиеся повышенным кровяным давлением </w:t>
      </w:r>
      <w:r>
        <w:rPr>
          <w:w w:val="105"/>
        </w:rPr>
        <w:t>(I10, I11, I12, I13, I15):</w:t>
      </w:r>
    </w:p>
    <w:p>
      <w:pPr>
        <w:pStyle w:val="BodyText"/>
        <w:spacing w:line="434" w:lineRule="auto" w:before="271"/>
        <w:ind w:left="380" w:right="2563"/>
        <w:jc w:val="left"/>
      </w:pPr>
      <w:r>
        <w:rPr/>
        <w:t>I10 — Эссенциальная [первичная] гипертензия: Высокое кровяное давление;</w:t>
      </w:r>
    </w:p>
    <w:p>
      <w:pPr>
        <w:pStyle w:val="BodyText"/>
        <w:spacing w:line="256" w:lineRule="auto" w:before="2"/>
        <w:ind w:left="380"/>
        <w:jc w:val="left"/>
      </w:pPr>
      <w:r>
        <w:rPr/>
        <w:t>Гипертензия (артериальная) (доброкачественная) (эссенциальная) (злокачественная) (первичная) (системная).</w:t>
      </w:r>
    </w:p>
    <w:p>
      <w:pPr>
        <w:spacing w:after="0" w:line="256" w:lineRule="auto"/>
        <w:jc w:val="left"/>
        <w:sectPr>
          <w:pgSz w:w="11900" w:h="16840"/>
          <w:pgMar w:top="0" w:bottom="0" w:left="1420" w:right="1520"/>
        </w:sectPr>
      </w:pPr>
    </w:p>
    <w:p>
      <w:pPr>
        <w:pStyle w:val="BodyText"/>
        <w:spacing w:line="256" w:lineRule="auto" w:before="16"/>
        <w:ind w:left="380" w:right="130"/>
      </w:pPr>
      <w:r>
        <w:rPr/>
        <w:t>I11 — Гипертензивная болезнь сердца [гипертоническая болезнь сердца с преимущественным поражением сердца];</w:t>
      </w:r>
    </w:p>
    <w:p>
      <w:pPr>
        <w:pStyle w:val="BodyText"/>
        <w:spacing w:line="256" w:lineRule="auto" w:before="271"/>
        <w:ind w:left="380" w:right="129"/>
      </w:pPr>
      <w:r>
        <w:rPr/>
        <w:t>I11.0 — Гипертензивная [гипертоническая] болезнь с преимущественным поражением сердца с (застойной) сердечной недостаточностью:</w:t>
      </w:r>
    </w:p>
    <w:p>
      <w:pPr>
        <w:pStyle w:val="BodyText"/>
        <w:spacing w:before="272"/>
        <w:ind w:left="380"/>
        <w:jc w:val="left"/>
      </w:pPr>
      <w:r>
        <w:rPr/>
        <w:t>Гипертензивная [гипертоническая] сердечная недостаточность.</w:t>
      </w:r>
    </w:p>
    <w:p>
      <w:pPr>
        <w:pStyle w:val="BodyText"/>
        <w:spacing w:line="256" w:lineRule="auto" w:before="296"/>
        <w:ind w:left="380" w:right="129"/>
      </w:pPr>
      <w:r>
        <w:rPr/>
        <w:t>I11.9 — Гипертензивная [гипертоническая] болезнь с преимущественным поражением сердца без (застойной) сердечной недостаточности:</w:t>
      </w:r>
    </w:p>
    <w:p>
      <w:pPr>
        <w:pStyle w:val="BodyText"/>
        <w:spacing w:line="256" w:lineRule="auto" w:before="271"/>
        <w:ind w:left="380" w:right="138"/>
      </w:pPr>
      <w:r>
        <w:rPr/>
        <w:t>Гипертензивная болезнь сердца без дополнительных уточнений (БДУ).</w:t>
      </w:r>
    </w:p>
    <w:p>
      <w:pPr>
        <w:pStyle w:val="BodyText"/>
        <w:tabs>
          <w:tab w:pos="1219" w:val="left" w:leader="none"/>
          <w:tab w:pos="1914" w:val="left" w:leader="none"/>
          <w:tab w:pos="4430" w:val="left" w:leader="none"/>
          <w:tab w:pos="7235" w:val="left" w:leader="none"/>
          <w:tab w:pos="8693" w:val="left" w:leader="none"/>
        </w:tabs>
        <w:spacing w:line="256" w:lineRule="auto" w:before="271"/>
        <w:ind w:left="380" w:right="138"/>
        <w:jc w:val="left"/>
      </w:pPr>
      <w:r>
        <w:rPr/>
        <w:t>I12</w:t>
        <w:tab/>
        <w:t>—</w:t>
        <w:tab/>
        <w:t>Гипертензивная</w:t>
        <w:tab/>
        <w:t>[гипертоническая]</w:t>
        <w:tab/>
        <w:t>болезнь</w:t>
        <w:tab/>
      </w:r>
      <w:r>
        <w:rPr>
          <w:spacing w:val="-17"/>
        </w:rPr>
        <w:t>с </w:t>
      </w:r>
      <w:r>
        <w:rPr/>
        <w:t>преимущественным поражением</w:t>
      </w:r>
      <w:r>
        <w:rPr>
          <w:spacing w:val="-4"/>
        </w:rPr>
        <w:t> </w:t>
      </w:r>
      <w:r>
        <w:rPr/>
        <w:t>почек:</w:t>
      </w:r>
    </w:p>
    <w:p>
      <w:pPr>
        <w:pStyle w:val="BodyText"/>
        <w:spacing w:before="271"/>
        <w:ind w:left="380"/>
        <w:jc w:val="left"/>
      </w:pPr>
      <w:r>
        <w:rPr/>
        <w:t>Артериосклероз почек</w:t>
      </w:r>
    </w:p>
    <w:p>
      <w:pPr>
        <w:pStyle w:val="BodyText"/>
        <w:tabs>
          <w:tab w:pos="4757" w:val="left" w:leader="none"/>
          <w:tab w:pos="6972" w:val="left" w:leader="none"/>
        </w:tabs>
        <w:spacing w:line="256" w:lineRule="auto" w:before="296"/>
        <w:ind w:left="380" w:right="137"/>
        <w:jc w:val="left"/>
      </w:pPr>
      <w:r>
        <w:rPr/>
        <w:t>Артериосклеротический</w:t>
        <w:tab/>
        <w:t>нефрит</w:t>
        <w:tab/>
      </w:r>
      <w:r>
        <w:rPr>
          <w:spacing w:val="-1"/>
        </w:rPr>
        <w:t>(хронический) </w:t>
      </w:r>
      <w:r>
        <w:rPr/>
        <w:t>(интерстициальный);</w:t>
      </w:r>
    </w:p>
    <w:p>
      <w:pPr>
        <w:pStyle w:val="BodyText"/>
        <w:spacing w:line="434" w:lineRule="auto" w:before="271"/>
        <w:ind w:left="380" w:right="4496"/>
        <w:jc w:val="left"/>
      </w:pPr>
      <w:r>
        <w:rPr/>
        <w:t>Гипертензивная нефропатия; Нефросклероз.</w:t>
      </w:r>
    </w:p>
    <w:p>
      <w:pPr>
        <w:pStyle w:val="BodyText"/>
        <w:spacing w:line="256" w:lineRule="auto" w:before="2"/>
        <w:ind w:left="380" w:right="129"/>
      </w:pPr>
      <w:r>
        <w:rPr/>
        <w:t>I12.0 — Гипертензивная [гипертоническая] болезнь с преимущественным поражением почек с почечной недостаточностью:</w:t>
      </w:r>
    </w:p>
    <w:p>
      <w:pPr>
        <w:pStyle w:val="BodyText"/>
        <w:spacing w:before="271"/>
        <w:ind w:left="380"/>
        <w:jc w:val="left"/>
      </w:pPr>
      <w:r>
        <w:rPr/>
        <w:t>Гипертоническая почечная недостаточность.</w:t>
      </w:r>
    </w:p>
    <w:p>
      <w:pPr>
        <w:pStyle w:val="BodyText"/>
        <w:spacing w:line="256" w:lineRule="auto" w:before="296"/>
        <w:ind w:left="380" w:right="129"/>
      </w:pPr>
      <w:r>
        <w:rPr/>
        <w:t>I12.9 — Гипертензивная [гипертоническая] болезнь с преимущественным поражением почек без почечной недостаточности:</w:t>
      </w:r>
    </w:p>
    <w:p>
      <w:pPr>
        <w:pStyle w:val="BodyText"/>
        <w:spacing w:before="271"/>
        <w:ind w:left="380"/>
        <w:jc w:val="left"/>
      </w:pPr>
      <w:r>
        <w:rPr/>
        <w:t>Почечная форма гипертонической болезни БДУ.</w:t>
      </w:r>
    </w:p>
    <w:p>
      <w:pPr>
        <w:pStyle w:val="BodyText"/>
        <w:spacing w:line="256" w:lineRule="auto" w:before="296"/>
        <w:ind w:left="380" w:right="138"/>
      </w:pPr>
      <w:r>
        <w:rPr/>
        <w:t>I13 — Гипертензивная [гипертоническая] болезнь с преимущественным поражением сердца и почек.</w:t>
      </w:r>
    </w:p>
    <w:p>
      <w:pPr>
        <w:pStyle w:val="BodyText"/>
        <w:spacing w:line="256" w:lineRule="auto" w:before="271"/>
        <w:ind w:left="380" w:right="129"/>
      </w:pPr>
      <w:r>
        <w:rPr/>
        <w:t>I13.0 — Гипертензивная [гипертоническая] болезнь с преимущественным поражением сердца и почек с (застойной) сердечной недостаточностью.</w:t>
      </w:r>
    </w:p>
    <w:p>
      <w:pPr>
        <w:spacing w:after="0" w:line="256" w:lineRule="auto"/>
        <w:sectPr>
          <w:pgSz w:w="11900" w:h="16840"/>
          <w:pgMar w:top="0" w:bottom="280" w:left="1420" w:right="1520"/>
        </w:sectPr>
      </w:pPr>
    </w:p>
    <w:p>
      <w:pPr>
        <w:pStyle w:val="BodyText"/>
        <w:spacing w:line="256" w:lineRule="auto" w:before="16"/>
        <w:ind w:left="380" w:right="129"/>
      </w:pPr>
      <w:r>
        <w:rPr/>
        <w:t>I13.1 — Гипертензивная [гипертоническая] болезнь с преимущественным поражением почек с почечной недостаточностью.</w:t>
      </w:r>
    </w:p>
    <w:p>
      <w:pPr>
        <w:pStyle w:val="BodyText"/>
        <w:spacing w:line="256" w:lineRule="auto" w:before="272"/>
        <w:ind w:left="380" w:right="129"/>
      </w:pPr>
      <w:r>
        <w:rPr/>
        <w:t>I13.2 — Гипертензивная [гипертоническая] болезнь с преимущественным поражением сердца и почек с (застойной) сердечной недостаточностью и почечной недостаточностью.</w:t>
      </w:r>
    </w:p>
    <w:p>
      <w:pPr>
        <w:pStyle w:val="BodyText"/>
        <w:spacing w:line="256" w:lineRule="auto" w:before="271"/>
        <w:ind w:left="380" w:right="129"/>
      </w:pPr>
      <w:r>
        <w:rPr/>
        <w:t>I13.9 — Гипертензивная [гипертоническая] болезнь с преимущественным поражением сердца и почек неуточненная.</w:t>
      </w:r>
    </w:p>
    <w:p>
      <w:pPr>
        <w:pStyle w:val="BodyText"/>
        <w:spacing w:before="271"/>
        <w:ind w:left="380"/>
        <w:jc w:val="left"/>
      </w:pPr>
      <w:r>
        <w:rPr/>
        <w:t>I15 — Вторичная гипертензия.</w:t>
      </w:r>
    </w:p>
    <w:p>
      <w:pPr>
        <w:pStyle w:val="BodyText"/>
        <w:spacing w:before="296"/>
        <w:ind w:left="380"/>
        <w:jc w:val="left"/>
      </w:pPr>
      <w:r>
        <w:rPr/>
        <w:t>I15.0 — Реноваскулярная гипертензия.</w:t>
      </w:r>
    </w:p>
    <w:p>
      <w:pPr>
        <w:pStyle w:val="BodyText"/>
        <w:spacing w:line="256" w:lineRule="auto" w:before="296"/>
        <w:ind w:left="380" w:right="136"/>
      </w:pPr>
      <w:r>
        <w:rPr/>
        <w:t>I15.1 — Гипертензия вторичная по отношению к другим поражениям почек.</w:t>
      </w:r>
    </w:p>
    <w:p>
      <w:pPr>
        <w:pStyle w:val="BodyText"/>
        <w:spacing w:line="256" w:lineRule="auto" w:before="271"/>
        <w:ind w:left="380" w:right="131"/>
      </w:pPr>
      <w:r>
        <w:rPr/>
        <w:t>I15.2 — Гипертензия вторичная по отношению к эндокринным нарушениям.</w:t>
      </w:r>
    </w:p>
    <w:p>
      <w:pPr>
        <w:pStyle w:val="BodyText"/>
        <w:spacing w:before="271"/>
        <w:ind w:left="380"/>
        <w:jc w:val="left"/>
      </w:pPr>
      <w:r>
        <w:rPr/>
        <w:t>I15.8 — Другая вторичная гипертензия.</w:t>
      </w:r>
    </w:p>
    <w:p>
      <w:pPr>
        <w:pStyle w:val="BodyText"/>
        <w:spacing w:before="296"/>
        <w:ind w:left="380"/>
        <w:jc w:val="left"/>
      </w:pPr>
      <w:r>
        <w:rPr>
          <w:w w:val="105"/>
        </w:rPr>
        <w:t>I15.9 — Вторичная гипертензия неуточненная.</w:t>
      </w:r>
    </w:p>
    <w:p>
      <w:pPr>
        <w:pStyle w:val="BodyText"/>
        <w:spacing w:before="0"/>
        <w:ind w:left="0"/>
        <w:jc w:val="left"/>
        <w:rPr>
          <w:sz w:val="36"/>
        </w:rPr>
      </w:pPr>
    </w:p>
    <w:p>
      <w:pPr>
        <w:pStyle w:val="Heading2"/>
        <w:numPr>
          <w:ilvl w:val="1"/>
          <w:numId w:val="2"/>
        </w:numPr>
        <w:tabs>
          <w:tab w:pos="941" w:val="left" w:leader="none"/>
        </w:tabs>
        <w:spacing w:line="177" w:lineRule="auto" w:before="302" w:after="0"/>
        <w:ind w:left="380" w:right="649" w:firstLine="0"/>
        <w:jc w:val="left"/>
      </w:pPr>
      <w:r>
        <w:rPr/>
        <w:t>Классификация заболевания или состояния (группы заболеваний,</w:t>
      </w:r>
      <w:r>
        <w:rPr>
          <w:spacing w:val="14"/>
        </w:rPr>
        <w:t> </w:t>
      </w:r>
      <w:r>
        <w:rPr/>
        <w:t>состояний)</w:t>
      </w:r>
    </w:p>
    <w:p>
      <w:pPr>
        <w:pStyle w:val="BodyText"/>
        <w:spacing w:before="8"/>
        <w:ind w:left="0"/>
        <w:jc w:val="left"/>
        <w:rPr>
          <w:b/>
          <w:sz w:val="32"/>
        </w:rPr>
      </w:pPr>
    </w:p>
    <w:p>
      <w:pPr>
        <w:pStyle w:val="BodyText"/>
        <w:spacing w:line="256" w:lineRule="auto" w:before="0"/>
        <w:ind w:left="380" w:right="130"/>
      </w:pPr>
      <w:r>
        <w:rPr>
          <w:w w:val="105"/>
        </w:rPr>
        <w:t>АГ</w:t>
      </w:r>
      <w:r>
        <w:rPr>
          <w:spacing w:val="-22"/>
          <w:w w:val="105"/>
        </w:rPr>
        <w:t> </w:t>
      </w:r>
      <w:r>
        <w:rPr>
          <w:w w:val="105"/>
        </w:rPr>
        <w:t>классифицируют</w:t>
      </w:r>
      <w:r>
        <w:rPr>
          <w:spacing w:val="-21"/>
          <w:w w:val="105"/>
        </w:rPr>
        <w:t> </w:t>
      </w:r>
      <w:r>
        <w:rPr>
          <w:w w:val="105"/>
        </w:rPr>
        <w:t>по</w:t>
      </w:r>
      <w:r>
        <w:rPr>
          <w:spacing w:val="-21"/>
          <w:w w:val="105"/>
        </w:rPr>
        <w:t> </w:t>
      </w:r>
      <w:r>
        <w:rPr>
          <w:w w:val="105"/>
        </w:rPr>
        <w:t>степени,</w:t>
      </w:r>
      <w:r>
        <w:rPr>
          <w:spacing w:val="-21"/>
          <w:w w:val="105"/>
        </w:rPr>
        <w:t> </w:t>
      </w:r>
      <w:r>
        <w:rPr>
          <w:w w:val="105"/>
        </w:rPr>
        <w:t>которая</w:t>
      </w:r>
      <w:r>
        <w:rPr>
          <w:spacing w:val="-21"/>
          <w:w w:val="105"/>
        </w:rPr>
        <w:t> </w:t>
      </w:r>
      <w:r>
        <w:rPr>
          <w:w w:val="105"/>
        </w:rPr>
        <w:t>определяется</w:t>
      </w:r>
      <w:r>
        <w:rPr>
          <w:spacing w:val="-21"/>
          <w:w w:val="105"/>
        </w:rPr>
        <w:t> </w:t>
      </w:r>
      <w:r>
        <w:rPr>
          <w:w w:val="105"/>
        </w:rPr>
        <w:t>уровнем АД у нелеченных пациентов; стадии, которая определяется </w:t>
      </w:r>
      <w:r>
        <w:rPr/>
        <w:t>наличием сахарного диабета (СД), поражения органов-мишеней </w:t>
      </w:r>
      <w:r>
        <w:rPr>
          <w:w w:val="105"/>
        </w:rPr>
        <w:t>(ПОМ) и ассоциированных клинических состояний (АКС); категории риска развития сердечно-сосудистых осложнений, которая учитывает уровень АД, сопутствующие факторы риска (ФР), наличие </w:t>
      </w:r>
      <w:r>
        <w:rPr>
          <w:spacing w:val="-3"/>
          <w:w w:val="105"/>
        </w:rPr>
        <w:t>СД, </w:t>
      </w:r>
      <w:r>
        <w:rPr>
          <w:w w:val="105"/>
        </w:rPr>
        <w:t>ПОМ,</w:t>
      </w:r>
      <w:r>
        <w:rPr>
          <w:spacing w:val="-34"/>
          <w:w w:val="105"/>
        </w:rPr>
        <w:t> </w:t>
      </w:r>
      <w:r>
        <w:rPr>
          <w:spacing w:val="-3"/>
          <w:w w:val="105"/>
        </w:rPr>
        <w:t>АКС.</w:t>
      </w:r>
    </w:p>
    <w:p>
      <w:pPr>
        <w:pStyle w:val="BodyText"/>
        <w:spacing w:line="256" w:lineRule="auto" w:before="273"/>
        <w:ind w:left="380" w:right="130"/>
      </w:pPr>
      <w:r>
        <w:rPr/>
        <w:t>Классификация уровней АД у лиц старше 18 лет представлена в таблице П2, Приложение Г1. Категорию АД определяют по результатам его трехкратного измерения в положении пациента сидя. Используют средние значения </w:t>
      </w:r>
      <w:r>
        <w:rPr>
          <w:spacing w:val="-3"/>
        </w:rPr>
        <w:t>САД </w:t>
      </w:r>
      <w:r>
        <w:rPr/>
        <w:t>и ДАД, определенных при двух последних измерениях. Изолированная систолическая гипертензия классифицируется на степени 1, 2 или 3 в зависимости </w:t>
      </w:r>
      <w:r>
        <w:rPr>
          <w:spacing w:val="-3"/>
        </w:rPr>
        <w:t>от </w:t>
      </w:r>
      <w:r>
        <w:rPr/>
        <w:t>значения САД. Если значения </w:t>
      </w:r>
      <w:r>
        <w:rPr>
          <w:spacing w:val="-3"/>
        </w:rPr>
        <w:t>САД </w:t>
      </w:r>
      <w:r>
        <w:rPr/>
        <w:t>и ДАД попадают в разные категории, то степень АГ оценивается по более высокой</w:t>
      </w:r>
      <w:r>
        <w:rPr>
          <w:spacing w:val="-4"/>
        </w:rPr>
        <w:t> </w:t>
      </w:r>
      <w:r>
        <w:rPr/>
        <w:t>категории.</w:t>
      </w:r>
    </w:p>
    <w:p>
      <w:pPr>
        <w:spacing w:after="0" w:line="256" w:lineRule="auto"/>
        <w:sectPr>
          <w:pgSz w:w="11900" w:h="16840"/>
          <w:pgMar w:top="0" w:bottom="0" w:left="1420" w:right="1520"/>
        </w:sectPr>
      </w:pPr>
    </w:p>
    <w:p>
      <w:pPr>
        <w:pStyle w:val="BodyText"/>
        <w:spacing w:line="256" w:lineRule="auto" w:before="16"/>
        <w:ind w:left="380" w:right="133"/>
      </w:pPr>
      <w:r>
        <w:rPr/>
        <w:t>Выделение 3 стадий АГ (Таблица П1, Приложение Г3) основано на наличии поражения органов-мишеней (ПОМ), ассоциированных клинических состояний, сахарного диабета и хронической болезни почек. Стадия АГ не зависит </w:t>
      </w:r>
      <w:r>
        <w:rPr>
          <w:spacing w:val="-3"/>
        </w:rPr>
        <w:t>от </w:t>
      </w:r>
      <w:r>
        <w:rPr/>
        <w:t>уровня</w:t>
      </w:r>
      <w:r>
        <w:rPr>
          <w:spacing w:val="-20"/>
        </w:rPr>
        <w:t> </w:t>
      </w:r>
      <w:r>
        <w:rPr/>
        <w:t>АД.</w:t>
      </w:r>
    </w:p>
    <w:p>
      <w:pPr>
        <w:pStyle w:val="BodyText"/>
        <w:spacing w:before="272"/>
        <w:ind w:left="380"/>
      </w:pPr>
      <w:r>
        <w:rPr/>
        <w:t>Выделяются 3 стадии гипертонической болезни.</w:t>
      </w:r>
    </w:p>
    <w:p>
      <w:pPr>
        <w:pStyle w:val="BodyText"/>
        <w:spacing w:line="256" w:lineRule="auto" w:before="296"/>
        <w:ind w:left="380" w:right="135"/>
      </w:pPr>
      <w:r>
        <w:rPr>
          <w:b/>
        </w:rPr>
        <w:t>Стадия</w:t>
      </w:r>
      <w:r>
        <w:rPr>
          <w:b/>
          <w:spacing w:val="-10"/>
        </w:rPr>
        <w:t> </w:t>
      </w:r>
      <w:r>
        <w:rPr>
          <w:b/>
        </w:rPr>
        <w:t>I</w:t>
      </w:r>
      <w:r>
        <w:rPr>
          <w:b/>
          <w:spacing w:val="-7"/>
        </w:rPr>
        <w:t> </w:t>
      </w:r>
      <w:r>
        <w:rPr/>
        <w:t>—</w:t>
      </w:r>
      <w:r>
        <w:rPr>
          <w:spacing w:val="-6"/>
        </w:rPr>
        <w:t> </w:t>
      </w:r>
      <w:r>
        <w:rPr/>
        <w:t>отсутствие</w:t>
      </w:r>
      <w:r>
        <w:rPr>
          <w:spacing w:val="-7"/>
        </w:rPr>
        <w:t> </w:t>
      </w:r>
      <w:r>
        <w:rPr/>
        <w:t>ПОМ</w:t>
      </w:r>
      <w:r>
        <w:rPr>
          <w:spacing w:val="-6"/>
        </w:rPr>
        <w:t> </w:t>
      </w:r>
      <w:r>
        <w:rPr/>
        <w:t>и</w:t>
      </w:r>
      <w:r>
        <w:rPr>
          <w:spacing w:val="-7"/>
        </w:rPr>
        <w:t> </w:t>
      </w:r>
      <w:r>
        <w:rPr>
          <w:spacing w:val="-3"/>
        </w:rPr>
        <w:t>АКС,</w:t>
      </w:r>
      <w:r>
        <w:rPr>
          <w:spacing w:val="-6"/>
        </w:rPr>
        <w:t> </w:t>
      </w:r>
      <w:r>
        <w:rPr/>
        <w:t>возможное</w:t>
      </w:r>
      <w:r>
        <w:rPr>
          <w:spacing w:val="-7"/>
        </w:rPr>
        <w:t> </w:t>
      </w:r>
      <w:r>
        <w:rPr/>
        <w:t>наличие</w:t>
      </w:r>
      <w:r>
        <w:rPr>
          <w:spacing w:val="-6"/>
        </w:rPr>
        <w:t> </w:t>
      </w:r>
      <w:r>
        <w:rPr/>
        <w:t>факторов риска</w:t>
      </w:r>
    </w:p>
    <w:p>
      <w:pPr>
        <w:pStyle w:val="BodyText"/>
        <w:spacing w:line="660" w:lineRule="exact" w:before="26"/>
        <w:ind w:left="695" w:right="3888" w:hanging="250"/>
      </w:pPr>
      <w:r>
        <w:rPr/>
        <w:pict>
          <v:shape style="position:absolute;margin-left:91.538452pt;margin-top:53.96101pt;width:4.55pt;height:4.5pt;mso-position-horizontal-relative:page;mso-position-vertical-relative:paragraph;z-index:-18360832" coordorigin="1831,1079" coordsize="91,90" path="m1888,1169l1863,1169,1853,1165,1835,1147,1831,1137,1831,1112,1835,1101,1853,1084,1863,1079,1888,1079,1899,1084,1916,1101,1921,1112,1921,1124,1921,1137,1916,1147,1899,1165,1888,1169xe" filled="true" fillcolor="#000000" stroked="false">
            <v:path arrowok="t"/>
            <v:fill type="solid"/>
            <w10:wrap type="none"/>
          </v:shape>
        </w:pict>
      </w:r>
      <w:r>
        <w:rPr/>
        <w:t>Факторы </w:t>
      </w:r>
      <w:r>
        <w:rPr>
          <w:spacing w:val="-4"/>
        </w:rPr>
        <w:t>СС </w:t>
      </w:r>
      <w:r>
        <w:rPr/>
        <w:t>риска у пациентов с</w:t>
      </w:r>
      <w:r>
        <w:rPr>
          <w:spacing w:val="-25"/>
        </w:rPr>
        <w:t> </w:t>
      </w:r>
      <w:r>
        <w:rPr>
          <w:spacing w:val="-4"/>
        </w:rPr>
        <w:t>АГ: </w:t>
      </w:r>
      <w:r>
        <w:rPr>
          <w:spacing w:val="-3"/>
        </w:rPr>
        <w:t>Пол </w:t>
      </w:r>
      <w:r>
        <w:rPr/>
        <w:t>(мужчины &gt;</w:t>
      </w:r>
      <w:r>
        <w:rPr>
          <w:spacing w:val="-12"/>
        </w:rPr>
        <w:t> </w:t>
      </w:r>
      <w:r>
        <w:rPr/>
        <w:t>женщин);</w:t>
      </w:r>
    </w:p>
    <w:p>
      <w:pPr>
        <w:pStyle w:val="BodyText"/>
        <w:spacing w:line="339" w:lineRule="exact" w:before="0"/>
        <w:ind w:left="695"/>
      </w:pPr>
      <w:r>
        <w:rPr/>
        <w:pict>
          <v:shape style="position:absolute;margin-left:91.538452pt;margin-top:6.169206pt;width:4.55pt;height:4.55pt;mso-position-horizontal-relative:page;mso-position-vertical-relative:paragraph;z-index:15748608" coordorigin="1831,123" coordsize="91,91" path="m1888,213l1863,213,1853,209,1835,191,1831,181,1831,156,1835,145,1853,128,1863,123,1888,123,1899,128,1916,145,1921,156,1921,168,1921,181,1916,191,1899,209,1888,213xe" filled="true" fillcolor="#000000" stroked="false">
            <v:path arrowok="t"/>
            <v:fill type="solid"/>
            <w10:wrap type="none"/>
          </v:shape>
        </w:pict>
      </w:r>
      <w:r>
        <w:rPr/>
        <w:t>Возраст </w:t>
      </w:r>
      <w:r>
        <w:rPr>
          <w:rFonts w:ascii="Times New Roman" w:hAnsi="Times New Roman"/>
        </w:rPr>
        <w:t>≥</w:t>
      </w:r>
      <w:r>
        <w:rPr/>
        <w:t>55 лет у мужчин, </w:t>
      </w:r>
      <w:r>
        <w:rPr>
          <w:rFonts w:ascii="Times New Roman" w:hAnsi="Times New Roman"/>
        </w:rPr>
        <w:t>≥</w:t>
      </w:r>
      <w:r>
        <w:rPr/>
        <w:t>65 лет у женщин;</w:t>
      </w:r>
    </w:p>
    <w:p>
      <w:pPr>
        <w:pStyle w:val="BodyText"/>
        <w:spacing w:line="256" w:lineRule="auto" w:before="26"/>
        <w:ind w:left="695" w:right="132"/>
      </w:pPr>
      <w:r>
        <w:rPr/>
        <w:pict>
          <v:shape style="position:absolute;margin-left:91.538452pt;margin-top:8.719492pt;width:4.55pt;height:4.5pt;mso-position-horizontal-relative:page;mso-position-vertical-relative:paragraph;z-index:15749120" coordorigin="1831,174" coordsize="91,90" path="m1888,264l1863,264,1853,260,1835,242,1831,232,1831,207,1835,196,1853,179,1863,174,1888,174,1899,179,1916,196,1921,207,1921,219,1921,232,1916,242,1899,260,1888,264xe" filled="true" fillcolor="#000000" stroked="false">
            <v:path arrowok="t"/>
            <v:fill type="solid"/>
            <w10:wrap type="none"/>
          </v:shape>
        </w:pict>
      </w:r>
      <w:r>
        <w:rPr/>
        <w:t>Курение (в настоящем или прошлом; курение в прошлом следует рассматривать как фактор риска при отказе от курения в течение последнего года);</w:t>
      </w:r>
    </w:p>
    <w:p>
      <w:pPr>
        <w:pStyle w:val="BodyText"/>
        <w:tabs>
          <w:tab w:pos="7391" w:val="left" w:leader="none"/>
        </w:tabs>
        <w:spacing w:line="256" w:lineRule="auto" w:before="2"/>
        <w:ind w:left="695" w:right="131"/>
      </w:pPr>
      <w:r>
        <w:rPr/>
        <w:pict>
          <v:shape style="position:absolute;margin-left:91.538452pt;margin-top:7.519485pt;width:4.55pt;height:4.55pt;mso-position-horizontal-relative:page;mso-position-vertical-relative:paragraph;z-index:15749632" coordorigin="1831,150" coordsize="91,91" path="m1888,240l1863,240,1853,236,1835,218,1831,208,1831,183,1835,172,1853,155,1863,150,1888,150,1899,155,1916,172,1921,183,1921,195,1921,208,1916,218,1899,236,1888,240xe" filled="true" fillcolor="#000000" stroked="false">
            <v:path arrowok="t"/>
            <v:fill type="solid"/>
            <w10:wrap type="none"/>
          </v:shape>
        </w:pict>
      </w:r>
      <w:r>
        <w:rPr/>
        <w:t>Дислипидемия (принимается во внимание каждый из представленных показателей липидного обмена): </w:t>
      </w:r>
      <w:r>
        <w:rPr>
          <w:spacing w:val="-6"/>
        </w:rPr>
        <w:t>ОХС </w:t>
      </w:r>
      <w:r>
        <w:rPr/>
        <w:t>&gt;4,9 ммоль/л и/или </w:t>
      </w:r>
      <w:r>
        <w:rPr>
          <w:spacing w:val="-5"/>
        </w:rPr>
        <w:t>ХС  </w:t>
      </w:r>
      <w:r>
        <w:rPr/>
        <w:t>ЛПНП &gt;3,0</w:t>
      </w:r>
      <w:r>
        <w:rPr>
          <w:spacing w:val="41"/>
        </w:rPr>
        <w:t> </w:t>
      </w:r>
      <w:r>
        <w:rPr/>
        <w:t>ммоль/л</w:t>
      </w:r>
      <w:r>
        <w:rPr>
          <w:spacing w:val="20"/>
        </w:rPr>
        <w:t> </w:t>
      </w:r>
      <w:r>
        <w:rPr/>
        <w:t>и/или</w:t>
        <w:tab/>
      </w:r>
      <w:r>
        <w:rPr>
          <w:spacing w:val="-5"/>
        </w:rPr>
        <w:t>ХС </w:t>
      </w:r>
      <w:r>
        <w:rPr/>
        <w:t>ЛПВП у мужчин — &lt;1,0 ммоль/л (40 мг/дл), у женщин — &lt;1,2 ммоль/л (46 мг/дл) и/или триглицериды &gt;1,7</w:t>
      </w:r>
      <w:r>
        <w:rPr>
          <w:spacing w:val="-6"/>
        </w:rPr>
        <w:t> </w:t>
      </w:r>
      <w:r>
        <w:rPr/>
        <w:t>ммоль/л;</w:t>
      </w:r>
    </w:p>
    <w:p>
      <w:pPr>
        <w:pStyle w:val="BodyText"/>
        <w:spacing w:line="256" w:lineRule="auto" w:before="2"/>
        <w:ind w:left="695" w:right="134"/>
      </w:pPr>
      <w:r>
        <w:rPr/>
        <w:pict>
          <v:shape style="position:absolute;margin-left:91.538452pt;margin-top:7.519512pt;width:4.55pt;height:4.5pt;mso-position-horizontal-relative:page;mso-position-vertical-relative:paragraph;z-index:15750144" coordorigin="1831,150" coordsize="91,90" path="m1888,240l1863,240,1853,236,1835,218,1831,208,1831,183,1835,172,1853,155,1863,150,1888,150,1899,155,1916,172,1921,183,1921,195,1921,208,1916,218,1899,236,1888,240xe" filled="true" fillcolor="#000000" stroked="false">
            <v:path arrowok="t"/>
            <v:fill type="solid"/>
            <w10:wrap type="none"/>
          </v:shape>
        </w:pict>
      </w:r>
      <w:r>
        <w:rPr/>
        <w:t>Мочевая кислота (</w:t>
      </w:r>
      <w:r>
        <w:rPr>
          <w:rFonts w:ascii="Times New Roman" w:hAnsi="Times New Roman"/>
        </w:rPr>
        <w:t>≥</w:t>
      </w:r>
      <w:r>
        <w:rPr/>
        <w:t>360 мкмоль/л у женщин, </w:t>
      </w:r>
      <w:r>
        <w:rPr>
          <w:rFonts w:ascii="Times New Roman" w:hAnsi="Times New Roman"/>
        </w:rPr>
        <w:t>≥</w:t>
      </w:r>
      <w:r>
        <w:rPr/>
        <w:t>420 мкмоль/л у мужчин);</w:t>
      </w:r>
    </w:p>
    <w:p>
      <w:pPr>
        <w:pStyle w:val="BodyText"/>
        <w:spacing w:line="256" w:lineRule="auto" w:before="0"/>
        <w:ind w:left="695" w:right="129"/>
      </w:pPr>
      <w:r>
        <w:rPr/>
        <w:pict>
          <v:shape style="position:absolute;margin-left:91.538452pt;margin-top:7.419518pt;width:4.55pt;height:4.5pt;mso-position-horizontal-relative:page;mso-position-vertical-relative:paragraph;z-index:15750656" coordorigin="1831,148" coordsize="91,90" path="m1888,238l1863,238,1853,234,1835,216,1831,206,1831,181,1835,170,1853,153,1863,148,1888,148,1899,153,1916,170,1921,181,1921,193,1921,206,1916,216,1899,234,1888,238xe" filled="true" fillcolor="#000000" stroked="false">
            <v:path arrowok="t"/>
            <v:fill type="solid"/>
            <w10:wrap type="none"/>
          </v:shape>
        </w:pict>
      </w:r>
      <w:r>
        <w:rPr>
          <w:w w:val="105"/>
        </w:rPr>
        <w:t>Нарушение</w:t>
      </w:r>
      <w:r>
        <w:rPr>
          <w:spacing w:val="-22"/>
          <w:w w:val="105"/>
        </w:rPr>
        <w:t> </w:t>
      </w:r>
      <w:r>
        <w:rPr>
          <w:w w:val="105"/>
        </w:rPr>
        <w:t>гликемии</w:t>
      </w:r>
      <w:r>
        <w:rPr>
          <w:spacing w:val="-22"/>
          <w:w w:val="105"/>
        </w:rPr>
        <w:t> </w:t>
      </w:r>
      <w:r>
        <w:rPr>
          <w:w w:val="105"/>
        </w:rPr>
        <w:t>натощак:</w:t>
      </w:r>
      <w:r>
        <w:rPr>
          <w:spacing w:val="-22"/>
          <w:w w:val="105"/>
        </w:rPr>
        <w:t> </w:t>
      </w:r>
      <w:r>
        <w:rPr>
          <w:w w:val="105"/>
        </w:rPr>
        <w:t>глюкоза</w:t>
      </w:r>
      <w:r>
        <w:rPr>
          <w:spacing w:val="-21"/>
          <w:w w:val="105"/>
        </w:rPr>
        <w:t> </w:t>
      </w:r>
      <w:r>
        <w:rPr>
          <w:w w:val="105"/>
        </w:rPr>
        <w:t>плазмы</w:t>
      </w:r>
      <w:r>
        <w:rPr>
          <w:spacing w:val="-22"/>
          <w:w w:val="105"/>
        </w:rPr>
        <w:t> </w:t>
      </w:r>
      <w:r>
        <w:rPr>
          <w:w w:val="105"/>
        </w:rPr>
        <w:t>натощак</w:t>
      </w:r>
      <w:r>
        <w:rPr>
          <w:spacing w:val="-22"/>
          <w:w w:val="105"/>
        </w:rPr>
        <w:t> </w:t>
      </w:r>
      <w:r>
        <w:rPr>
          <w:w w:val="105"/>
        </w:rPr>
        <w:t>5,6– 6,9</w:t>
      </w:r>
      <w:r>
        <w:rPr>
          <w:spacing w:val="-6"/>
          <w:w w:val="105"/>
        </w:rPr>
        <w:t> </w:t>
      </w:r>
      <w:r>
        <w:rPr>
          <w:w w:val="105"/>
        </w:rPr>
        <w:t>ммоль/л;</w:t>
      </w:r>
    </w:p>
    <w:p>
      <w:pPr>
        <w:pStyle w:val="BodyText"/>
        <w:spacing w:line="307" w:lineRule="exact"/>
        <w:ind w:left="695"/>
      </w:pPr>
      <w:r>
        <w:rPr/>
        <w:pict>
          <v:shape style="position:absolute;margin-left:91.538452pt;margin-top:7.469492pt;width:4.55pt;height:4.5pt;mso-position-horizontal-relative:page;mso-position-vertical-relative:paragraph;z-index:15751168" coordorigin="1831,149" coordsize="91,90" path="m1888,239l1863,239,1853,235,1835,217,1831,207,1831,182,1835,171,1853,154,1863,149,1888,149,1899,154,1916,171,1921,182,1921,194,1921,207,1916,217,1899,235,1888,239xe" filled="true" fillcolor="#000000" stroked="false">
            <v:path arrowok="t"/>
            <v:fill type="solid"/>
            <w10:wrap type="none"/>
          </v:shape>
        </w:pict>
      </w:r>
      <w:r>
        <w:rPr/>
        <w:t>Нарушение толерантности к глюкозе;</w:t>
      </w:r>
    </w:p>
    <w:p>
      <w:pPr>
        <w:pStyle w:val="BodyText"/>
        <w:spacing w:line="184" w:lineRule="auto" w:before="8"/>
        <w:ind w:left="695" w:right="133"/>
      </w:pPr>
      <w:r>
        <w:rPr/>
        <w:pict>
          <v:shape style="position:absolute;margin-left:91.538452pt;margin-top:11.559866pt;width:4.55pt;height:4.5pt;mso-position-horizontal-relative:page;mso-position-vertical-relative:paragraph;z-index:15751680" coordorigin="1831,231" coordsize="91,90" path="m1888,321l1863,321,1853,317,1835,299,1831,289,1831,264,1835,253,1853,236,1863,231,1888,231,1899,236,1916,253,1921,264,1921,276,1921,289,1916,299,1899,317,1888,321xe" filled="true" fillcolor="#000000" stroked="false">
            <v:path arrowok="t"/>
            <v:fill type="solid"/>
            <w10:wrap type="none"/>
          </v:shape>
        </w:pict>
      </w:r>
      <w:r>
        <w:rPr/>
        <w:t>Избыточная масса тела (ИМТ 25-29,9 кг/м</w:t>
      </w:r>
      <w:r>
        <w:rPr>
          <w:position w:val="14"/>
        </w:rPr>
        <w:t>2</w:t>
      </w:r>
      <w:r>
        <w:rPr/>
        <w:t>) или ожирение (ИМТ </w:t>
      </w:r>
      <w:r>
        <w:rPr>
          <w:rFonts w:ascii="Times New Roman" w:hAnsi="Times New Roman"/>
        </w:rPr>
        <w:t>≥ </w:t>
      </w:r>
      <w:r>
        <w:rPr/>
        <w:t>30</w:t>
      </w:r>
      <w:r>
        <w:rPr>
          <w:spacing w:val="-6"/>
        </w:rPr>
        <w:t> </w:t>
      </w:r>
      <w:r>
        <w:rPr/>
        <w:t>кг/м</w:t>
      </w:r>
      <w:r>
        <w:rPr>
          <w:position w:val="14"/>
        </w:rPr>
        <w:t>2</w:t>
      </w:r>
      <w:r>
        <w:rPr/>
        <w:t>);</w:t>
      </w:r>
    </w:p>
    <w:p>
      <w:pPr>
        <w:pStyle w:val="BodyText"/>
        <w:spacing w:line="256" w:lineRule="auto" w:before="15"/>
        <w:ind w:left="695" w:right="129"/>
        <w:jc w:val="left"/>
      </w:pPr>
      <w:r>
        <w:rPr/>
        <w:pict>
          <v:shape style="position:absolute;margin-left:91.538452pt;margin-top:8.169515pt;width:4.55pt;height:4.55pt;mso-position-horizontal-relative:page;mso-position-vertical-relative:paragraph;z-index:15752192" coordorigin="1831,163" coordsize="91,91" path="m1888,253l1863,253,1853,249,1835,231,1831,221,1831,196,1835,185,1853,168,1863,163,1888,163,1899,168,1916,185,1921,196,1921,208,1921,221,1916,231,1899,249,1888,253xe" filled="true" fillcolor="#000000" stroked="false">
            <v:path arrowok="t"/>
            <v:fill type="solid"/>
            <w10:wrap type="none"/>
          </v:shape>
        </w:pict>
      </w:r>
      <w:r>
        <w:rPr/>
        <w:t>Семейный анамнез развития ССЗ в молодом возрасте (&lt; 55 лет для мужчин и &lt;65 лет для женщин);</w:t>
      </w:r>
    </w:p>
    <w:p>
      <w:pPr>
        <w:pStyle w:val="BodyText"/>
        <w:spacing w:line="256" w:lineRule="auto" w:before="0"/>
        <w:ind w:left="695" w:right="891"/>
        <w:jc w:val="left"/>
      </w:pPr>
      <w:r>
        <w:rPr/>
        <w:pict>
          <v:shape style="position:absolute;margin-left:91.538452pt;margin-top:7.419504pt;width:4.55pt;height:4.5pt;mso-position-horizontal-relative:page;mso-position-vertical-relative:paragraph;z-index:15752704" coordorigin="1831,148" coordsize="91,90" path="m1888,238l1863,238,1853,234,1835,216,1831,206,1831,181,1835,170,1853,153,1863,148,1888,148,1899,153,1916,170,1921,181,1921,193,1921,206,1916,216,1899,234,1888,238xe" filled="true" fillcolor="#000000" stroked="false">
            <v:path arrowok="t"/>
            <v:fill type="solid"/>
            <w10:wrap type="none"/>
          </v:shape>
        </w:pict>
      </w:r>
      <w:r>
        <w:rPr/>
        <w:pict>
          <v:shape style="position:absolute;margin-left:91.538452pt;margin-top:26.9277pt;width:4.55pt;height:4.5pt;mso-position-horizontal-relative:page;mso-position-vertical-relative:paragraph;z-index:15753216" coordorigin="1831,539" coordsize="91,90" path="m1888,629l1863,629,1853,624,1835,607,1831,596,1831,571,1835,561,1853,543,1863,539,1888,539,1899,543,1916,561,1921,571,1921,584,1921,596,1916,607,1899,624,1888,629xe" filled="true" fillcolor="#000000" stroked="false">
            <v:path arrowok="t"/>
            <v:fill type="solid"/>
            <w10:wrap type="none"/>
          </v:shape>
        </w:pict>
      </w:r>
      <w:r>
        <w:rPr>
          <w:w w:val="105"/>
        </w:rPr>
        <w:t>Развитие</w:t>
      </w:r>
      <w:r>
        <w:rPr>
          <w:spacing w:val="-40"/>
          <w:w w:val="105"/>
        </w:rPr>
        <w:t> </w:t>
      </w:r>
      <w:r>
        <w:rPr>
          <w:w w:val="105"/>
        </w:rPr>
        <w:t>АГ</w:t>
      </w:r>
      <w:r>
        <w:rPr>
          <w:spacing w:val="-39"/>
          <w:w w:val="105"/>
        </w:rPr>
        <w:t> </w:t>
      </w:r>
      <w:r>
        <w:rPr>
          <w:w w:val="105"/>
        </w:rPr>
        <w:t>в</w:t>
      </w:r>
      <w:r>
        <w:rPr>
          <w:spacing w:val="-39"/>
          <w:w w:val="105"/>
        </w:rPr>
        <w:t> </w:t>
      </w:r>
      <w:r>
        <w:rPr>
          <w:w w:val="105"/>
        </w:rPr>
        <w:t>молодом</w:t>
      </w:r>
      <w:r>
        <w:rPr>
          <w:spacing w:val="-39"/>
          <w:w w:val="105"/>
        </w:rPr>
        <w:t> </w:t>
      </w:r>
      <w:r>
        <w:rPr>
          <w:w w:val="105"/>
        </w:rPr>
        <w:t>возрасте</w:t>
      </w:r>
      <w:r>
        <w:rPr>
          <w:spacing w:val="-39"/>
          <w:w w:val="105"/>
        </w:rPr>
        <w:t> </w:t>
      </w:r>
      <w:r>
        <w:rPr>
          <w:w w:val="105"/>
        </w:rPr>
        <w:t>у</w:t>
      </w:r>
      <w:r>
        <w:rPr>
          <w:spacing w:val="-39"/>
          <w:w w:val="105"/>
        </w:rPr>
        <w:t> </w:t>
      </w:r>
      <w:r>
        <w:rPr>
          <w:w w:val="105"/>
        </w:rPr>
        <w:t>родителей</w:t>
      </w:r>
      <w:r>
        <w:rPr>
          <w:spacing w:val="-40"/>
          <w:w w:val="105"/>
        </w:rPr>
        <w:t> </w:t>
      </w:r>
      <w:r>
        <w:rPr>
          <w:w w:val="105"/>
        </w:rPr>
        <w:t>или</w:t>
      </w:r>
      <w:r>
        <w:rPr>
          <w:spacing w:val="-39"/>
          <w:w w:val="105"/>
        </w:rPr>
        <w:t> </w:t>
      </w:r>
      <w:r>
        <w:rPr>
          <w:w w:val="105"/>
        </w:rPr>
        <w:t>в</w:t>
      </w:r>
      <w:r>
        <w:rPr>
          <w:spacing w:val="-39"/>
          <w:w w:val="105"/>
        </w:rPr>
        <w:t> </w:t>
      </w:r>
      <w:r>
        <w:rPr>
          <w:w w:val="105"/>
        </w:rPr>
        <w:t>семье; Ранняя</w:t>
      </w:r>
      <w:r>
        <w:rPr>
          <w:spacing w:val="-7"/>
          <w:w w:val="105"/>
        </w:rPr>
        <w:t> </w:t>
      </w:r>
      <w:r>
        <w:rPr>
          <w:w w:val="105"/>
        </w:rPr>
        <w:t>менопауза;</w:t>
      </w:r>
    </w:p>
    <w:p>
      <w:pPr>
        <w:pStyle w:val="BodyText"/>
        <w:ind w:left="695"/>
        <w:jc w:val="left"/>
      </w:pPr>
      <w:r>
        <w:rPr/>
        <w:pict>
          <v:shape style="position:absolute;margin-left:91.538452pt;margin-top:7.46951pt;width:4.55pt;height:4.55pt;mso-position-horizontal-relative:page;mso-position-vertical-relative:paragraph;z-index:15753728"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t>Малоподвижный образ жизни;</w:t>
      </w:r>
    </w:p>
    <w:p>
      <w:pPr>
        <w:pStyle w:val="BodyText"/>
        <w:spacing w:line="256" w:lineRule="auto" w:before="26"/>
        <w:ind w:left="695" w:right="239"/>
        <w:jc w:val="left"/>
      </w:pPr>
      <w:r>
        <w:rPr/>
        <w:pict>
          <v:shape style="position:absolute;margin-left:91.538452pt;margin-top:8.719497pt;width:4.55pt;height:4.5pt;mso-position-horizontal-relative:page;mso-position-vertical-relative:paragraph;z-index:15754240" coordorigin="1831,174" coordsize="91,90" path="m1888,264l1863,264,1853,260,1835,242,1831,232,1831,207,1835,196,1853,179,1863,174,1888,174,1899,179,1916,196,1921,207,1921,219,1921,232,1916,242,1899,260,1888,264xe" filled="true" fillcolor="#000000" stroked="false">
            <v:path arrowok="t"/>
            <v:fill type="solid"/>
            <w10:wrap type="none"/>
          </v:shape>
        </w:pict>
      </w:r>
      <w:r>
        <w:rPr/>
        <w:pict>
          <v:shape style="position:absolute;margin-left:91.538452pt;margin-top:28.227694pt;width:4.55pt;height:4.5pt;mso-position-horizontal-relative:page;mso-position-vertical-relative:paragraph;z-index:15754752" coordorigin="1831,565" coordsize="91,90" path="m1888,655l1863,655,1853,650,1835,633,1831,622,1831,597,1835,587,1853,569,1863,565,1888,565,1899,569,1916,587,1921,597,1921,610,1921,622,1916,633,1899,650,1888,655xe" filled="true" fillcolor="#000000" stroked="false">
            <v:path arrowok="t"/>
            <v:fill type="solid"/>
            <w10:wrap type="none"/>
          </v:shape>
        </w:pict>
      </w:r>
      <w:r>
        <w:rPr/>
        <w:t>Психологические и социально-экономические факторы; Частота сердечных сокращений в покое &gt;80 ударов в минуту.</w:t>
      </w:r>
    </w:p>
    <w:p>
      <w:pPr>
        <w:pStyle w:val="BodyText"/>
        <w:spacing w:line="256" w:lineRule="auto" w:before="271"/>
        <w:ind w:left="380" w:right="134"/>
      </w:pPr>
      <w:r>
        <w:rPr>
          <w:b/>
        </w:rPr>
        <w:t>Стадия II </w:t>
      </w:r>
      <w:r>
        <w:rPr/>
        <w:t>подразумевает наличие бессимптомного поражения органов-мишеней, связанного с АГ и/или ХБП С3 (СКФ 30–59 мл/ мин), и/или СД без поражения органов-мишеней и предполагает отсутствие АКС.</w:t>
      </w:r>
    </w:p>
    <w:p>
      <w:pPr>
        <w:pStyle w:val="BodyText"/>
        <w:spacing w:before="272"/>
        <w:ind w:left="380"/>
      </w:pPr>
      <w:r>
        <w:rPr/>
        <w:t>Бессимптомное ПОМ:</w:t>
      </w:r>
    </w:p>
    <w:p>
      <w:pPr>
        <w:pStyle w:val="ListParagraph"/>
        <w:numPr>
          <w:ilvl w:val="0"/>
          <w:numId w:val="3"/>
        </w:numPr>
        <w:tabs>
          <w:tab w:pos="570" w:val="left" w:leader="none"/>
        </w:tabs>
        <w:spacing w:line="240" w:lineRule="auto" w:before="296" w:after="0"/>
        <w:ind w:left="569" w:right="0" w:hanging="190"/>
        <w:jc w:val="left"/>
        <w:rPr>
          <w:sz w:val="27"/>
        </w:rPr>
      </w:pPr>
      <w:r>
        <w:rPr>
          <w:sz w:val="27"/>
        </w:rPr>
        <w:t>Артериальная</w:t>
      </w:r>
      <w:r>
        <w:rPr>
          <w:spacing w:val="-3"/>
          <w:sz w:val="27"/>
        </w:rPr>
        <w:t> </w:t>
      </w:r>
      <w:r>
        <w:rPr>
          <w:sz w:val="27"/>
        </w:rPr>
        <w:t>жесткость:</w:t>
      </w:r>
    </w:p>
    <w:p>
      <w:pPr>
        <w:spacing w:after="0" w:line="240" w:lineRule="auto"/>
        <w:jc w:val="left"/>
        <w:rPr>
          <w:sz w:val="27"/>
        </w:rPr>
        <w:sectPr>
          <w:pgSz w:w="11900" w:h="16840"/>
          <w:pgMar w:top="0" w:bottom="0" w:left="1420" w:right="1520"/>
        </w:sectPr>
      </w:pPr>
    </w:p>
    <w:p>
      <w:pPr>
        <w:pStyle w:val="BodyText"/>
        <w:spacing w:line="434" w:lineRule="auto" w:before="16"/>
        <w:ind w:left="380" w:right="573"/>
      </w:pPr>
      <w:r>
        <w:rPr/>
        <w:t>Пульсовое давление (ПД) (у пожилых пациентов) </w:t>
      </w:r>
      <w:r>
        <w:rPr>
          <w:rFonts w:ascii="Times New Roman" w:hAnsi="Times New Roman"/>
        </w:rPr>
        <w:t>≥</w:t>
      </w:r>
      <w:r>
        <w:rPr/>
        <w:t>60 мм рт.</w:t>
      </w:r>
      <w:r>
        <w:rPr>
          <w:spacing w:val="-37"/>
        </w:rPr>
        <w:t> </w:t>
      </w:r>
      <w:r>
        <w:rPr/>
        <w:t>ст. Каротидно-феморальная СПВ &gt;10</w:t>
      </w:r>
      <w:r>
        <w:rPr>
          <w:spacing w:val="-7"/>
        </w:rPr>
        <w:t> </w:t>
      </w:r>
      <w:r>
        <w:rPr/>
        <w:t>м/с</w:t>
      </w:r>
    </w:p>
    <w:p>
      <w:pPr>
        <w:pStyle w:val="ListParagraph"/>
        <w:numPr>
          <w:ilvl w:val="0"/>
          <w:numId w:val="3"/>
        </w:numPr>
        <w:tabs>
          <w:tab w:pos="505" w:val="left" w:leader="none"/>
        </w:tabs>
        <w:spacing w:line="256" w:lineRule="auto" w:before="2" w:after="0"/>
        <w:ind w:left="380" w:right="128" w:firstLine="0"/>
        <w:jc w:val="both"/>
        <w:rPr>
          <w:sz w:val="27"/>
        </w:rPr>
      </w:pPr>
      <w:r>
        <w:rPr>
          <w:sz w:val="27"/>
        </w:rPr>
        <w:t>Электрокардиографические (ЭКГ) признаки </w:t>
      </w:r>
      <w:r>
        <w:rPr>
          <w:spacing w:val="-3"/>
          <w:sz w:val="27"/>
        </w:rPr>
        <w:t>ГЛЖ </w:t>
      </w:r>
      <w:r>
        <w:rPr>
          <w:sz w:val="27"/>
        </w:rPr>
        <w:t>на (индекс Соколова–Лайона &gt; 35 мм, или амплитуда зубца R в отведении aVL </w:t>
      </w:r>
      <w:r>
        <w:rPr>
          <w:rFonts w:ascii="Times New Roman" w:hAnsi="Times New Roman"/>
          <w:sz w:val="27"/>
        </w:rPr>
        <w:t>≥</w:t>
      </w:r>
      <w:r>
        <w:rPr>
          <w:sz w:val="27"/>
        </w:rPr>
        <w:t>11 мм, корнельское произведение &gt;2440 мм x мс или корнельский вольтажный индекс &gt;28 мм для мужчин и &gt;20 мм  для</w:t>
      </w:r>
      <w:r>
        <w:rPr>
          <w:spacing w:val="-3"/>
          <w:sz w:val="27"/>
        </w:rPr>
        <w:t> </w:t>
      </w:r>
      <w:r>
        <w:rPr>
          <w:sz w:val="27"/>
        </w:rPr>
        <w:t>женщин);</w:t>
      </w:r>
    </w:p>
    <w:p>
      <w:pPr>
        <w:pStyle w:val="ListParagraph"/>
        <w:numPr>
          <w:ilvl w:val="0"/>
          <w:numId w:val="3"/>
        </w:numPr>
        <w:tabs>
          <w:tab w:pos="583" w:val="left" w:leader="none"/>
        </w:tabs>
        <w:spacing w:line="390" w:lineRule="atLeast" w:before="247" w:after="0"/>
        <w:ind w:left="380" w:right="133" w:firstLine="0"/>
        <w:jc w:val="both"/>
        <w:rPr>
          <w:sz w:val="27"/>
        </w:rPr>
      </w:pPr>
      <w:r>
        <w:rPr>
          <w:sz w:val="27"/>
        </w:rPr>
        <w:t>Эхокардиографические признаки </w:t>
      </w:r>
      <w:r>
        <w:rPr>
          <w:spacing w:val="-3"/>
          <w:sz w:val="27"/>
        </w:rPr>
        <w:t>ГЛЖ </w:t>
      </w:r>
      <w:r>
        <w:rPr>
          <w:sz w:val="27"/>
        </w:rPr>
        <w:t>(индекс массы ЛЖ </w:t>
      </w:r>
      <w:r>
        <w:rPr>
          <w:spacing w:val="-3"/>
          <w:sz w:val="27"/>
        </w:rPr>
        <w:t>(масса </w:t>
      </w:r>
      <w:r>
        <w:rPr>
          <w:sz w:val="27"/>
        </w:rPr>
        <w:t>ЛЖ,</w:t>
      </w:r>
      <w:r>
        <w:rPr>
          <w:spacing w:val="18"/>
          <w:sz w:val="27"/>
        </w:rPr>
        <w:t> </w:t>
      </w:r>
      <w:r>
        <w:rPr>
          <w:sz w:val="27"/>
        </w:rPr>
        <w:t>г/рост,</w:t>
      </w:r>
      <w:r>
        <w:rPr>
          <w:spacing w:val="19"/>
          <w:sz w:val="27"/>
        </w:rPr>
        <w:t> </w:t>
      </w:r>
      <w:r>
        <w:rPr>
          <w:sz w:val="27"/>
        </w:rPr>
        <w:t>м)</w:t>
      </w:r>
      <w:r>
        <w:rPr>
          <w:spacing w:val="19"/>
          <w:sz w:val="27"/>
        </w:rPr>
        <w:t> </w:t>
      </w:r>
      <w:r>
        <w:rPr>
          <w:sz w:val="27"/>
        </w:rPr>
        <w:t>формула</w:t>
      </w:r>
      <w:r>
        <w:rPr>
          <w:spacing w:val="19"/>
          <w:sz w:val="27"/>
        </w:rPr>
        <w:t> </w:t>
      </w:r>
      <w:r>
        <w:rPr>
          <w:sz w:val="27"/>
        </w:rPr>
        <w:t>ASE</w:t>
      </w:r>
      <w:r>
        <w:rPr>
          <w:spacing w:val="19"/>
          <w:sz w:val="27"/>
        </w:rPr>
        <w:t> </w:t>
      </w:r>
      <w:r>
        <w:rPr>
          <w:sz w:val="27"/>
        </w:rPr>
        <w:t>для</w:t>
      </w:r>
      <w:r>
        <w:rPr>
          <w:spacing w:val="18"/>
          <w:sz w:val="27"/>
        </w:rPr>
        <w:t> </w:t>
      </w:r>
      <w:r>
        <w:rPr>
          <w:sz w:val="27"/>
        </w:rPr>
        <w:t>пациентов</w:t>
      </w:r>
      <w:r>
        <w:rPr>
          <w:spacing w:val="19"/>
          <w:sz w:val="27"/>
        </w:rPr>
        <w:t> </w:t>
      </w:r>
      <w:r>
        <w:rPr>
          <w:sz w:val="27"/>
        </w:rPr>
        <w:t>с</w:t>
      </w:r>
      <w:r>
        <w:rPr>
          <w:spacing w:val="19"/>
          <w:sz w:val="27"/>
        </w:rPr>
        <w:t> </w:t>
      </w:r>
      <w:r>
        <w:rPr>
          <w:sz w:val="27"/>
        </w:rPr>
        <w:t>избыточной</w:t>
      </w:r>
      <w:r>
        <w:rPr>
          <w:spacing w:val="19"/>
          <w:sz w:val="27"/>
        </w:rPr>
        <w:t> </w:t>
      </w:r>
      <w:r>
        <w:rPr>
          <w:sz w:val="27"/>
        </w:rPr>
        <w:t>массой</w:t>
      </w:r>
    </w:p>
    <w:p>
      <w:pPr>
        <w:pStyle w:val="BodyText"/>
        <w:spacing w:line="333" w:lineRule="exact" w:before="0"/>
        <w:ind w:left="380"/>
      </w:pPr>
      <w:r>
        <w:rPr/>
        <w:t>тела и ожирением: для мужчин &gt;50 г/м</w:t>
      </w:r>
      <w:r>
        <w:rPr>
          <w:position w:val="14"/>
        </w:rPr>
        <w:t>2,7</w:t>
      </w:r>
      <w:r>
        <w:rPr/>
        <w:t>, для женщин &gt;47</w:t>
      </w:r>
      <w:r>
        <w:rPr>
          <w:spacing w:val="57"/>
        </w:rPr>
        <w:t> </w:t>
      </w:r>
      <w:r>
        <w:rPr/>
        <w:t>г/м</w:t>
      </w:r>
      <w:r>
        <w:rPr>
          <w:position w:val="14"/>
        </w:rPr>
        <w:t>2,7</w:t>
      </w:r>
      <w:r>
        <w:rPr/>
        <w:t>;</w:t>
      </w:r>
    </w:p>
    <w:p>
      <w:pPr>
        <w:pStyle w:val="BodyText"/>
        <w:spacing w:line="184" w:lineRule="auto" w:before="8"/>
        <w:ind w:left="380" w:right="131"/>
      </w:pPr>
      <w:r>
        <w:rPr/>
        <w:t>индексация на площадь поверхности тела (масса ЛЖ/рост,  м</w:t>
      </w:r>
      <w:r>
        <w:rPr>
          <w:position w:val="14"/>
        </w:rPr>
        <w:t>2</w:t>
      </w:r>
      <w:r>
        <w:rPr/>
        <w:t>) для пациентов с нормальной массой тела: &gt;115 г/м</w:t>
      </w:r>
      <w:r>
        <w:rPr>
          <w:position w:val="14"/>
        </w:rPr>
        <w:t>2</w:t>
      </w:r>
      <w:r>
        <w:rPr/>
        <w:t>(мужчины) и &gt; 95 г/м</w:t>
      </w:r>
      <w:r>
        <w:rPr>
          <w:position w:val="14"/>
        </w:rPr>
        <w:t>2 </w:t>
      </w:r>
      <w:r>
        <w:rPr/>
        <w:t>(женщины);</w:t>
      </w:r>
    </w:p>
    <w:p>
      <w:pPr>
        <w:pStyle w:val="ListParagraph"/>
        <w:numPr>
          <w:ilvl w:val="0"/>
          <w:numId w:val="3"/>
        </w:numPr>
        <w:tabs>
          <w:tab w:pos="713" w:val="left" w:leader="none"/>
        </w:tabs>
        <w:spacing w:line="256" w:lineRule="auto" w:before="254" w:after="0"/>
        <w:ind w:left="380" w:right="131" w:firstLine="0"/>
        <w:jc w:val="both"/>
        <w:rPr>
          <w:sz w:val="27"/>
        </w:rPr>
      </w:pPr>
      <w:r>
        <w:rPr>
          <w:sz w:val="27"/>
        </w:rPr>
        <w:t>Альбуминурия 30–300 мг/24 ч или отношения альбумин- креатинин 30–300 мг/г или 3,4-34 мг/ммоль (предпочтительно </w:t>
      </w:r>
      <w:r>
        <w:rPr>
          <w:spacing w:val="-11"/>
          <w:sz w:val="27"/>
        </w:rPr>
        <w:t>в </w:t>
      </w:r>
      <w:r>
        <w:rPr>
          <w:sz w:val="27"/>
        </w:rPr>
        <w:t>утренней порции</w:t>
      </w:r>
      <w:r>
        <w:rPr>
          <w:spacing w:val="-5"/>
          <w:sz w:val="27"/>
        </w:rPr>
        <w:t> </w:t>
      </w:r>
      <w:r>
        <w:rPr>
          <w:sz w:val="27"/>
        </w:rPr>
        <w:t>мочи);</w:t>
      </w:r>
    </w:p>
    <w:p>
      <w:pPr>
        <w:pStyle w:val="ListParagraph"/>
        <w:numPr>
          <w:ilvl w:val="0"/>
          <w:numId w:val="3"/>
        </w:numPr>
        <w:tabs>
          <w:tab w:pos="570" w:val="left" w:leader="none"/>
        </w:tabs>
        <w:spacing w:line="240" w:lineRule="auto" w:before="131" w:after="0"/>
        <w:ind w:left="569" w:right="0" w:hanging="190"/>
        <w:jc w:val="both"/>
        <w:rPr>
          <w:sz w:val="27"/>
        </w:rPr>
      </w:pPr>
      <w:r>
        <w:rPr>
          <w:w w:val="105"/>
          <w:sz w:val="27"/>
        </w:rPr>
        <w:t>ХБП</w:t>
      </w:r>
      <w:r>
        <w:rPr>
          <w:spacing w:val="-9"/>
          <w:w w:val="105"/>
          <w:sz w:val="27"/>
        </w:rPr>
        <w:t> </w:t>
      </w:r>
      <w:r>
        <w:rPr>
          <w:w w:val="105"/>
          <w:sz w:val="27"/>
        </w:rPr>
        <w:t>С3</w:t>
      </w:r>
      <w:r>
        <w:rPr>
          <w:spacing w:val="-9"/>
          <w:w w:val="105"/>
          <w:sz w:val="27"/>
        </w:rPr>
        <w:t> </w:t>
      </w:r>
      <w:r>
        <w:rPr>
          <w:w w:val="105"/>
          <w:sz w:val="27"/>
        </w:rPr>
        <w:t>стадии</w:t>
      </w:r>
      <w:r>
        <w:rPr>
          <w:spacing w:val="-9"/>
          <w:w w:val="105"/>
          <w:sz w:val="27"/>
        </w:rPr>
        <w:t> </w:t>
      </w:r>
      <w:r>
        <w:rPr>
          <w:w w:val="105"/>
          <w:sz w:val="27"/>
        </w:rPr>
        <w:t>с</w:t>
      </w:r>
      <w:r>
        <w:rPr>
          <w:spacing w:val="-9"/>
          <w:w w:val="105"/>
          <w:sz w:val="27"/>
        </w:rPr>
        <w:t> </w:t>
      </w:r>
      <w:r>
        <w:rPr>
          <w:spacing w:val="-3"/>
          <w:w w:val="105"/>
          <w:sz w:val="27"/>
        </w:rPr>
        <w:t>СКФ</w:t>
      </w:r>
      <w:r>
        <w:rPr>
          <w:spacing w:val="-9"/>
          <w:w w:val="105"/>
          <w:sz w:val="27"/>
        </w:rPr>
        <w:t> </w:t>
      </w:r>
      <w:r>
        <w:rPr>
          <w:w w:val="105"/>
          <w:sz w:val="27"/>
        </w:rPr>
        <w:t>&gt;30–59</w:t>
      </w:r>
      <w:r>
        <w:rPr>
          <w:spacing w:val="-9"/>
          <w:w w:val="105"/>
          <w:sz w:val="27"/>
        </w:rPr>
        <w:t> </w:t>
      </w:r>
      <w:r>
        <w:rPr>
          <w:w w:val="105"/>
          <w:sz w:val="27"/>
        </w:rPr>
        <w:t>мл/мин/1,73</w:t>
      </w:r>
      <w:r>
        <w:rPr>
          <w:spacing w:val="-9"/>
          <w:w w:val="105"/>
          <w:sz w:val="27"/>
        </w:rPr>
        <w:t> </w:t>
      </w:r>
      <w:r>
        <w:rPr>
          <w:w w:val="105"/>
          <w:sz w:val="27"/>
        </w:rPr>
        <w:t>м</w:t>
      </w:r>
      <w:r>
        <w:rPr>
          <w:w w:val="105"/>
          <w:position w:val="14"/>
          <w:sz w:val="27"/>
        </w:rPr>
        <w:t>2</w:t>
      </w:r>
      <w:r>
        <w:rPr>
          <w:w w:val="105"/>
          <w:sz w:val="27"/>
        </w:rPr>
        <w:t>;</w:t>
      </w:r>
    </w:p>
    <w:p>
      <w:pPr>
        <w:pStyle w:val="ListParagraph"/>
        <w:numPr>
          <w:ilvl w:val="0"/>
          <w:numId w:val="3"/>
        </w:numPr>
        <w:tabs>
          <w:tab w:pos="570" w:val="left" w:leader="none"/>
        </w:tabs>
        <w:spacing w:line="240" w:lineRule="auto" w:before="296" w:after="0"/>
        <w:ind w:left="569" w:right="0" w:hanging="190"/>
        <w:jc w:val="both"/>
        <w:rPr>
          <w:sz w:val="27"/>
        </w:rPr>
      </w:pPr>
      <w:r>
        <w:rPr>
          <w:w w:val="105"/>
          <w:sz w:val="27"/>
        </w:rPr>
        <w:t>Лодыжечно-плечевой индекс</w:t>
      </w:r>
      <w:r>
        <w:rPr>
          <w:spacing w:val="-16"/>
          <w:w w:val="105"/>
          <w:sz w:val="27"/>
        </w:rPr>
        <w:t> </w:t>
      </w:r>
      <w:r>
        <w:rPr>
          <w:w w:val="105"/>
          <w:sz w:val="27"/>
        </w:rPr>
        <w:t>&lt;0,9;</w:t>
      </w:r>
    </w:p>
    <w:p>
      <w:pPr>
        <w:pStyle w:val="ListParagraph"/>
        <w:numPr>
          <w:ilvl w:val="0"/>
          <w:numId w:val="3"/>
        </w:numPr>
        <w:tabs>
          <w:tab w:pos="603" w:val="left" w:leader="none"/>
        </w:tabs>
        <w:spacing w:line="256" w:lineRule="auto" w:before="296" w:after="0"/>
        <w:ind w:left="380" w:right="134" w:firstLine="0"/>
        <w:jc w:val="both"/>
        <w:rPr>
          <w:sz w:val="27"/>
        </w:rPr>
      </w:pPr>
      <w:r>
        <w:rPr>
          <w:sz w:val="27"/>
        </w:rPr>
        <w:t>Выраженная ретинопатия: наличие кровоизлияний, экссудатов или отека соска зрительного</w:t>
      </w:r>
      <w:r>
        <w:rPr>
          <w:spacing w:val="-6"/>
          <w:sz w:val="27"/>
        </w:rPr>
        <w:t> </w:t>
      </w:r>
      <w:r>
        <w:rPr>
          <w:sz w:val="27"/>
        </w:rPr>
        <w:t>нерва.</w:t>
      </w:r>
    </w:p>
    <w:p>
      <w:pPr>
        <w:pStyle w:val="BodyText"/>
        <w:spacing w:line="256" w:lineRule="auto" w:before="271"/>
        <w:ind w:left="380" w:right="134"/>
      </w:pPr>
      <w:r>
        <w:rPr>
          <w:b/>
          <w:w w:val="105"/>
        </w:rPr>
        <w:t>Стадия</w:t>
      </w:r>
      <w:r>
        <w:rPr>
          <w:b/>
          <w:spacing w:val="-21"/>
          <w:w w:val="105"/>
        </w:rPr>
        <w:t> </w:t>
      </w:r>
      <w:r>
        <w:rPr>
          <w:b/>
          <w:w w:val="105"/>
        </w:rPr>
        <w:t>III</w:t>
      </w:r>
      <w:r>
        <w:rPr>
          <w:b/>
          <w:spacing w:val="-21"/>
          <w:w w:val="105"/>
        </w:rPr>
        <w:t> </w:t>
      </w:r>
      <w:r>
        <w:rPr>
          <w:w w:val="105"/>
        </w:rPr>
        <w:t>определяется</w:t>
      </w:r>
      <w:r>
        <w:rPr>
          <w:spacing w:val="-20"/>
          <w:w w:val="105"/>
        </w:rPr>
        <w:t> </w:t>
      </w:r>
      <w:r>
        <w:rPr>
          <w:w w:val="105"/>
        </w:rPr>
        <w:t>наличием</w:t>
      </w:r>
      <w:r>
        <w:rPr>
          <w:spacing w:val="-21"/>
          <w:w w:val="105"/>
        </w:rPr>
        <w:t> </w:t>
      </w:r>
      <w:r>
        <w:rPr>
          <w:spacing w:val="-3"/>
          <w:w w:val="105"/>
        </w:rPr>
        <w:t>АКС,</w:t>
      </w:r>
      <w:r>
        <w:rPr>
          <w:spacing w:val="-21"/>
          <w:w w:val="105"/>
        </w:rPr>
        <w:t> </w:t>
      </w:r>
      <w:r>
        <w:rPr>
          <w:w w:val="105"/>
        </w:rPr>
        <w:t>в</w:t>
      </w:r>
      <w:r>
        <w:rPr>
          <w:spacing w:val="-21"/>
          <w:w w:val="105"/>
        </w:rPr>
        <w:t> </w:t>
      </w:r>
      <w:r>
        <w:rPr>
          <w:w w:val="105"/>
        </w:rPr>
        <w:t>том</w:t>
      </w:r>
      <w:r>
        <w:rPr>
          <w:spacing w:val="-20"/>
          <w:w w:val="105"/>
        </w:rPr>
        <w:t> </w:t>
      </w:r>
      <w:r>
        <w:rPr>
          <w:w w:val="105"/>
        </w:rPr>
        <w:t>числе</w:t>
      </w:r>
      <w:r>
        <w:rPr>
          <w:spacing w:val="-21"/>
          <w:w w:val="105"/>
        </w:rPr>
        <w:t> </w:t>
      </w:r>
      <w:r>
        <w:rPr>
          <w:w w:val="105"/>
        </w:rPr>
        <w:t>ХБП</w:t>
      </w:r>
      <w:r>
        <w:rPr>
          <w:spacing w:val="-21"/>
          <w:w w:val="105"/>
        </w:rPr>
        <w:t> </w:t>
      </w:r>
      <w:r>
        <w:rPr>
          <w:w w:val="105"/>
        </w:rPr>
        <w:t>С4–С5 стадии,</w:t>
      </w:r>
      <w:r>
        <w:rPr>
          <w:spacing w:val="-15"/>
          <w:w w:val="105"/>
        </w:rPr>
        <w:t> </w:t>
      </w:r>
      <w:r>
        <w:rPr>
          <w:w w:val="105"/>
        </w:rPr>
        <w:t>и/или</w:t>
      </w:r>
      <w:r>
        <w:rPr>
          <w:spacing w:val="-15"/>
          <w:w w:val="105"/>
        </w:rPr>
        <w:t> </w:t>
      </w:r>
      <w:r>
        <w:rPr>
          <w:spacing w:val="-4"/>
          <w:w w:val="105"/>
        </w:rPr>
        <w:t>СД</w:t>
      </w:r>
      <w:r>
        <w:rPr>
          <w:spacing w:val="-15"/>
          <w:w w:val="105"/>
        </w:rPr>
        <w:t> </w:t>
      </w:r>
      <w:r>
        <w:rPr>
          <w:w w:val="105"/>
        </w:rPr>
        <w:t>с</w:t>
      </w:r>
      <w:r>
        <w:rPr>
          <w:spacing w:val="-15"/>
          <w:w w:val="105"/>
        </w:rPr>
        <w:t> </w:t>
      </w:r>
      <w:r>
        <w:rPr>
          <w:w w:val="105"/>
        </w:rPr>
        <w:t>поражением</w:t>
      </w:r>
      <w:r>
        <w:rPr>
          <w:spacing w:val="-14"/>
          <w:w w:val="105"/>
        </w:rPr>
        <w:t> </w:t>
      </w:r>
      <w:r>
        <w:rPr>
          <w:w w:val="105"/>
        </w:rPr>
        <w:t>органов-мишеней.</w:t>
      </w:r>
    </w:p>
    <w:p>
      <w:pPr>
        <w:pStyle w:val="BodyText"/>
        <w:spacing w:line="256" w:lineRule="auto" w:before="271"/>
        <w:ind w:left="380" w:right="130"/>
      </w:pPr>
      <w:r>
        <w:rPr/>
        <w:t>СД (рассматривается как дополнительное состояние, усугубляющее риск) [31]: глюкоза плазмы натощак </w:t>
      </w:r>
      <w:r>
        <w:rPr>
          <w:rFonts w:ascii="Times New Roman" w:hAnsi="Times New Roman"/>
        </w:rPr>
        <w:t>≥</w:t>
      </w:r>
      <w:r>
        <w:rPr/>
        <w:t>7,0 ммоль/л при двух последовательных измерениях и/или HbA1c </w:t>
      </w:r>
      <w:r>
        <w:rPr>
          <w:rFonts w:ascii="Times New Roman" w:hAnsi="Times New Roman"/>
        </w:rPr>
        <w:t>≥</w:t>
      </w:r>
      <w:r>
        <w:rPr/>
        <w:t>6,5%, и/ или глюкоза плазмы после нагрузки или при случайном определении </w:t>
      </w:r>
      <w:r>
        <w:rPr>
          <w:rFonts w:ascii="Times New Roman" w:hAnsi="Times New Roman"/>
        </w:rPr>
        <w:t>≥</w:t>
      </w:r>
      <w:r>
        <w:rPr/>
        <w:t>11,1 ммоль/л.</w:t>
      </w:r>
    </w:p>
    <w:p>
      <w:pPr>
        <w:pStyle w:val="BodyText"/>
        <w:spacing w:line="256" w:lineRule="auto" w:before="272"/>
        <w:ind w:left="380" w:right="136"/>
      </w:pPr>
      <w:r>
        <w:rPr/>
        <w:t>Стадии АГ имеют уточняющий характер по поражениям</w:t>
      </w:r>
      <w:r>
        <w:rPr>
          <w:spacing w:val="-30"/>
        </w:rPr>
        <w:t> </w:t>
      </w:r>
      <w:r>
        <w:rPr/>
        <w:t>органов- мишеней и сопутствующей</w:t>
      </w:r>
      <w:r>
        <w:rPr>
          <w:spacing w:val="-9"/>
        </w:rPr>
        <w:t> </w:t>
      </w:r>
      <w:r>
        <w:rPr/>
        <w:t>патологии.</w:t>
      </w:r>
    </w:p>
    <w:p>
      <w:pPr>
        <w:pStyle w:val="BodyText"/>
        <w:spacing w:line="256" w:lineRule="auto" w:before="271"/>
        <w:ind w:left="380" w:right="132"/>
      </w:pPr>
      <w:r>
        <w:rPr/>
        <w:t>На основании уровня АД, наличия ФР, ПОМ, АКС, СД выделяют 4 категории риска СС осложнений: низкий (риск 1), умеренный (риск 2), высокий (риск 3) и очень высокий (риск 4) (Приложение Г2, таблица П12). Наиболее значимым является определение категории риска у пациентов с гипертонической болезнью I и II стадий.</w:t>
      </w:r>
    </w:p>
    <w:p>
      <w:pPr>
        <w:spacing w:after="0" w:line="256" w:lineRule="auto"/>
        <w:sectPr>
          <w:pgSz w:w="11900" w:h="16840"/>
          <w:pgMar w:top="0" w:bottom="0" w:left="1420" w:right="1520"/>
        </w:sectPr>
      </w:pPr>
    </w:p>
    <w:p>
      <w:pPr>
        <w:pStyle w:val="Heading2"/>
        <w:numPr>
          <w:ilvl w:val="1"/>
          <w:numId w:val="2"/>
        </w:numPr>
        <w:tabs>
          <w:tab w:pos="941" w:val="left" w:leader="none"/>
        </w:tabs>
        <w:spacing w:line="177" w:lineRule="auto" w:before="28" w:after="0"/>
        <w:ind w:left="380" w:right="1148" w:firstLine="0"/>
        <w:jc w:val="left"/>
      </w:pPr>
      <w:r>
        <w:rPr/>
        <w:t>Клиническая картина заболевания или состояния (группы заболеваний,</w:t>
      </w:r>
      <w:r>
        <w:rPr>
          <w:spacing w:val="34"/>
        </w:rPr>
        <w:t> </w:t>
      </w:r>
      <w:r>
        <w:rPr>
          <w:spacing w:val="-3"/>
        </w:rPr>
        <w:t>состояний)</w:t>
      </w:r>
    </w:p>
    <w:p>
      <w:pPr>
        <w:pStyle w:val="BodyText"/>
        <w:spacing w:before="8"/>
        <w:ind w:left="0"/>
        <w:jc w:val="left"/>
        <w:rPr>
          <w:b/>
          <w:sz w:val="32"/>
        </w:rPr>
      </w:pPr>
    </w:p>
    <w:p>
      <w:pPr>
        <w:pStyle w:val="BodyText"/>
        <w:spacing w:line="256" w:lineRule="auto" w:before="0"/>
        <w:ind w:left="380" w:right="133"/>
      </w:pPr>
      <w:r>
        <w:rPr/>
        <w:t>В большинстве случаев АД повышается бессимптомно, и АГ обнаруживают лишь в ходе объективного исследования пациента. В тех случаях, когда жалобы есть, они неспецифичны (головная боль, головокружение, сердцебиение и т.д.). При симптоматической гипертонии жалобы обусловлены основным заболеванием:</w:t>
      </w:r>
    </w:p>
    <w:p>
      <w:pPr>
        <w:pStyle w:val="BodyText"/>
        <w:spacing w:line="256" w:lineRule="auto" w:before="273"/>
        <w:ind w:left="695" w:right="136"/>
      </w:pPr>
      <w:r>
        <w:rPr/>
        <w:pict>
          <v:shape style="position:absolute;margin-left:91.538452pt;margin-top:21.069498pt;width:4.55pt;height:4.55pt;mso-position-horizontal-relative:page;mso-position-vertical-relative:paragraph;z-index:15755264" coordorigin="1831,421" coordsize="91,91" path="m1888,511l1863,511,1853,507,1835,489,1831,479,1831,454,1835,443,1853,426,1863,421,1888,421,1899,426,1916,443,1921,454,1921,466,1921,479,1916,489,1899,507,1888,511xe" filled="true" fillcolor="#000000" stroked="false">
            <v:path arrowok="t"/>
            <v:fill type="solid"/>
            <w10:wrap type="none"/>
          </v:shape>
        </w:pict>
      </w:r>
      <w:r>
        <w:rPr/>
        <w:t>Синдром обструктивного апноэ во сне: храп, головная боль по утрам, сонливость в дневное время, нарушение памяти, внимания, неполноценный ночной сон;</w:t>
      </w:r>
    </w:p>
    <w:p>
      <w:pPr>
        <w:pStyle w:val="BodyText"/>
        <w:spacing w:line="256" w:lineRule="auto"/>
        <w:ind w:left="695" w:right="132"/>
      </w:pPr>
      <w:r>
        <w:rPr/>
        <w:pict>
          <v:shape style="position:absolute;margin-left:91.538452pt;margin-top:7.46949pt;width:4.55pt;height:4.5pt;mso-position-horizontal-relative:page;mso-position-vertical-relative:paragraph;z-index:15755776" coordorigin="1831,149" coordsize="91,90" path="m1888,239l1863,239,1853,235,1835,217,1831,207,1831,182,1835,171,1853,154,1863,149,1888,149,1899,154,1916,171,1921,182,1921,194,1921,207,1916,217,1899,235,1888,239xe" filled="true" fillcolor="#000000" stroked="false">
            <v:path arrowok="t"/>
            <v:fill type="solid"/>
            <w10:wrap type="none"/>
          </v:shape>
        </w:pict>
      </w:r>
      <w:r>
        <w:rPr/>
        <w:t>Первичный гиперальдостеронизм: мышечная слабость, полиурия, полидипсия, запоры;</w:t>
      </w:r>
    </w:p>
    <w:p>
      <w:pPr>
        <w:pStyle w:val="BodyText"/>
        <w:spacing w:line="256" w:lineRule="auto"/>
        <w:ind w:left="695" w:right="128"/>
      </w:pPr>
      <w:r>
        <w:rPr/>
        <w:pict>
          <v:shape style="position:absolute;margin-left:91.538452pt;margin-top:7.469525pt;width:4.55pt;height:4.5pt;mso-position-horizontal-relative:page;mso-position-vertical-relative:paragraph;z-index:15756288" coordorigin="1831,149" coordsize="91,90" path="m1888,239l1863,239,1853,235,1835,217,1831,207,1831,182,1835,171,1853,154,1863,149,1888,149,1899,154,1916,171,1921,182,1921,194,1921,207,1916,217,1899,235,1888,239xe" filled="true" fillcolor="#000000" stroked="false">
            <v:path arrowok="t"/>
            <v:fill type="solid"/>
            <w10:wrap type="none"/>
          </v:shape>
        </w:pict>
      </w:r>
      <w:r>
        <w:rPr/>
        <w:t>Феохромоцитома: пароксизмальная АГ, головная боль, профузная потливость, сердцебиение, лабильное повышение АД, ортостатическая гипотония;</w:t>
      </w:r>
    </w:p>
    <w:p>
      <w:pPr>
        <w:pStyle w:val="BodyText"/>
        <w:spacing w:line="256" w:lineRule="auto" w:before="271"/>
        <w:ind w:left="695" w:right="134"/>
      </w:pPr>
      <w:r>
        <w:rPr/>
        <w:pict>
          <v:shape style="position:absolute;margin-left:91.538452pt;margin-top:20.969515pt;width:4.55pt;height:4.5pt;mso-position-horizontal-relative:page;mso-position-vertical-relative:paragraph;z-index:15756800"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Синдром Иценко–Кушинга: лунообразное лицо, плетора, жировой горбик, гирсутизм, центральное ожирение, атрофия кожи, багровые стрии, синяки, нарушения углеводного обмена;</w:t>
      </w:r>
    </w:p>
    <w:p>
      <w:pPr>
        <w:pStyle w:val="BodyText"/>
        <w:spacing w:line="256" w:lineRule="auto" w:before="271"/>
        <w:ind w:left="695" w:right="132"/>
      </w:pPr>
      <w:r>
        <w:rPr/>
        <w:pict>
          <v:shape style="position:absolute;margin-left:91.538452pt;margin-top:20.969505pt;width:4.55pt;height:4.5pt;mso-position-horizontal-relative:page;mso-position-vertical-relative:paragraph;z-index:15757312"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Заболевания щитовидной железы: симптомы тиреотоксикоза или гипотиреоза;</w:t>
      </w:r>
    </w:p>
    <w:p>
      <w:pPr>
        <w:pStyle w:val="BodyText"/>
        <w:spacing w:line="256" w:lineRule="auto"/>
        <w:ind w:left="695" w:right="138"/>
      </w:pPr>
      <w:r>
        <w:rPr/>
        <w:pict>
          <v:shape style="position:absolute;margin-left:91.538452pt;margin-top:7.469511pt;width:4.55pt;height:4.5pt;mso-position-horizontal-relative:page;mso-position-vertical-relative:paragraph;z-index:15757824" coordorigin="1831,149" coordsize="91,90" path="m1888,239l1863,239,1853,235,1835,217,1831,207,1831,182,1835,171,1853,154,1863,149,1888,149,1899,154,1916,171,1921,182,1921,194,1921,207,1916,217,1899,235,1888,239xe" filled="true" fillcolor="#000000" stroked="false">
            <v:path arrowok="t"/>
            <v:fill type="solid"/>
            <w10:wrap type="none"/>
          </v:shape>
        </w:pict>
      </w:r>
      <w:r>
        <w:rPr/>
        <w:t>Коарктация аорты: головная боль, холодные конечности, боль в </w:t>
      </w:r>
      <w:r>
        <w:rPr>
          <w:w w:val="105"/>
        </w:rPr>
        <w:t>ногах при физических нагрузках, носовые кровотечения.</w:t>
      </w:r>
    </w:p>
    <w:p>
      <w:pPr>
        <w:spacing w:after="0" w:line="256" w:lineRule="auto"/>
        <w:sectPr>
          <w:pgSz w:w="11900" w:h="16840"/>
          <w:pgMar w:top="0" w:bottom="280" w:left="1420" w:right="1520"/>
        </w:sectPr>
      </w:pPr>
    </w:p>
    <w:p>
      <w:pPr>
        <w:pStyle w:val="Heading1"/>
        <w:numPr>
          <w:ilvl w:val="0"/>
          <w:numId w:val="2"/>
        </w:numPr>
        <w:tabs>
          <w:tab w:pos="924" w:val="left" w:leader="none"/>
        </w:tabs>
        <w:spacing w:line="240" w:lineRule="auto" w:before="66" w:after="0"/>
        <w:ind w:left="923" w:right="0" w:hanging="544"/>
        <w:jc w:val="left"/>
      </w:pPr>
      <w:r>
        <w:rPr/>
        <w:t>Диагностика</w:t>
      </w:r>
    </w:p>
    <w:p>
      <w:pPr>
        <w:pStyle w:val="BodyText"/>
        <w:spacing w:before="12"/>
        <w:ind w:left="0"/>
        <w:jc w:val="left"/>
        <w:rPr>
          <w:b/>
          <w:sz w:val="44"/>
        </w:rPr>
      </w:pPr>
    </w:p>
    <w:p>
      <w:pPr>
        <w:pStyle w:val="Heading2"/>
        <w:numPr>
          <w:ilvl w:val="1"/>
          <w:numId w:val="4"/>
        </w:numPr>
        <w:tabs>
          <w:tab w:pos="951" w:val="left" w:leader="none"/>
        </w:tabs>
        <w:spacing w:line="240" w:lineRule="auto" w:before="0" w:after="0"/>
        <w:ind w:left="950" w:right="0" w:hanging="571"/>
        <w:jc w:val="left"/>
      </w:pPr>
      <w:r>
        <w:rPr/>
        <w:t>Критерии установления</w:t>
      </w:r>
      <w:r>
        <w:rPr>
          <w:spacing w:val="14"/>
        </w:rPr>
        <w:t> </w:t>
      </w:r>
      <w:r>
        <w:rPr/>
        <w:t>диагноза:</w:t>
      </w:r>
    </w:p>
    <w:p>
      <w:pPr>
        <w:pStyle w:val="BodyText"/>
        <w:spacing w:before="8"/>
        <w:ind w:left="0"/>
        <w:jc w:val="left"/>
        <w:rPr>
          <w:b/>
          <w:sz w:val="30"/>
        </w:rPr>
      </w:pPr>
    </w:p>
    <w:p>
      <w:pPr>
        <w:pStyle w:val="BodyText"/>
        <w:spacing w:line="256" w:lineRule="auto" w:before="0"/>
        <w:ind w:left="695" w:right="131"/>
      </w:pPr>
      <w:r>
        <w:rPr>
          <w:w w:val="105"/>
        </w:rPr>
        <w:t>Диагноз АГ на основании СМАД устанавливается в соответствии с пороговыми значениями, указанными в таблице</w:t>
      </w:r>
      <w:r>
        <w:rPr>
          <w:spacing w:val="-28"/>
          <w:w w:val="105"/>
        </w:rPr>
        <w:t> </w:t>
      </w:r>
      <w:r>
        <w:rPr>
          <w:w w:val="105"/>
        </w:rPr>
        <w:t>П9,</w:t>
      </w:r>
      <w:r>
        <w:rPr>
          <w:spacing w:val="-28"/>
          <w:w w:val="105"/>
        </w:rPr>
        <w:t> </w:t>
      </w:r>
      <w:r>
        <w:rPr>
          <w:w w:val="105"/>
        </w:rPr>
        <w:t>Приложение</w:t>
      </w:r>
      <w:r>
        <w:rPr>
          <w:spacing w:val="-28"/>
          <w:w w:val="105"/>
        </w:rPr>
        <w:t> </w:t>
      </w:r>
      <w:r>
        <w:rPr>
          <w:w w:val="105"/>
        </w:rPr>
        <w:t>Г2</w:t>
      </w:r>
      <w:r>
        <w:rPr>
          <w:spacing w:val="-28"/>
          <w:w w:val="105"/>
        </w:rPr>
        <w:t> </w:t>
      </w:r>
      <w:r>
        <w:rPr>
          <w:w w:val="105"/>
        </w:rPr>
        <w:t>[32].</w:t>
      </w:r>
      <w:r>
        <w:rPr>
          <w:spacing w:val="-28"/>
          <w:w w:val="105"/>
        </w:rPr>
        <w:t> </w:t>
      </w:r>
      <w:r>
        <w:rPr>
          <w:w w:val="105"/>
        </w:rPr>
        <w:t>Мониторинг</w:t>
      </w:r>
      <w:r>
        <w:rPr>
          <w:spacing w:val="-28"/>
          <w:w w:val="105"/>
        </w:rPr>
        <w:t> </w:t>
      </w:r>
      <w:r>
        <w:rPr>
          <w:w w:val="105"/>
        </w:rPr>
        <w:t>АД</w:t>
      </w:r>
      <w:r>
        <w:rPr>
          <w:spacing w:val="-28"/>
          <w:w w:val="105"/>
        </w:rPr>
        <w:t> </w:t>
      </w:r>
      <w:r>
        <w:rPr>
          <w:w w:val="105"/>
        </w:rPr>
        <w:t>в</w:t>
      </w:r>
      <w:r>
        <w:rPr>
          <w:spacing w:val="-28"/>
          <w:w w:val="105"/>
        </w:rPr>
        <w:t> </w:t>
      </w:r>
      <w:r>
        <w:rPr>
          <w:w w:val="105"/>
        </w:rPr>
        <w:t>домашних </w:t>
      </w:r>
      <w:r>
        <w:rPr/>
        <w:t>условиях рекомендуется при недоступности метода СМАД или </w:t>
      </w:r>
      <w:r>
        <w:rPr>
          <w:w w:val="105"/>
        </w:rPr>
        <w:t>из-за предпочтений пациента. При этом диагноз АГ устанавливается в соответствии с пороговыми значениями, указанными</w:t>
      </w:r>
      <w:r>
        <w:rPr>
          <w:spacing w:val="-14"/>
          <w:w w:val="105"/>
        </w:rPr>
        <w:t> </w:t>
      </w:r>
      <w:r>
        <w:rPr>
          <w:w w:val="105"/>
        </w:rPr>
        <w:t>в</w:t>
      </w:r>
      <w:r>
        <w:rPr>
          <w:spacing w:val="-14"/>
          <w:w w:val="105"/>
        </w:rPr>
        <w:t> </w:t>
      </w:r>
      <w:r>
        <w:rPr>
          <w:w w:val="105"/>
        </w:rPr>
        <w:t>таблице</w:t>
      </w:r>
      <w:r>
        <w:rPr>
          <w:spacing w:val="-13"/>
          <w:w w:val="105"/>
        </w:rPr>
        <w:t> </w:t>
      </w:r>
      <w:r>
        <w:rPr>
          <w:w w:val="105"/>
        </w:rPr>
        <w:t>П9,</w:t>
      </w:r>
      <w:r>
        <w:rPr>
          <w:spacing w:val="-14"/>
          <w:w w:val="105"/>
        </w:rPr>
        <w:t> </w:t>
      </w:r>
      <w:r>
        <w:rPr>
          <w:w w:val="105"/>
        </w:rPr>
        <w:t>Приложение</w:t>
      </w:r>
      <w:r>
        <w:rPr>
          <w:spacing w:val="-13"/>
          <w:w w:val="105"/>
        </w:rPr>
        <w:t> </w:t>
      </w:r>
      <w:r>
        <w:rPr>
          <w:w w:val="105"/>
        </w:rPr>
        <w:t>Г2</w:t>
      </w:r>
      <w:r>
        <w:rPr>
          <w:spacing w:val="-14"/>
          <w:w w:val="105"/>
        </w:rPr>
        <w:t> </w:t>
      </w:r>
      <w:r>
        <w:rPr>
          <w:w w:val="105"/>
        </w:rPr>
        <w:t>[32].</w:t>
      </w:r>
    </w:p>
    <w:p>
      <w:pPr>
        <w:pStyle w:val="BodyText"/>
        <w:tabs>
          <w:tab w:pos="1587" w:val="left" w:leader="none"/>
          <w:tab w:pos="4759" w:val="left" w:leader="none"/>
          <w:tab w:pos="7296" w:val="left" w:leader="none"/>
        </w:tabs>
        <w:spacing w:line="256" w:lineRule="auto" w:before="273"/>
        <w:ind w:left="695" w:right="129"/>
      </w:pPr>
      <w:r>
        <w:rPr/>
        <w:t>В случае если диагноз важен для экспертизы трудоспособности или определения годности к военной службе, а также годности к</w:t>
        <w:tab/>
        <w:t>профессиональной</w:t>
        <w:tab/>
        <w:t>деятельности,</w:t>
        <w:tab/>
      </w:r>
      <w:r>
        <w:rPr>
          <w:spacing w:val="-4"/>
        </w:rPr>
        <w:t>необходима </w:t>
      </w:r>
      <w:r>
        <w:rPr/>
        <w:t>объективизация с помощью постановки</w:t>
      </w:r>
      <w:r>
        <w:rPr>
          <w:spacing w:val="-16"/>
        </w:rPr>
        <w:t> </w:t>
      </w:r>
      <w:r>
        <w:rPr/>
        <w:t>СМАД.</w:t>
      </w:r>
    </w:p>
    <w:p>
      <w:pPr>
        <w:pStyle w:val="BodyText"/>
        <w:spacing w:before="272"/>
        <w:ind w:left="695"/>
      </w:pPr>
      <w:r>
        <w:rPr/>
        <w:t>Диагностика АГ включает следующие этапы:</w:t>
      </w:r>
    </w:p>
    <w:p>
      <w:pPr>
        <w:pStyle w:val="BodyText"/>
        <w:spacing w:line="256" w:lineRule="auto" w:before="296"/>
        <w:ind w:left="695" w:right="3801"/>
        <w:jc w:val="left"/>
      </w:pPr>
      <w:r>
        <w:rPr/>
        <w:pict>
          <v:shape style="position:absolute;margin-left:91.538452pt;margin-top:22.219496pt;width:4.55pt;height:4.5pt;mso-position-horizontal-relative:page;mso-position-vertical-relative:paragraph;z-index:15758336"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pict>
          <v:shape style="position:absolute;margin-left:91.538452pt;margin-top:41.727692pt;width:4.55pt;height:4.55pt;mso-position-horizontal-relative:page;mso-position-vertical-relative:paragraph;z-index:15758848" coordorigin="1831,835" coordsize="91,91" path="m1888,925l1863,925,1853,920,1835,903,1831,892,1831,867,1835,857,1853,839,1863,835,1888,835,1899,839,1916,857,1921,867,1921,880,1921,892,1916,903,1899,920,1888,925xe" filled="true" fillcolor="#000000" stroked="false">
            <v:path arrowok="t"/>
            <v:fill type="solid"/>
            <w10:wrap type="none"/>
          </v:shape>
        </w:pict>
      </w:r>
      <w:r>
        <w:rPr/>
        <w:pict>
          <v:shape style="position:absolute;margin-left:91.538452pt;margin-top:61.235889pt;width:4.55pt;height:4.5pt;mso-position-horizontal-relative:page;mso-position-vertical-relative:paragraph;z-index:15759360" coordorigin="1831,1225" coordsize="91,90" path="m1888,1315l1863,1315,1853,1310,1835,1293,1831,1282,1831,1257,1835,1247,1853,1229,1863,1225,1888,1225,1899,1229,1916,1247,1921,1257,1921,1270,1921,1282,1916,1293,1899,1310,1888,1315xe" filled="true" fillcolor="#000000" stroked="false">
            <v:path arrowok="t"/>
            <v:fill type="solid"/>
            <w10:wrap type="none"/>
          </v:shape>
        </w:pict>
      </w:r>
      <w:r>
        <w:rPr>
          <w:w w:val="105"/>
        </w:rPr>
        <w:t>выяснение</w:t>
      </w:r>
      <w:r>
        <w:rPr>
          <w:spacing w:val="-46"/>
          <w:w w:val="105"/>
        </w:rPr>
        <w:t> </w:t>
      </w:r>
      <w:r>
        <w:rPr>
          <w:w w:val="105"/>
        </w:rPr>
        <w:t>жалоб</w:t>
      </w:r>
      <w:r>
        <w:rPr>
          <w:spacing w:val="-46"/>
          <w:w w:val="105"/>
        </w:rPr>
        <w:t> </w:t>
      </w:r>
      <w:r>
        <w:rPr>
          <w:w w:val="105"/>
        </w:rPr>
        <w:t>и</w:t>
      </w:r>
      <w:r>
        <w:rPr>
          <w:spacing w:val="-45"/>
          <w:w w:val="105"/>
        </w:rPr>
        <w:t> </w:t>
      </w:r>
      <w:r>
        <w:rPr>
          <w:w w:val="105"/>
        </w:rPr>
        <w:t>сбор</w:t>
      </w:r>
      <w:r>
        <w:rPr>
          <w:spacing w:val="-46"/>
          <w:w w:val="105"/>
        </w:rPr>
        <w:t> </w:t>
      </w:r>
      <w:r>
        <w:rPr>
          <w:w w:val="105"/>
        </w:rPr>
        <w:t>анамнеза; повторные измерения АД; объективное</w:t>
      </w:r>
      <w:r>
        <w:rPr>
          <w:spacing w:val="-13"/>
          <w:w w:val="105"/>
        </w:rPr>
        <w:t> </w:t>
      </w:r>
      <w:r>
        <w:rPr>
          <w:w w:val="105"/>
        </w:rPr>
        <w:t>обследование;</w:t>
      </w:r>
    </w:p>
    <w:p>
      <w:pPr>
        <w:pStyle w:val="BodyText"/>
        <w:spacing w:line="256" w:lineRule="auto"/>
        <w:ind w:left="695" w:right="130"/>
      </w:pPr>
      <w:r>
        <w:rPr/>
        <w:pict>
          <v:shape style="position:absolute;margin-left:91.538452pt;margin-top:7.469487pt;width:4.55pt;height:4.5pt;mso-position-horizontal-relative:page;mso-position-vertical-relative:paragraph;z-index:15759872" coordorigin="1831,149" coordsize="91,90" path="m1888,239l1863,239,1853,235,1835,217,1831,207,1831,182,1835,171,1853,154,1863,149,1888,149,1899,154,1916,171,1921,182,1921,194,1921,207,1916,217,1899,235,1888,239xe" filled="true" fillcolor="#000000" stroked="false">
            <v:path arrowok="t"/>
            <v:fill type="solid"/>
            <w10:wrap type="none"/>
          </v:shape>
        </w:pict>
      </w:r>
      <w:r>
        <w:rPr/>
        <w:t>лабораторно-инструментальные методы исследования: рутинные на первом этапе и сложные — на втором этапе обследования (по показаниям);</w:t>
      </w:r>
    </w:p>
    <w:p>
      <w:pPr>
        <w:pStyle w:val="BodyText"/>
        <w:spacing w:line="256" w:lineRule="auto" w:before="2"/>
        <w:ind w:left="695" w:right="141"/>
      </w:pPr>
      <w:r>
        <w:rPr/>
        <w:pict>
          <v:shape style="position:absolute;margin-left:91.538452pt;margin-top:7.51951pt;width:4.55pt;height:4.5pt;mso-position-horizontal-relative:page;mso-position-vertical-relative:paragraph;z-index:15760384" coordorigin="1831,150" coordsize="91,90" path="m1888,240l1863,240,1853,236,1835,218,1831,208,1831,183,1835,172,1853,155,1863,150,1888,150,1899,155,1916,172,1921,183,1921,195,1921,208,1916,218,1899,236,1888,240xe" filled="true" fillcolor="#000000" stroked="false">
            <v:path arrowok="t"/>
            <v:fill type="solid"/>
            <w10:wrap type="none"/>
          </v:shape>
        </w:pict>
      </w:r>
      <w:r>
        <w:rPr/>
        <w:t>исключение вторичных (симптоматических) АГ </w:t>
      </w:r>
      <w:r>
        <w:rPr>
          <w:spacing w:val="-4"/>
        </w:rPr>
        <w:t>при</w:t>
      </w:r>
      <w:r>
        <w:rPr>
          <w:spacing w:val="59"/>
        </w:rPr>
        <w:t> </w:t>
      </w:r>
      <w:r>
        <w:rPr/>
        <w:t>необходимости;</w:t>
      </w:r>
    </w:p>
    <w:p>
      <w:pPr>
        <w:pStyle w:val="BodyText"/>
        <w:spacing w:before="0"/>
        <w:ind w:left="695"/>
      </w:pPr>
      <w:r>
        <w:rPr/>
        <w:pict>
          <v:shape style="position:absolute;margin-left:91.538452pt;margin-top:7.419485pt;width:4.55pt;height:4.5pt;mso-position-horizontal-relative:page;mso-position-vertical-relative:paragraph;z-index:15760896" coordorigin="1831,148" coordsize="91,90" path="m1888,238l1863,238,1853,234,1835,216,1831,206,1831,181,1835,170,1853,153,1863,148,1888,148,1899,153,1916,170,1921,181,1921,193,1921,206,1916,216,1899,234,1888,238xe" filled="true" fillcolor="#000000" stroked="false">
            <v:path arrowok="t"/>
            <v:fill type="solid"/>
            <w10:wrap type="none"/>
          </v:shape>
        </w:pict>
      </w:r>
      <w:r>
        <w:rPr/>
        <w:t>оценка общего сердечно-сосудистого риска.</w:t>
      </w:r>
    </w:p>
    <w:p>
      <w:pPr>
        <w:pStyle w:val="BodyText"/>
        <w:spacing w:line="256" w:lineRule="auto" w:before="26"/>
        <w:ind w:left="695" w:right="129"/>
      </w:pPr>
      <w:r>
        <w:rPr/>
        <w:pict>
          <v:shape style="position:absolute;margin-left:91.538452pt;margin-top:8.719502pt;width:4.55pt;height:4.5pt;mso-position-horizontal-relative:page;mso-position-vertical-relative:paragraph;z-index:15761408" coordorigin="1831,174" coordsize="91,90" path="m1888,264l1863,264,1853,260,1835,242,1831,232,1831,207,1835,196,1853,179,1863,174,1888,174,1899,179,1916,196,1921,207,1921,219,1921,232,1916,242,1899,260,1888,264xe" filled="true" fillcolor="#000000" stroked="false">
            <v:path arrowok="t"/>
            <v:fill type="solid"/>
            <w10:wrap type="none"/>
          </v:shape>
        </w:pict>
      </w:r>
      <w:r>
        <w:rPr/>
        <w:t>Всем пациентам при измерении уровня АД в медицинском учреждении рекомендуется классифицировать его на оптимальное, нормальное, высокое нормальное артериальное давление или артериальную гипертензию 1–3-й степени [21, 22].</w:t>
      </w:r>
    </w:p>
    <w:p>
      <w:pPr>
        <w:pStyle w:val="Heading3"/>
        <w:spacing w:before="272"/>
      </w:pPr>
      <w:r>
        <w:rPr>
          <w:w w:val="105"/>
        </w:rPr>
        <w:t>ЕОК/ЕОАГ нет (УУР С, УУД 5)</w:t>
      </w:r>
    </w:p>
    <w:p>
      <w:pPr>
        <w:spacing w:line="256" w:lineRule="auto" w:before="296"/>
        <w:ind w:left="695" w:right="128" w:firstLine="0"/>
        <w:jc w:val="both"/>
        <w:rPr>
          <w:i/>
          <w:sz w:val="27"/>
        </w:rPr>
      </w:pPr>
      <w:r>
        <w:rPr>
          <w:b/>
          <w:w w:val="105"/>
          <w:sz w:val="27"/>
        </w:rPr>
        <w:t>Комментарий. </w:t>
      </w:r>
      <w:r>
        <w:rPr>
          <w:i/>
          <w:w w:val="105"/>
          <w:sz w:val="27"/>
        </w:rPr>
        <w:t>Повышение АД, измеренного в медицинском </w:t>
      </w:r>
      <w:r>
        <w:rPr>
          <w:i/>
          <w:w w:val="105"/>
          <w:sz w:val="27"/>
        </w:rPr>
        <w:t>учреждении выше 140 и/или </w:t>
      </w:r>
      <w:r>
        <w:rPr>
          <w:i/>
          <w:spacing w:val="3"/>
          <w:w w:val="105"/>
          <w:sz w:val="27"/>
        </w:rPr>
        <w:t>90 </w:t>
      </w:r>
      <w:r>
        <w:rPr>
          <w:i/>
          <w:w w:val="105"/>
          <w:sz w:val="27"/>
        </w:rPr>
        <w:t>мм рт. ст. (таблица П2, Приложение Г1) на двух разных визитах, за исключением тяжелой АГ (АГ 3-й степени, особенно у пациентов высокого риска) и/или повышения АД при измерении вне</w:t>
      </w:r>
      <w:r>
        <w:rPr>
          <w:i/>
          <w:spacing w:val="65"/>
          <w:w w:val="105"/>
          <w:sz w:val="27"/>
        </w:rPr>
        <w:t> </w:t>
      </w:r>
      <w:r>
        <w:rPr>
          <w:i/>
          <w:w w:val="105"/>
          <w:sz w:val="27"/>
        </w:rPr>
        <w:t>медицинского</w:t>
      </w:r>
    </w:p>
    <w:p>
      <w:pPr>
        <w:spacing w:after="0" w:line="256" w:lineRule="auto"/>
        <w:jc w:val="both"/>
        <w:rPr>
          <w:sz w:val="27"/>
        </w:rPr>
        <w:sectPr>
          <w:pgSz w:w="11900" w:h="16840"/>
          <w:pgMar w:top="600" w:bottom="0" w:left="1420" w:right="1520"/>
        </w:sectPr>
      </w:pPr>
    </w:p>
    <w:p>
      <w:pPr>
        <w:spacing w:line="256" w:lineRule="auto" w:before="16"/>
        <w:ind w:left="695" w:right="137" w:firstLine="0"/>
        <w:jc w:val="both"/>
        <w:rPr>
          <w:i/>
          <w:sz w:val="27"/>
        </w:rPr>
      </w:pPr>
      <w:r>
        <w:rPr>
          <w:i/>
          <w:w w:val="105"/>
          <w:sz w:val="27"/>
        </w:rPr>
        <w:t>учреждения (по данным СМАД и/или ДМАД) при условии </w:t>
      </w:r>
      <w:r>
        <w:rPr>
          <w:i/>
          <w:w w:val="105"/>
          <w:sz w:val="27"/>
        </w:rPr>
        <w:t>экономической и логистической целесообразности [32–37] (таблица П7, Приложение Г2).</w:t>
      </w:r>
    </w:p>
    <w:p>
      <w:pPr>
        <w:spacing w:line="256" w:lineRule="auto" w:before="272"/>
        <w:ind w:left="695" w:right="134" w:firstLine="0"/>
        <w:jc w:val="both"/>
        <w:rPr>
          <w:i/>
          <w:sz w:val="27"/>
        </w:rPr>
      </w:pPr>
      <w:r>
        <w:rPr>
          <w:i/>
          <w:w w:val="105"/>
          <w:sz w:val="27"/>
        </w:rPr>
        <w:t>У всех пациентов с впервые диагностированным </w:t>
      </w:r>
      <w:r>
        <w:rPr>
          <w:i/>
          <w:w w:val="105"/>
          <w:sz w:val="27"/>
        </w:rPr>
        <w:t>гипертоническим кризом, необходимо выявить причину повышения АД, в т.ч. симптоматическую АГ.</w:t>
      </w:r>
    </w:p>
    <w:p>
      <w:pPr>
        <w:spacing w:line="256" w:lineRule="auto" w:before="271"/>
        <w:ind w:left="695" w:right="132" w:firstLine="0"/>
        <w:jc w:val="both"/>
        <w:rPr>
          <w:i/>
          <w:sz w:val="27"/>
        </w:rPr>
      </w:pPr>
      <w:r>
        <w:rPr>
          <w:i/>
          <w:w w:val="105"/>
          <w:sz w:val="27"/>
        </w:rPr>
        <w:t>У всех пациентов при выявлении повышения АД в медицинском </w:t>
      </w:r>
      <w:r>
        <w:rPr>
          <w:i/>
          <w:w w:val="105"/>
          <w:sz w:val="27"/>
        </w:rPr>
        <w:t>учреждении</w:t>
      </w:r>
      <w:r>
        <w:rPr>
          <w:i/>
          <w:spacing w:val="-14"/>
          <w:w w:val="105"/>
          <w:sz w:val="27"/>
        </w:rPr>
        <w:t> </w:t>
      </w:r>
      <w:r>
        <w:rPr>
          <w:i/>
          <w:w w:val="105"/>
          <w:sz w:val="27"/>
        </w:rPr>
        <w:t>необходимо</w:t>
      </w:r>
      <w:r>
        <w:rPr>
          <w:i/>
          <w:spacing w:val="-13"/>
          <w:w w:val="105"/>
          <w:sz w:val="27"/>
        </w:rPr>
        <w:t> </w:t>
      </w:r>
      <w:r>
        <w:rPr>
          <w:i/>
          <w:w w:val="105"/>
          <w:sz w:val="27"/>
        </w:rPr>
        <w:t>два</w:t>
      </w:r>
      <w:r>
        <w:rPr>
          <w:i/>
          <w:spacing w:val="-13"/>
          <w:w w:val="105"/>
          <w:sz w:val="27"/>
        </w:rPr>
        <w:t> </w:t>
      </w:r>
      <w:r>
        <w:rPr>
          <w:i/>
          <w:w w:val="105"/>
          <w:sz w:val="27"/>
        </w:rPr>
        <w:t>измерения</w:t>
      </w:r>
      <w:r>
        <w:rPr>
          <w:i/>
          <w:spacing w:val="-13"/>
          <w:w w:val="105"/>
          <w:sz w:val="27"/>
        </w:rPr>
        <w:t> </w:t>
      </w:r>
      <w:r>
        <w:rPr>
          <w:i/>
          <w:w w:val="105"/>
          <w:sz w:val="27"/>
        </w:rPr>
        <w:t>АД</w:t>
      </w:r>
      <w:r>
        <w:rPr>
          <w:i/>
          <w:spacing w:val="-13"/>
          <w:w w:val="105"/>
          <w:sz w:val="27"/>
        </w:rPr>
        <w:t> </w:t>
      </w:r>
      <w:r>
        <w:rPr>
          <w:i/>
          <w:w w:val="105"/>
          <w:sz w:val="27"/>
        </w:rPr>
        <w:t>на</w:t>
      </w:r>
      <w:r>
        <w:rPr>
          <w:i/>
          <w:spacing w:val="-13"/>
          <w:w w:val="105"/>
          <w:sz w:val="27"/>
        </w:rPr>
        <w:t> </w:t>
      </w:r>
      <w:r>
        <w:rPr>
          <w:i/>
          <w:w w:val="105"/>
          <w:sz w:val="27"/>
        </w:rPr>
        <w:t>двух</w:t>
      </w:r>
      <w:r>
        <w:rPr>
          <w:i/>
          <w:spacing w:val="-14"/>
          <w:w w:val="105"/>
          <w:sz w:val="27"/>
        </w:rPr>
        <w:t> </w:t>
      </w:r>
      <w:r>
        <w:rPr>
          <w:i/>
          <w:w w:val="105"/>
          <w:sz w:val="27"/>
        </w:rPr>
        <w:t>разных</w:t>
      </w:r>
      <w:r>
        <w:rPr>
          <w:i/>
          <w:spacing w:val="-13"/>
          <w:w w:val="105"/>
          <w:sz w:val="27"/>
        </w:rPr>
        <w:t> </w:t>
      </w:r>
      <w:r>
        <w:rPr>
          <w:i/>
          <w:w w:val="105"/>
          <w:sz w:val="27"/>
        </w:rPr>
        <w:t>визитах для</w:t>
      </w:r>
      <w:r>
        <w:rPr>
          <w:i/>
          <w:spacing w:val="-15"/>
          <w:w w:val="105"/>
          <w:sz w:val="27"/>
        </w:rPr>
        <w:t> </w:t>
      </w:r>
      <w:r>
        <w:rPr>
          <w:i/>
          <w:w w:val="105"/>
          <w:sz w:val="27"/>
        </w:rPr>
        <w:t>постановки</w:t>
      </w:r>
      <w:r>
        <w:rPr>
          <w:i/>
          <w:spacing w:val="-15"/>
          <w:w w:val="105"/>
          <w:sz w:val="27"/>
        </w:rPr>
        <w:t> </w:t>
      </w:r>
      <w:r>
        <w:rPr>
          <w:i/>
          <w:w w:val="105"/>
          <w:sz w:val="27"/>
        </w:rPr>
        <w:t>диагноза</w:t>
      </w:r>
      <w:r>
        <w:rPr>
          <w:i/>
          <w:spacing w:val="-14"/>
          <w:w w:val="105"/>
          <w:sz w:val="27"/>
        </w:rPr>
        <w:t> </w:t>
      </w:r>
      <w:r>
        <w:rPr>
          <w:i/>
          <w:w w:val="105"/>
          <w:sz w:val="27"/>
        </w:rPr>
        <w:t>АГ</w:t>
      </w:r>
      <w:r>
        <w:rPr>
          <w:i/>
          <w:spacing w:val="-15"/>
          <w:w w:val="105"/>
          <w:sz w:val="27"/>
        </w:rPr>
        <w:t> </w:t>
      </w:r>
      <w:r>
        <w:rPr>
          <w:i/>
          <w:w w:val="105"/>
          <w:sz w:val="27"/>
        </w:rPr>
        <w:t>(таблица</w:t>
      </w:r>
      <w:r>
        <w:rPr>
          <w:i/>
          <w:spacing w:val="-15"/>
          <w:w w:val="105"/>
          <w:sz w:val="27"/>
        </w:rPr>
        <w:t> </w:t>
      </w:r>
      <w:r>
        <w:rPr>
          <w:i/>
          <w:w w:val="105"/>
          <w:sz w:val="27"/>
        </w:rPr>
        <w:t>П2,</w:t>
      </w:r>
      <w:r>
        <w:rPr>
          <w:i/>
          <w:spacing w:val="-14"/>
          <w:w w:val="105"/>
          <w:sz w:val="27"/>
        </w:rPr>
        <w:t> </w:t>
      </w:r>
      <w:r>
        <w:rPr>
          <w:i/>
          <w:w w:val="105"/>
          <w:sz w:val="27"/>
        </w:rPr>
        <w:t>Приложение</w:t>
      </w:r>
      <w:r>
        <w:rPr>
          <w:i/>
          <w:spacing w:val="-15"/>
          <w:w w:val="105"/>
          <w:sz w:val="27"/>
        </w:rPr>
        <w:t> </w:t>
      </w:r>
      <w:r>
        <w:rPr>
          <w:i/>
          <w:w w:val="105"/>
          <w:sz w:val="27"/>
        </w:rPr>
        <w:t>Г1)</w:t>
      </w:r>
      <w:r>
        <w:rPr>
          <w:i/>
          <w:spacing w:val="-15"/>
          <w:w w:val="105"/>
          <w:sz w:val="27"/>
        </w:rPr>
        <w:t> </w:t>
      </w:r>
      <w:r>
        <w:rPr>
          <w:i/>
          <w:w w:val="105"/>
          <w:sz w:val="27"/>
        </w:rPr>
        <w:t>[21;32].</w:t>
      </w:r>
    </w:p>
    <w:p>
      <w:pPr>
        <w:spacing w:line="256" w:lineRule="auto" w:before="271"/>
        <w:ind w:left="695" w:right="128" w:firstLine="0"/>
        <w:jc w:val="both"/>
        <w:rPr>
          <w:i/>
          <w:sz w:val="27"/>
        </w:rPr>
      </w:pPr>
      <w:r>
        <w:rPr>
          <w:i/>
          <w:w w:val="105"/>
          <w:sz w:val="27"/>
        </w:rPr>
        <w:t>На каждом визите должно быть проведено не менее двух </w:t>
      </w:r>
      <w:r>
        <w:rPr>
          <w:i/>
          <w:w w:val="105"/>
          <w:sz w:val="27"/>
        </w:rPr>
        <w:t>измерений</w:t>
      </w:r>
      <w:r>
        <w:rPr>
          <w:i/>
          <w:spacing w:val="-10"/>
          <w:w w:val="105"/>
          <w:sz w:val="27"/>
        </w:rPr>
        <w:t> </w:t>
      </w:r>
      <w:r>
        <w:rPr>
          <w:i/>
          <w:w w:val="105"/>
          <w:sz w:val="27"/>
        </w:rPr>
        <w:t>АД</w:t>
      </w:r>
      <w:r>
        <w:rPr>
          <w:i/>
          <w:spacing w:val="-10"/>
          <w:w w:val="105"/>
          <w:sz w:val="27"/>
        </w:rPr>
        <w:t> </w:t>
      </w:r>
      <w:r>
        <w:rPr>
          <w:i/>
          <w:w w:val="105"/>
          <w:sz w:val="27"/>
        </w:rPr>
        <w:t>с</w:t>
      </w:r>
      <w:r>
        <w:rPr>
          <w:i/>
          <w:spacing w:val="-10"/>
          <w:w w:val="105"/>
          <w:sz w:val="27"/>
        </w:rPr>
        <w:t> </w:t>
      </w:r>
      <w:r>
        <w:rPr>
          <w:i/>
          <w:w w:val="105"/>
          <w:sz w:val="27"/>
        </w:rPr>
        <w:t>интервалом</w:t>
      </w:r>
      <w:r>
        <w:rPr>
          <w:i/>
          <w:spacing w:val="-10"/>
          <w:w w:val="105"/>
          <w:sz w:val="27"/>
        </w:rPr>
        <w:t> </w:t>
      </w:r>
      <w:r>
        <w:rPr>
          <w:i/>
          <w:w w:val="105"/>
          <w:sz w:val="27"/>
        </w:rPr>
        <w:t>в</w:t>
      </w:r>
      <w:r>
        <w:rPr>
          <w:i/>
          <w:spacing w:val="-10"/>
          <w:w w:val="105"/>
          <w:sz w:val="27"/>
        </w:rPr>
        <w:t> </w:t>
      </w:r>
      <w:r>
        <w:rPr>
          <w:i/>
          <w:w w:val="105"/>
          <w:sz w:val="27"/>
        </w:rPr>
        <w:t>1-2</w:t>
      </w:r>
      <w:r>
        <w:rPr>
          <w:i/>
          <w:spacing w:val="-10"/>
          <w:w w:val="105"/>
          <w:sz w:val="27"/>
        </w:rPr>
        <w:t> </w:t>
      </w:r>
      <w:r>
        <w:rPr>
          <w:i/>
          <w:w w:val="105"/>
          <w:sz w:val="27"/>
        </w:rPr>
        <w:t>мин</w:t>
      </w:r>
      <w:r>
        <w:rPr>
          <w:i/>
          <w:spacing w:val="-10"/>
          <w:w w:val="105"/>
          <w:sz w:val="27"/>
        </w:rPr>
        <w:t> </w:t>
      </w:r>
      <w:r>
        <w:rPr>
          <w:i/>
          <w:w w:val="105"/>
          <w:sz w:val="27"/>
        </w:rPr>
        <w:t>и</w:t>
      </w:r>
      <w:r>
        <w:rPr>
          <w:i/>
          <w:spacing w:val="-10"/>
          <w:w w:val="105"/>
          <w:sz w:val="27"/>
        </w:rPr>
        <w:t> </w:t>
      </w:r>
      <w:r>
        <w:rPr>
          <w:i/>
          <w:w w:val="105"/>
          <w:sz w:val="27"/>
        </w:rPr>
        <w:t>еще</w:t>
      </w:r>
      <w:r>
        <w:rPr>
          <w:i/>
          <w:spacing w:val="-10"/>
          <w:w w:val="105"/>
          <w:sz w:val="27"/>
        </w:rPr>
        <w:t> </w:t>
      </w:r>
      <w:r>
        <w:rPr>
          <w:i/>
          <w:w w:val="105"/>
          <w:sz w:val="27"/>
        </w:rPr>
        <w:t>одно</w:t>
      </w:r>
      <w:r>
        <w:rPr>
          <w:i/>
          <w:spacing w:val="-10"/>
          <w:w w:val="105"/>
          <w:sz w:val="27"/>
        </w:rPr>
        <w:t> </w:t>
      </w:r>
      <w:r>
        <w:rPr>
          <w:i/>
          <w:w w:val="105"/>
          <w:sz w:val="27"/>
        </w:rPr>
        <w:t>дополнительное измерение</w:t>
      </w:r>
      <w:r>
        <w:rPr>
          <w:i/>
          <w:spacing w:val="-9"/>
          <w:w w:val="105"/>
          <w:sz w:val="27"/>
        </w:rPr>
        <w:t> </w:t>
      </w:r>
      <w:r>
        <w:rPr>
          <w:i/>
          <w:w w:val="105"/>
          <w:sz w:val="27"/>
        </w:rPr>
        <w:t>при</w:t>
      </w:r>
      <w:r>
        <w:rPr>
          <w:i/>
          <w:spacing w:val="-9"/>
          <w:w w:val="105"/>
          <w:sz w:val="27"/>
        </w:rPr>
        <w:t> </w:t>
      </w:r>
      <w:r>
        <w:rPr>
          <w:i/>
          <w:w w:val="105"/>
          <w:sz w:val="27"/>
        </w:rPr>
        <w:t>разнице</w:t>
      </w:r>
      <w:r>
        <w:rPr>
          <w:i/>
          <w:spacing w:val="-9"/>
          <w:w w:val="105"/>
          <w:sz w:val="27"/>
        </w:rPr>
        <w:t> </w:t>
      </w:r>
      <w:r>
        <w:rPr>
          <w:i/>
          <w:w w:val="105"/>
          <w:sz w:val="27"/>
        </w:rPr>
        <w:t>между</w:t>
      </w:r>
      <w:r>
        <w:rPr>
          <w:i/>
          <w:spacing w:val="-9"/>
          <w:w w:val="105"/>
          <w:sz w:val="27"/>
        </w:rPr>
        <w:t> </w:t>
      </w:r>
      <w:r>
        <w:rPr>
          <w:i/>
          <w:w w:val="105"/>
          <w:sz w:val="27"/>
        </w:rPr>
        <w:t>первыми</w:t>
      </w:r>
      <w:r>
        <w:rPr>
          <w:i/>
          <w:spacing w:val="-9"/>
          <w:w w:val="105"/>
          <w:sz w:val="27"/>
        </w:rPr>
        <w:t> </w:t>
      </w:r>
      <w:r>
        <w:rPr>
          <w:i/>
          <w:w w:val="105"/>
          <w:sz w:val="27"/>
        </w:rPr>
        <w:t>двумя</w:t>
      </w:r>
      <w:r>
        <w:rPr>
          <w:i/>
          <w:spacing w:val="-9"/>
          <w:w w:val="105"/>
          <w:sz w:val="27"/>
        </w:rPr>
        <w:t> </w:t>
      </w:r>
      <w:r>
        <w:rPr>
          <w:i/>
          <w:w w:val="105"/>
          <w:sz w:val="27"/>
        </w:rPr>
        <w:t>более</w:t>
      </w:r>
      <w:r>
        <w:rPr>
          <w:i/>
          <w:spacing w:val="-8"/>
          <w:w w:val="105"/>
          <w:sz w:val="27"/>
        </w:rPr>
        <w:t> </w:t>
      </w:r>
      <w:r>
        <w:rPr>
          <w:i/>
          <w:w w:val="105"/>
          <w:sz w:val="27"/>
        </w:rPr>
        <w:t>10</w:t>
      </w:r>
      <w:r>
        <w:rPr>
          <w:i/>
          <w:spacing w:val="-9"/>
          <w:w w:val="105"/>
          <w:sz w:val="27"/>
        </w:rPr>
        <w:t> </w:t>
      </w:r>
      <w:r>
        <w:rPr>
          <w:i/>
          <w:w w:val="105"/>
          <w:sz w:val="27"/>
        </w:rPr>
        <w:t>мм</w:t>
      </w:r>
      <w:r>
        <w:rPr>
          <w:i/>
          <w:spacing w:val="-9"/>
          <w:w w:val="105"/>
          <w:sz w:val="27"/>
        </w:rPr>
        <w:t> </w:t>
      </w:r>
      <w:r>
        <w:rPr>
          <w:i/>
          <w:w w:val="105"/>
          <w:sz w:val="27"/>
        </w:rPr>
        <w:t>рт.</w:t>
      </w:r>
      <w:r>
        <w:rPr>
          <w:i/>
          <w:spacing w:val="-9"/>
          <w:w w:val="105"/>
          <w:sz w:val="27"/>
        </w:rPr>
        <w:t> </w:t>
      </w:r>
      <w:r>
        <w:rPr>
          <w:i/>
          <w:w w:val="105"/>
          <w:sz w:val="27"/>
        </w:rPr>
        <w:t>ст. Уровень</w:t>
      </w:r>
      <w:r>
        <w:rPr>
          <w:i/>
          <w:spacing w:val="-9"/>
          <w:w w:val="105"/>
          <w:sz w:val="27"/>
        </w:rPr>
        <w:t> </w:t>
      </w:r>
      <w:r>
        <w:rPr>
          <w:i/>
          <w:w w:val="105"/>
          <w:sz w:val="27"/>
        </w:rPr>
        <w:t>АД</w:t>
      </w:r>
      <w:r>
        <w:rPr>
          <w:i/>
          <w:spacing w:val="-8"/>
          <w:w w:val="105"/>
          <w:sz w:val="27"/>
        </w:rPr>
        <w:t> </w:t>
      </w:r>
      <w:r>
        <w:rPr>
          <w:i/>
          <w:w w:val="105"/>
          <w:sz w:val="27"/>
        </w:rPr>
        <w:t>—</w:t>
      </w:r>
      <w:r>
        <w:rPr>
          <w:i/>
          <w:spacing w:val="-8"/>
          <w:w w:val="105"/>
          <w:sz w:val="27"/>
        </w:rPr>
        <w:t> </w:t>
      </w:r>
      <w:r>
        <w:rPr>
          <w:i/>
          <w:w w:val="105"/>
          <w:sz w:val="27"/>
        </w:rPr>
        <w:t>это</w:t>
      </w:r>
      <w:r>
        <w:rPr>
          <w:i/>
          <w:spacing w:val="-8"/>
          <w:w w:val="105"/>
          <w:sz w:val="27"/>
        </w:rPr>
        <w:t> </w:t>
      </w:r>
      <w:r>
        <w:rPr>
          <w:i/>
          <w:w w:val="105"/>
          <w:sz w:val="27"/>
        </w:rPr>
        <w:t>среднее</w:t>
      </w:r>
      <w:r>
        <w:rPr>
          <w:i/>
          <w:spacing w:val="-8"/>
          <w:w w:val="105"/>
          <w:sz w:val="27"/>
        </w:rPr>
        <w:t> </w:t>
      </w:r>
      <w:r>
        <w:rPr>
          <w:i/>
          <w:w w:val="105"/>
          <w:sz w:val="27"/>
        </w:rPr>
        <w:t>из</w:t>
      </w:r>
      <w:r>
        <w:rPr>
          <w:i/>
          <w:spacing w:val="-8"/>
          <w:w w:val="105"/>
          <w:sz w:val="27"/>
        </w:rPr>
        <w:t> </w:t>
      </w:r>
      <w:r>
        <w:rPr>
          <w:i/>
          <w:w w:val="105"/>
          <w:sz w:val="27"/>
        </w:rPr>
        <w:t>последних</w:t>
      </w:r>
      <w:r>
        <w:rPr>
          <w:i/>
          <w:spacing w:val="-8"/>
          <w:w w:val="105"/>
          <w:sz w:val="27"/>
        </w:rPr>
        <w:t> </w:t>
      </w:r>
      <w:r>
        <w:rPr>
          <w:i/>
          <w:w w:val="105"/>
          <w:sz w:val="27"/>
        </w:rPr>
        <w:t>двух</w:t>
      </w:r>
      <w:r>
        <w:rPr>
          <w:i/>
          <w:spacing w:val="-8"/>
          <w:w w:val="105"/>
          <w:sz w:val="27"/>
        </w:rPr>
        <w:t> </w:t>
      </w:r>
      <w:r>
        <w:rPr>
          <w:i/>
          <w:w w:val="105"/>
          <w:sz w:val="27"/>
        </w:rPr>
        <w:t>измерений.</w:t>
      </w:r>
    </w:p>
    <w:p>
      <w:pPr>
        <w:pStyle w:val="BodyText"/>
        <w:spacing w:line="256" w:lineRule="auto" w:before="272"/>
        <w:ind w:left="695" w:right="129"/>
      </w:pPr>
      <w:r>
        <w:rPr/>
        <w:pict>
          <v:shape style="position:absolute;margin-left:91.538452pt;margin-top:21.019472pt;width:4.55pt;height:4.5pt;mso-position-horizontal-relative:page;mso-position-vertical-relative:paragraph;z-index:15761920"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Проведение методов измерения АД вне медицинского учреждения (СМАД и ДМАД) рекомендуется в отдельных клинических ситуациях: при выявлении гипертонии белого халата и маскированной АГ с целью оценки эффективности лечения и выявлении возможных побочных эффектов [21, 32, 38].</w:t>
      </w:r>
    </w:p>
    <w:p>
      <w:pPr>
        <w:pStyle w:val="Heading3"/>
        <w:spacing w:before="273"/>
        <w:jc w:val="both"/>
      </w:pPr>
      <w:r>
        <w:rPr>
          <w:w w:val="105"/>
        </w:rPr>
        <w:t>ЕОК/ЕОАГ IA (УУР C, УДД 5)</w:t>
      </w:r>
    </w:p>
    <w:p>
      <w:pPr>
        <w:pStyle w:val="BodyText"/>
        <w:spacing w:line="256" w:lineRule="auto" w:before="296"/>
        <w:ind w:left="695" w:right="131"/>
      </w:pPr>
      <w:r>
        <w:rPr/>
        <w:pict>
          <v:shape style="position:absolute;margin-left:91.538452pt;margin-top:22.219501pt;width:4.55pt;height:4.5pt;mso-position-horizontal-relative:page;mso-position-vertical-relative:paragraph;z-index:15762432"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Рекомендуется при установлении диагноза учитывать возможность вторичной (симптоматической) формы АГ и проводить диагностические мероприятия, направленные на ее исключение при наличии следующих признаков [39, 138, 220] (таблица П3, Приложение Г2):</w:t>
      </w:r>
    </w:p>
    <w:p>
      <w:pPr>
        <w:pStyle w:val="BodyText"/>
        <w:spacing w:line="256" w:lineRule="auto" w:before="2"/>
        <w:ind w:left="1011"/>
        <w:jc w:val="left"/>
      </w:pPr>
      <w:r>
        <w:rPr/>
        <w:drawing>
          <wp:anchor distT="0" distB="0" distL="0" distR="0" allowOverlap="1" layoutInCell="1" locked="0" behindDoc="0" simplePos="0" relativeHeight="15762944">
            <wp:simplePos x="0" y="0"/>
            <wp:positionH relativeFrom="page">
              <wp:posOffset>1357883</wp:posOffset>
            </wp:positionH>
            <wp:positionV relativeFrom="paragraph">
              <wp:posOffset>90733</wp:posOffset>
            </wp:positionV>
            <wp:extent cx="66703" cy="66703"/>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6703" cy="66703"/>
                    </a:xfrm>
                    <a:prstGeom prst="rect">
                      <a:avLst/>
                    </a:prstGeom>
                  </pic:spPr>
                </pic:pic>
              </a:graphicData>
            </a:graphic>
          </wp:anchor>
        </w:drawing>
      </w:r>
      <w:r>
        <w:rPr/>
        <w:t>АГ 2-й степени у пациентов моложе 40 лет или любое повышение АД у детей</w:t>
      </w:r>
    </w:p>
    <w:p>
      <w:pPr>
        <w:pStyle w:val="BodyText"/>
        <w:tabs>
          <w:tab w:pos="2614" w:val="left" w:leader="none"/>
          <w:tab w:pos="3714" w:val="left" w:leader="none"/>
          <w:tab w:pos="5130" w:val="left" w:leader="none"/>
          <w:tab w:pos="5708" w:val="left" w:leader="none"/>
          <w:tab w:pos="6101" w:val="left" w:leader="none"/>
          <w:tab w:pos="7717" w:val="left" w:leader="none"/>
          <w:tab w:pos="8099" w:val="left" w:leader="none"/>
        </w:tabs>
        <w:spacing w:line="256" w:lineRule="auto" w:before="0"/>
        <w:ind w:left="1011" w:right="131"/>
        <w:jc w:val="left"/>
      </w:pPr>
      <w:r>
        <w:rPr/>
        <w:drawing>
          <wp:anchor distT="0" distB="0" distL="0" distR="0" allowOverlap="1" layoutInCell="1" locked="0" behindDoc="0" simplePos="0" relativeHeight="15763456">
            <wp:simplePos x="0" y="0"/>
            <wp:positionH relativeFrom="page">
              <wp:posOffset>1357883</wp:posOffset>
            </wp:positionH>
            <wp:positionV relativeFrom="paragraph">
              <wp:posOffset>89463</wp:posOffset>
            </wp:positionV>
            <wp:extent cx="66703" cy="66703"/>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66703" cy="66703"/>
                    </a:xfrm>
                    <a:prstGeom prst="rect">
                      <a:avLst/>
                    </a:prstGeom>
                  </pic:spPr>
                </pic:pic>
              </a:graphicData>
            </a:graphic>
          </wp:anchor>
        </w:drawing>
      </w:r>
      <w:r>
        <w:rPr/>
        <w:t>Внезапное</w:t>
        <w:tab/>
        <w:t>острое</w:t>
        <w:tab/>
        <w:t>развитие</w:t>
        <w:tab/>
        <w:t>АГ</w:t>
        <w:tab/>
        <w:t>у</w:t>
        <w:tab/>
        <w:t>пациентов</w:t>
        <w:tab/>
        <w:t>с</w:t>
        <w:tab/>
      </w:r>
      <w:r>
        <w:rPr>
          <w:spacing w:val="-4"/>
        </w:rPr>
        <w:t>ранее </w:t>
      </w:r>
      <w:r>
        <w:rPr/>
        <w:t>документированной стойкой</w:t>
      </w:r>
      <w:r>
        <w:rPr>
          <w:spacing w:val="-3"/>
        </w:rPr>
        <w:t> </w:t>
      </w:r>
      <w:r>
        <w:rPr/>
        <w:t>нормотонией</w:t>
      </w:r>
    </w:p>
    <w:p>
      <w:pPr>
        <w:pStyle w:val="BodyText"/>
        <w:ind w:left="1011"/>
        <w:jc w:val="left"/>
      </w:pPr>
      <w:r>
        <w:rPr/>
        <w:drawing>
          <wp:anchor distT="0" distB="0" distL="0" distR="0" allowOverlap="1" layoutInCell="1" locked="0" behindDoc="0" simplePos="0" relativeHeight="15763968">
            <wp:simplePos x="0" y="0"/>
            <wp:positionH relativeFrom="page">
              <wp:posOffset>1357883</wp:posOffset>
            </wp:positionH>
            <wp:positionV relativeFrom="paragraph">
              <wp:posOffset>90098</wp:posOffset>
            </wp:positionV>
            <wp:extent cx="66703" cy="66703"/>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66703" cy="66703"/>
                    </a:xfrm>
                    <a:prstGeom prst="rect">
                      <a:avLst/>
                    </a:prstGeom>
                  </pic:spPr>
                </pic:pic>
              </a:graphicData>
            </a:graphic>
          </wp:anchor>
        </w:drawing>
      </w:r>
      <w:r>
        <w:rPr/>
        <w:t>Резистентная АГ</w:t>
      </w:r>
    </w:p>
    <w:p>
      <w:pPr>
        <w:pStyle w:val="BodyText"/>
        <w:spacing w:before="26"/>
        <w:ind w:left="1011"/>
        <w:jc w:val="left"/>
      </w:pPr>
      <w:r>
        <w:rPr/>
        <w:drawing>
          <wp:anchor distT="0" distB="0" distL="0" distR="0" allowOverlap="1" layoutInCell="1" locked="0" behindDoc="0" simplePos="0" relativeHeight="15764480">
            <wp:simplePos x="0" y="0"/>
            <wp:positionH relativeFrom="page">
              <wp:posOffset>1357883</wp:posOffset>
            </wp:positionH>
            <wp:positionV relativeFrom="paragraph">
              <wp:posOffset>105973</wp:posOffset>
            </wp:positionV>
            <wp:extent cx="66703" cy="66703"/>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66703" cy="66703"/>
                    </a:xfrm>
                    <a:prstGeom prst="rect">
                      <a:avLst/>
                    </a:prstGeom>
                  </pic:spPr>
                </pic:pic>
              </a:graphicData>
            </a:graphic>
          </wp:anchor>
        </w:drawing>
      </w:r>
      <w:r>
        <w:rPr/>
        <w:t>АГ 3-й степени или гипертонический криз</w:t>
      </w:r>
    </w:p>
    <w:p>
      <w:pPr>
        <w:pStyle w:val="BodyText"/>
        <w:spacing w:line="256" w:lineRule="auto" w:before="26"/>
        <w:ind w:left="1011" w:right="239"/>
        <w:jc w:val="left"/>
      </w:pPr>
      <w:r>
        <w:rPr/>
        <w:drawing>
          <wp:anchor distT="0" distB="0" distL="0" distR="0" allowOverlap="1" layoutInCell="1" locked="0" behindDoc="0" simplePos="0" relativeHeight="15764992">
            <wp:simplePos x="0" y="0"/>
            <wp:positionH relativeFrom="page">
              <wp:posOffset>1357883</wp:posOffset>
            </wp:positionH>
            <wp:positionV relativeFrom="paragraph">
              <wp:posOffset>105973</wp:posOffset>
            </wp:positionV>
            <wp:extent cx="66703" cy="66703"/>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65504">
            <wp:simplePos x="0" y="0"/>
            <wp:positionH relativeFrom="page">
              <wp:posOffset>1357883</wp:posOffset>
            </wp:positionH>
            <wp:positionV relativeFrom="paragraph">
              <wp:posOffset>353727</wp:posOffset>
            </wp:positionV>
            <wp:extent cx="66703" cy="66703"/>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66703" cy="66703"/>
                    </a:xfrm>
                    <a:prstGeom prst="rect">
                      <a:avLst/>
                    </a:prstGeom>
                  </pic:spPr>
                </pic:pic>
              </a:graphicData>
            </a:graphic>
          </wp:anchor>
        </w:drawing>
      </w:r>
      <w:r>
        <w:rPr/>
        <w:drawing>
          <wp:anchor distT="0" distB="0" distL="0" distR="0" allowOverlap="1" layoutInCell="1" locked="0" behindDoc="0" simplePos="0" relativeHeight="15766016">
            <wp:simplePos x="0" y="0"/>
            <wp:positionH relativeFrom="page">
              <wp:posOffset>1357883</wp:posOffset>
            </wp:positionH>
            <wp:positionV relativeFrom="paragraph">
              <wp:posOffset>849235</wp:posOffset>
            </wp:positionV>
            <wp:extent cx="66703" cy="66703"/>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66703" cy="66703"/>
                    </a:xfrm>
                    <a:prstGeom prst="rect">
                      <a:avLst/>
                    </a:prstGeom>
                  </pic:spPr>
                </pic:pic>
              </a:graphicData>
            </a:graphic>
          </wp:anchor>
        </w:drawing>
      </w:r>
      <w:r>
        <w:rPr/>
        <w:t>Признаки значительных изменений в органах-мишенях Клинические или лабораторные признаки, позволяющие подозревать эндокринные причины АГ или ХБП Клинические симптомы СОАС</w:t>
      </w:r>
    </w:p>
    <w:p>
      <w:pPr>
        <w:pStyle w:val="BodyText"/>
        <w:tabs>
          <w:tab w:pos="2708" w:val="left" w:leader="none"/>
          <w:tab w:pos="4703" w:val="left" w:leader="none"/>
          <w:tab w:pos="6533" w:val="left" w:leader="none"/>
        </w:tabs>
        <w:spacing w:line="256" w:lineRule="auto" w:before="2"/>
        <w:ind w:left="1011" w:right="132"/>
        <w:jc w:val="left"/>
      </w:pPr>
      <w:r>
        <w:rPr/>
        <w:drawing>
          <wp:anchor distT="0" distB="0" distL="0" distR="0" allowOverlap="1" layoutInCell="1" locked="0" behindDoc="0" simplePos="0" relativeHeight="15766528">
            <wp:simplePos x="0" y="0"/>
            <wp:positionH relativeFrom="page">
              <wp:posOffset>1357883</wp:posOffset>
            </wp:positionH>
            <wp:positionV relativeFrom="paragraph">
              <wp:posOffset>90733</wp:posOffset>
            </wp:positionV>
            <wp:extent cx="66703" cy="66703"/>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66703" cy="66703"/>
                    </a:xfrm>
                    <a:prstGeom prst="rect">
                      <a:avLst/>
                    </a:prstGeom>
                  </pic:spPr>
                </pic:pic>
              </a:graphicData>
            </a:graphic>
          </wp:anchor>
        </w:drawing>
      </w:r>
      <w:r>
        <w:rPr/>
        <w:t>Симптомы,</w:t>
        <w:tab/>
        <w:t>позволяющие</w:t>
        <w:tab/>
        <w:t>заподозрить</w:t>
        <w:tab/>
      </w:r>
      <w:r>
        <w:rPr>
          <w:spacing w:val="-3"/>
        </w:rPr>
        <w:t>феохромоцитому, </w:t>
      </w:r>
      <w:r>
        <w:rPr/>
        <w:t>или семейный анамнез данной</w:t>
      </w:r>
      <w:r>
        <w:rPr>
          <w:spacing w:val="-7"/>
        </w:rPr>
        <w:t> </w:t>
      </w:r>
      <w:r>
        <w:rPr/>
        <w:t>опухоли</w:t>
      </w:r>
    </w:p>
    <w:p>
      <w:pPr>
        <w:pStyle w:val="Heading3"/>
        <w:jc w:val="both"/>
      </w:pPr>
      <w:r>
        <w:rPr>
          <w:w w:val="105"/>
        </w:rPr>
        <w:t>ЕОК/ЕОАГ нет (УУР A, УДД 1)</w:t>
      </w:r>
    </w:p>
    <w:p>
      <w:pPr>
        <w:spacing w:after="0"/>
        <w:jc w:val="both"/>
        <w:sectPr>
          <w:pgSz w:w="11900" w:h="16840"/>
          <w:pgMar w:top="0" w:bottom="0" w:left="1420" w:right="1520"/>
        </w:sectPr>
      </w:pPr>
    </w:p>
    <w:p>
      <w:pPr>
        <w:spacing w:line="256" w:lineRule="auto" w:before="16"/>
        <w:ind w:left="695" w:right="131" w:firstLine="0"/>
        <w:jc w:val="both"/>
        <w:rPr>
          <w:i/>
          <w:sz w:val="27"/>
        </w:rPr>
      </w:pPr>
      <w:r>
        <w:rPr>
          <w:b/>
          <w:sz w:val="27"/>
        </w:rPr>
        <w:t>Комментарии. </w:t>
      </w:r>
      <w:r>
        <w:rPr>
          <w:i/>
          <w:sz w:val="27"/>
        </w:rPr>
        <w:t>Вторичные АГ выявляются у 5–10% пациентов с </w:t>
      </w:r>
      <w:r>
        <w:rPr>
          <w:i/>
          <w:sz w:val="27"/>
        </w:rPr>
        <w:t>АГ [39]. Для диагностики вторичных форм АГ важно детальное обследование пациента, начиная с рутинных методов: опроса, осмотра, лабораторной диагностики, до выполнения сложных инструментальных методов (Таблица П3, Приложение Г2).</w:t>
      </w:r>
    </w:p>
    <w:p>
      <w:pPr>
        <w:pStyle w:val="BodyText"/>
        <w:spacing w:before="0"/>
        <w:ind w:left="0"/>
        <w:jc w:val="left"/>
        <w:rPr>
          <w:i/>
          <w:sz w:val="50"/>
        </w:rPr>
      </w:pPr>
    </w:p>
    <w:p>
      <w:pPr>
        <w:pStyle w:val="Heading2"/>
        <w:numPr>
          <w:ilvl w:val="1"/>
          <w:numId w:val="4"/>
        </w:numPr>
        <w:tabs>
          <w:tab w:pos="951" w:val="left" w:leader="none"/>
        </w:tabs>
        <w:spacing w:line="240" w:lineRule="auto" w:before="0" w:after="0"/>
        <w:ind w:left="950" w:right="0" w:hanging="571"/>
        <w:jc w:val="left"/>
      </w:pPr>
      <w:r>
        <w:rPr/>
        <w:t>Принципы формулировки диагноза при</w:t>
      </w:r>
      <w:r>
        <w:rPr>
          <w:spacing w:val="5"/>
        </w:rPr>
        <w:t> </w:t>
      </w:r>
      <w:r>
        <w:rPr/>
        <w:t>АГ</w:t>
      </w:r>
    </w:p>
    <w:p>
      <w:pPr>
        <w:pStyle w:val="BodyText"/>
        <w:spacing w:before="6"/>
        <w:ind w:left="0"/>
        <w:jc w:val="left"/>
        <w:rPr>
          <w:b/>
          <w:sz w:val="23"/>
        </w:rPr>
      </w:pPr>
    </w:p>
    <w:p>
      <w:pPr>
        <w:spacing w:line="256" w:lineRule="auto" w:before="97"/>
        <w:ind w:left="695" w:right="140" w:firstLine="0"/>
        <w:jc w:val="both"/>
        <w:rPr>
          <w:i/>
          <w:sz w:val="27"/>
        </w:rPr>
      </w:pPr>
      <w:r>
        <w:rPr/>
        <w:pict>
          <v:shape style="position:absolute;margin-left:91.538452pt;margin-top:12.269487pt;width:4.55pt;height:4.5pt;mso-position-horizontal-relative:page;mso-position-vertical-relative:paragraph;z-index:15767040" coordorigin="1831,245" coordsize="91,90" path="m1888,335l1863,335,1853,331,1835,313,1831,303,1831,278,1835,267,1853,250,1863,245,1888,245,1899,250,1916,267,1921,278,1921,290,1921,303,1916,313,1899,331,1888,335xe" filled="true" fillcolor="#000000" stroked="false">
            <v:path arrowok="t"/>
            <v:fill type="solid"/>
            <w10:wrap type="none"/>
          </v:shape>
        </w:pict>
      </w:r>
      <w:r>
        <w:rPr>
          <w:i/>
          <w:w w:val="105"/>
          <w:sz w:val="27"/>
        </w:rPr>
        <w:t>Необходимо указать стадию гипертонической болезни (Таблица </w:t>
      </w:r>
      <w:r>
        <w:rPr>
          <w:i/>
          <w:w w:val="105"/>
          <w:sz w:val="27"/>
        </w:rPr>
        <w:t>П1, Приложение Г3).</w:t>
      </w:r>
    </w:p>
    <w:p>
      <w:pPr>
        <w:spacing w:line="256" w:lineRule="auto" w:before="1"/>
        <w:ind w:left="695" w:right="131" w:firstLine="0"/>
        <w:jc w:val="both"/>
        <w:rPr>
          <w:i/>
          <w:sz w:val="27"/>
        </w:rPr>
      </w:pPr>
      <w:r>
        <w:rPr/>
        <w:pict>
          <v:shape style="position:absolute;margin-left:91.538452pt;margin-top:7.469523pt;width:4.55pt;height:4.55pt;mso-position-horizontal-relative:page;mso-position-vertical-relative:paragraph;z-index:15767552"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i/>
          <w:w w:val="105"/>
          <w:sz w:val="27"/>
        </w:rPr>
        <w:t>Степень повышения АД (степень АГ (Таблица 2, Приложение</w:t>
      </w:r>
      <w:r>
        <w:rPr>
          <w:i/>
          <w:spacing w:val="-20"/>
          <w:w w:val="105"/>
          <w:sz w:val="27"/>
        </w:rPr>
        <w:t> </w:t>
      </w:r>
      <w:r>
        <w:rPr>
          <w:i/>
          <w:spacing w:val="-4"/>
          <w:w w:val="105"/>
          <w:sz w:val="27"/>
        </w:rPr>
        <w:t>Г1) </w:t>
      </w:r>
      <w:r>
        <w:rPr>
          <w:i/>
          <w:w w:val="105"/>
          <w:sz w:val="27"/>
        </w:rPr>
        <w:t>обязательно указывается у пациентов с впервые диагностированной АГ. Если пациент принимает антигипертензивную терапию, то в диагнозе указывается наличие</w:t>
      </w:r>
      <w:r>
        <w:rPr>
          <w:i/>
          <w:spacing w:val="-30"/>
          <w:w w:val="105"/>
          <w:sz w:val="27"/>
        </w:rPr>
        <w:t> </w:t>
      </w:r>
      <w:r>
        <w:rPr>
          <w:i/>
          <w:w w:val="105"/>
          <w:sz w:val="27"/>
        </w:rPr>
        <w:t>контроля</w:t>
      </w:r>
      <w:r>
        <w:rPr>
          <w:i/>
          <w:spacing w:val="-29"/>
          <w:w w:val="105"/>
          <w:sz w:val="27"/>
        </w:rPr>
        <w:t> </w:t>
      </w:r>
      <w:r>
        <w:rPr>
          <w:i/>
          <w:w w:val="105"/>
          <w:sz w:val="27"/>
        </w:rPr>
        <w:t>АД</w:t>
      </w:r>
      <w:r>
        <w:rPr>
          <w:i/>
          <w:spacing w:val="-29"/>
          <w:w w:val="105"/>
          <w:sz w:val="27"/>
        </w:rPr>
        <w:t> </w:t>
      </w:r>
      <w:r>
        <w:rPr>
          <w:i/>
          <w:w w:val="105"/>
          <w:sz w:val="27"/>
        </w:rPr>
        <w:t>(контролируемая/неконтролируемая</w:t>
      </w:r>
      <w:r>
        <w:rPr>
          <w:i/>
          <w:spacing w:val="-29"/>
          <w:w w:val="105"/>
          <w:sz w:val="27"/>
        </w:rPr>
        <w:t> </w:t>
      </w:r>
      <w:r>
        <w:rPr>
          <w:i/>
          <w:w w:val="105"/>
          <w:sz w:val="27"/>
        </w:rPr>
        <w:t>АГ).</w:t>
      </w:r>
    </w:p>
    <w:p>
      <w:pPr>
        <w:spacing w:line="256" w:lineRule="auto" w:before="2"/>
        <w:ind w:left="695" w:right="128" w:firstLine="0"/>
        <w:jc w:val="both"/>
        <w:rPr>
          <w:i/>
          <w:sz w:val="27"/>
        </w:rPr>
      </w:pPr>
      <w:r>
        <w:rPr/>
        <w:pict>
          <v:shape style="position:absolute;margin-left:91.538452pt;margin-top:7.51949pt;width:4.55pt;height:4.5pt;mso-position-horizontal-relative:page;mso-position-vertical-relative:paragraph;z-index:15768064" coordorigin="1831,150" coordsize="91,90" path="m1888,240l1863,240,1853,236,1835,218,1831,208,1831,183,1835,172,1853,155,1863,150,1888,150,1899,155,1916,172,1921,183,1921,195,1921,208,1916,218,1899,236,1888,240xe" filled="true" fillcolor="#000000" stroked="false">
            <v:path arrowok="t"/>
            <v:fill type="solid"/>
            <w10:wrap type="none"/>
          </v:shape>
        </w:pict>
      </w:r>
      <w:r>
        <w:rPr>
          <w:i/>
          <w:w w:val="105"/>
          <w:sz w:val="27"/>
        </w:rPr>
        <w:t>При формулировании диагноза максимально полно должны быть </w:t>
      </w:r>
      <w:r>
        <w:rPr>
          <w:i/>
          <w:w w:val="105"/>
          <w:sz w:val="27"/>
        </w:rPr>
        <w:t>отражены</w:t>
      </w:r>
      <w:r>
        <w:rPr>
          <w:i/>
          <w:spacing w:val="-30"/>
          <w:w w:val="105"/>
          <w:sz w:val="27"/>
        </w:rPr>
        <w:t> </w:t>
      </w:r>
      <w:r>
        <w:rPr>
          <w:i/>
          <w:w w:val="105"/>
          <w:sz w:val="27"/>
        </w:rPr>
        <w:t>ФР,</w:t>
      </w:r>
      <w:r>
        <w:rPr>
          <w:i/>
          <w:spacing w:val="-29"/>
          <w:w w:val="105"/>
          <w:sz w:val="27"/>
        </w:rPr>
        <w:t> </w:t>
      </w:r>
      <w:r>
        <w:rPr>
          <w:i/>
          <w:w w:val="105"/>
          <w:sz w:val="27"/>
        </w:rPr>
        <w:t>ПОМ,</w:t>
      </w:r>
      <w:r>
        <w:rPr>
          <w:i/>
          <w:spacing w:val="-29"/>
          <w:w w:val="105"/>
          <w:sz w:val="27"/>
        </w:rPr>
        <w:t> </w:t>
      </w:r>
      <w:r>
        <w:rPr>
          <w:i/>
          <w:w w:val="105"/>
          <w:sz w:val="27"/>
        </w:rPr>
        <w:t>ССЗ,</w:t>
      </w:r>
      <w:r>
        <w:rPr>
          <w:i/>
          <w:spacing w:val="-30"/>
          <w:w w:val="105"/>
          <w:sz w:val="27"/>
        </w:rPr>
        <w:t> </w:t>
      </w:r>
      <w:r>
        <w:rPr>
          <w:i/>
          <w:w w:val="105"/>
          <w:sz w:val="27"/>
        </w:rPr>
        <w:t>ХБП</w:t>
      </w:r>
      <w:r>
        <w:rPr>
          <w:i/>
          <w:spacing w:val="-29"/>
          <w:w w:val="105"/>
          <w:sz w:val="27"/>
        </w:rPr>
        <w:t> </w:t>
      </w:r>
      <w:r>
        <w:rPr>
          <w:i/>
          <w:w w:val="105"/>
          <w:sz w:val="27"/>
        </w:rPr>
        <w:t>и</w:t>
      </w:r>
      <w:r>
        <w:rPr>
          <w:i/>
          <w:spacing w:val="-29"/>
          <w:w w:val="105"/>
          <w:sz w:val="27"/>
        </w:rPr>
        <w:t> </w:t>
      </w:r>
      <w:r>
        <w:rPr>
          <w:i/>
          <w:w w:val="105"/>
          <w:sz w:val="27"/>
        </w:rPr>
        <w:t>категория</w:t>
      </w:r>
      <w:r>
        <w:rPr>
          <w:i/>
          <w:spacing w:val="-30"/>
          <w:w w:val="105"/>
          <w:sz w:val="27"/>
        </w:rPr>
        <w:t> </w:t>
      </w:r>
      <w:r>
        <w:rPr>
          <w:i/>
          <w:w w:val="105"/>
          <w:sz w:val="27"/>
        </w:rPr>
        <w:t>сердечно-сосудистого риска (таблицы П1 и П2, Приложение</w:t>
      </w:r>
      <w:r>
        <w:rPr>
          <w:i/>
          <w:spacing w:val="-51"/>
          <w:w w:val="105"/>
          <w:sz w:val="27"/>
        </w:rPr>
        <w:t> </w:t>
      </w:r>
      <w:r>
        <w:rPr>
          <w:i/>
          <w:w w:val="105"/>
          <w:sz w:val="27"/>
        </w:rPr>
        <w:t>Г3).</w:t>
      </w:r>
    </w:p>
    <w:p>
      <w:pPr>
        <w:spacing w:before="1"/>
        <w:ind w:left="695" w:right="0" w:firstLine="0"/>
        <w:jc w:val="both"/>
        <w:rPr>
          <w:i/>
          <w:sz w:val="27"/>
        </w:rPr>
      </w:pPr>
      <w:r>
        <w:rPr/>
        <w:pict>
          <v:shape style="position:absolute;margin-left:91.538452pt;margin-top:7.469512pt;width:4.55pt;height:4.55pt;mso-position-horizontal-relative:page;mso-position-vertical-relative:paragraph;z-index:15768576"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i/>
          <w:w w:val="105"/>
          <w:sz w:val="27"/>
        </w:rPr>
        <w:t>Указание целевого уровня АД для данного пациента</w:t>
      </w:r>
    </w:p>
    <w:p>
      <w:pPr>
        <w:pStyle w:val="Heading4"/>
        <w:spacing w:before="296"/>
        <w:rPr>
          <w:i/>
        </w:rPr>
      </w:pPr>
      <w:r>
        <w:rPr>
          <w:i/>
          <w:w w:val="105"/>
        </w:rPr>
        <w:t>Примеры формулировки диагноза:</w:t>
      </w:r>
    </w:p>
    <w:p>
      <w:pPr>
        <w:pStyle w:val="ListParagraph"/>
        <w:numPr>
          <w:ilvl w:val="2"/>
          <w:numId w:val="4"/>
        </w:numPr>
        <w:tabs>
          <w:tab w:pos="1008" w:val="left" w:leader="none"/>
        </w:tabs>
        <w:spacing w:line="256" w:lineRule="auto" w:before="296" w:after="0"/>
        <w:ind w:left="695" w:right="141" w:firstLine="0"/>
        <w:jc w:val="both"/>
        <w:rPr>
          <w:i/>
          <w:sz w:val="27"/>
        </w:rPr>
      </w:pPr>
      <w:r>
        <w:rPr>
          <w:i/>
          <w:sz w:val="27"/>
        </w:rPr>
        <w:t>ГБ I стадии. Степень АГ 1. Гиперлипидемия. Риск 2 (средний). </w:t>
      </w:r>
      <w:r>
        <w:rPr>
          <w:i/>
          <w:sz w:val="27"/>
        </w:rPr>
        <w:t>Целевое АД &lt;130/&lt;80 мм рт. ст.</w:t>
      </w:r>
    </w:p>
    <w:p>
      <w:pPr>
        <w:pStyle w:val="ListParagraph"/>
        <w:numPr>
          <w:ilvl w:val="2"/>
          <w:numId w:val="4"/>
        </w:numPr>
        <w:tabs>
          <w:tab w:pos="1060" w:val="left" w:leader="none"/>
        </w:tabs>
        <w:spacing w:line="256" w:lineRule="auto" w:before="271" w:after="0"/>
        <w:ind w:left="695" w:right="133" w:firstLine="0"/>
        <w:jc w:val="both"/>
        <w:rPr>
          <w:i/>
          <w:sz w:val="27"/>
        </w:rPr>
      </w:pPr>
      <w:r>
        <w:rPr>
          <w:i/>
          <w:w w:val="105"/>
          <w:sz w:val="27"/>
        </w:rPr>
        <w:t>ГБ II стадии. Неконтролируемая АГ. Нарушенная гликемия </w:t>
      </w:r>
      <w:r>
        <w:rPr>
          <w:i/>
          <w:w w:val="105"/>
          <w:sz w:val="27"/>
        </w:rPr>
        <w:t>натощак.</w:t>
      </w:r>
      <w:r>
        <w:rPr>
          <w:i/>
          <w:spacing w:val="39"/>
          <w:w w:val="105"/>
          <w:sz w:val="27"/>
        </w:rPr>
        <w:t> </w:t>
      </w:r>
      <w:r>
        <w:rPr>
          <w:i/>
          <w:w w:val="105"/>
          <w:sz w:val="27"/>
        </w:rPr>
        <w:t>Гиперлипидемия.</w:t>
      </w:r>
      <w:r>
        <w:rPr>
          <w:i/>
          <w:spacing w:val="40"/>
          <w:w w:val="105"/>
          <w:sz w:val="27"/>
        </w:rPr>
        <w:t> </w:t>
      </w:r>
      <w:r>
        <w:rPr>
          <w:i/>
          <w:spacing w:val="-3"/>
          <w:w w:val="105"/>
          <w:sz w:val="27"/>
        </w:rPr>
        <w:t>ГЛЖ.</w:t>
      </w:r>
      <w:r>
        <w:rPr>
          <w:i/>
          <w:spacing w:val="40"/>
          <w:w w:val="105"/>
          <w:sz w:val="27"/>
        </w:rPr>
        <w:t> </w:t>
      </w:r>
      <w:r>
        <w:rPr>
          <w:i/>
          <w:w w:val="105"/>
          <w:sz w:val="27"/>
        </w:rPr>
        <w:t>Риск</w:t>
      </w:r>
      <w:r>
        <w:rPr>
          <w:i/>
          <w:spacing w:val="40"/>
          <w:w w:val="105"/>
          <w:sz w:val="27"/>
        </w:rPr>
        <w:t> </w:t>
      </w:r>
      <w:r>
        <w:rPr>
          <w:i/>
          <w:w w:val="105"/>
          <w:sz w:val="27"/>
        </w:rPr>
        <w:t>3</w:t>
      </w:r>
      <w:r>
        <w:rPr>
          <w:i/>
          <w:spacing w:val="40"/>
          <w:w w:val="105"/>
          <w:sz w:val="27"/>
        </w:rPr>
        <w:t> </w:t>
      </w:r>
      <w:r>
        <w:rPr>
          <w:i/>
          <w:w w:val="105"/>
          <w:sz w:val="27"/>
        </w:rPr>
        <w:t>(высокий)</w:t>
      </w:r>
      <w:r>
        <w:rPr>
          <w:i/>
          <w:spacing w:val="40"/>
          <w:w w:val="105"/>
          <w:sz w:val="27"/>
        </w:rPr>
        <w:t> </w:t>
      </w:r>
      <w:r>
        <w:rPr>
          <w:i/>
          <w:w w:val="105"/>
          <w:sz w:val="27"/>
        </w:rPr>
        <w:t>Целевое</w:t>
      </w:r>
      <w:r>
        <w:rPr>
          <w:i/>
          <w:spacing w:val="40"/>
          <w:w w:val="105"/>
          <w:sz w:val="27"/>
        </w:rPr>
        <w:t> </w:t>
      </w:r>
      <w:r>
        <w:rPr>
          <w:i/>
          <w:w w:val="105"/>
          <w:sz w:val="27"/>
        </w:rPr>
        <w:t>АД</w:t>
      </w:r>
    </w:p>
    <w:p>
      <w:pPr>
        <w:spacing w:before="1"/>
        <w:ind w:left="695" w:right="0" w:firstLine="0"/>
        <w:jc w:val="both"/>
        <w:rPr>
          <w:i/>
          <w:sz w:val="27"/>
        </w:rPr>
      </w:pPr>
      <w:r>
        <w:rPr>
          <w:i/>
          <w:w w:val="105"/>
          <w:sz w:val="27"/>
        </w:rPr>
        <w:t>&lt;130/&lt;80 мм рт. ст.</w:t>
      </w:r>
    </w:p>
    <w:p>
      <w:pPr>
        <w:pStyle w:val="ListParagraph"/>
        <w:numPr>
          <w:ilvl w:val="2"/>
          <w:numId w:val="4"/>
        </w:numPr>
        <w:tabs>
          <w:tab w:pos="1182" w:val="left" w:leader="none"/>
        </w:tabs>
        <w:spacing w:line="256" w:lineRule="auto" w:before="296" w:after="0"/>
        <w:ind w:left="695" w:right="132" w:firstLine="0"/>
        <w:jc w:val="both"/>
        <w:rPr>
          <w:i/>
          <w:sz w:val="27"/>
        </w:rPr>
      </w:pPr>
      <w:r>
        <w:rPr>
          <w:i/>
          <w:w w:val="105"/>
          <w:sz w:val="27"/>
        </w:rPr>
        <w:t>ГБ II стадии. Неконтролируемая АГ. Гиперлипидемия. </w:t>
      </w:r>
      <w:r>
        <w:rPr>
          <w:i/>
          <w:w w:val="105"/>
          <w:sz w:val="27"/>
        </w:rPr>
        <w:t>Ожирение II степени. Нарушение толерантности к глюкозе. </w:t>
      </w:r>
      <w:r>
        <w:rPr>
          <w:i/>
          <w:spacing w:val="-3"/>
          <w:w w:val="105"/>
          <w:sz w:val="27"/>
        </w:rPr>
        <w:t>ГЛЖ. </w:t>
      </w:r>
      <w:r>
        <w:rPr>
          <w:i/>
          <w:w w:val="105"/>
          <w:sz w:val="27"/>
        </w:rPr>
        <w:t>Альбуминурия высокой степени. Риск 4 (очень высокий). Целевое АД 130-139/&lt;80 мм рт.</w:t>
      </w:r>
      <w:r>
        <w:rPr>
          <w:i/>
          <w:spacing w:val="-28"/>
          <w:w w:val="105"/>
          <w:sz w:val="27"/>
        </w:rPr>
        <w:t> </w:t>
      </w:r>
      <w:r>
        <w:rPr>
          <w:i/>
          <w:w w:val="105"/>
          <w:sz w:val="27"/>
        </w:rPr>
        <w:t>ст.</w:t>
      </w:r>
    </w:p>
    <w:p>
      <w:pPr>
        <w:pStyle w:val="ListParagraph"/>
        <w:numPr>
          <w:ilvl w:val="2"/>
          <w:numId w:val="4"/>
        </w:numPr>
        <w:tabs>
          <w:tab w:pos="1109" w:val="left" w:leader="none"/>
        </w:tabs>
        <w:spacing w:line="256" w:lineRule="auto" w:before="272" w:after="0"/>
        <w:ind w:left="695" w:right="129" w:firstLine="0"/>
        <w:jc w:val="both"/>
        <w:rPr>
          <w:i/>
          <w:sz w:val="27"/>
        </w:rPr>
      </w:pPr>
      <w:r>
        <w:rPr>
          <w:i/>
          <w:w w:val="105"/>
          <w:sz w:val="27"/>
        </w:rPr>
        <w:t>ИБС. Стенокардия напряжения III ФК. Постинфарктный </w:t>
      </w:r>
      <w:r>
        <w:rPr>
          <w:i/>
          <w:w w:val="105"/>
          <w:sz w:val="27"/>
        </w:rPr>
        <w:t>кардиосклероз</w:t>
      </w:r>
      <w:r>
        <w:rPr>
          <w:i/>
          <w:spacing w:val="-16"/>
          <w:w w:val="105"/>
          <w:sz w:val="27"/>
        </w:rPr>
        <w:t> </w:t>
      </w:r>
      <w:r>
        <w:rPr>
          <w:i/>
          <w:w w:val="105"/>
          <w:sz w:val="27"/>
        </w:rPr>
        <w:t>(2010г).</w:t>
      </w:r>
      <w:r>
        <w:rPr>
          <w:i/>
          <w:spacing w:val="-16"/>
          <w:w w:val="105"/>
          <w:sz w:val="27"/>
        </w:rPr>
        <w:t> </w:t>
      </w:r>
      <w:r>
        <w:rPr>
          <w:i/>
          <w:w w:val="105"/>
          <w:sz w:val="27"/>
        </w:rPr>
        <w:t>ГБ</w:t>
      </w:r>
      <w:r>
        <w:rPr>
          <w:i/>
          <w:spacing w:val="-16"/>
          <w:w w:val="105"/>
          <w:sz w:val="27"/>
        </w:rPr>
        <w:t> </w:t>
      </w:r>
      <w:r>
        <w:rPr>
          <w:i/>
          <w:w w:val="105"/>
          <w:sz w:val="27"/>
        </w:rPr>
        <w:t>III</w:t>
      </w:r>
      <w:r>
        <w:rPr>
          <w:i/>
          <w:spacing w:val="-16"/>
          <w:w w:val="105"/>
          <w:sz w:val="27"/>
        </w:rPr>
        <w:t> </w:t>
      </w:r>
      <w:r>
        <w:rPr>
          <w:i/>
          <w:w w:val="105"/>
          <w:sz w:val="27"/>
        </w:rPr>
        <w:t>стадии.</w:t>
      </w:r>
      <w:r>
        <w:rPr>
          <w:i/>
          <w:spacing w:val="-16"/>
          <w:w w:val="105"/>
          <w:sz w:val="27"/>
        </w:rPr>
        <w:t> </w:t>
      </w:r>
      <w:r>
        <w:rPr>
          <w:i/>
          <w:w w:val="105"/>
          <w:sz w:val="27"/>
        </w:rPr>
        <w:t>Неконтролируемая</w:t>
      </w:r>
      <w:r>
        <w:rPr>
          <w:i/>
          <w:spacing w:val="-16"/>
          <w:w w:val="105"/>
          <w:sz w:val="27"/>
        </w:rPr>
        <w:t> </w:t>
      </w:r>
      <w:r>
        <w:rPr>
          <w:i/>
          <w:w w:val="105"/>
          <w:sz w:val="27"/>
        </w:rPr>
        <w:t>АГ.</w:t>
      </w:r>
      <w:r>
        <w:rPr>
          <w:i/>
          <w:spacing w:val="-15"/>
          <w:w w:val="105"/>
          <w:sz w:val="27"/>
        </w:rPr>
        <w:t> </w:t>
      </w:r>
      <w:r>
        <w:rPr>
          <w:i/>
          <w:w w:val="105"/>
          <w:sz w:val="27"/>
        </w:rPr>
        <w:t>Риск 4</w:t>
      </w:r>
      <w:r>
        <w:rPr>
          <w:i/>
          <w:spacing w:val="-8"/>
          <w:w w:val="105"/>
          <w:sz w:val="27"/>
        </w:rPr>
        <w:t> </w:t>
      </w:r>
      <w:r>
        <w:rPr>
          <w:i/>
          <w:w w:val="105"/>
          <w:sz w:val="27"/>
        </w:rPr>
        <w:t>(очень</w:t>
      </w:r>
      <w:r>
        <w:rPr>
          <w:i/>
          <w:spacing w:val="-7"/>
          <w:w w:val="105"/>
          <w:sz w:val="27"/>
        </w:rPr>
        <w:t> </w:t>
      </w:r>
      <w:r>
        <w:rPr>
          <w:i/>
          <w:w w:val="105"/>
          <w:sz w:val="27"/>
        </w:rPr>
        <w:t>высокий).</w:t>
      </w:r>
      <w:r>
        <w:rPr>
          <w:i/>
          <w:spacing w:val="-7"/>
          <w:w w:val="105"/>
          <w:sz w:val="27"/>
        </w:rPr>
        <w:t> </w:t>
      </w:r>
      <w:r>
        <w:rPr>
          <w:i/>
          <w:w w:val="105"/>
          <w:sz w:val="27"/>
        </w:rPr>
        <w:t>Целевое</w:t>
      </w:r>
      <w:r>
        <w:rPr>
          <w:i/>
          <w:spacing w:val="-7"/>
          <w:w w:val="105"/>
          <w:sz w:val="27"/>
        </w:rPr>
        <w:t> </w:t>
      </w:r>
      <w:r>
        <w:rPr>
          <w:i/>
          <w:w w:val="105"/>
          <w:sz w:val="27"/>
        </w:rPr>
        <w:t>АД</w:t>
      </w:r>
      <w:r>
        <w:rPr>
          <w:i/>
          <w:spacing w:val="-7"/>
          <w:w w:val="105"/>
          <w:sz w:val="27"/>
        </w:rPr>
        <w:t> </w:t>
      </w:r>
      <w:r>
        <w:rPr>
          <w:i/>
          <w:w w:val="105"/>
          <w:sz w:val="27"/>
        </w:rPr>
        <w:t>&lt;130/&lt;80</w:t>
      </w:r>
      <w:r>
        <w:rPr>
          <w:i/>
          <w:spacing w:val="-7"/>
          <w:w w:val="105"/>
          <w:sz w:val="27"/>
        </w:rPr>
        <w:t> </w:t>
      </w:r>
      <w:r>
        <w:rPr>
          <w:i/>
          <w:w w:val="105"/>
          <w:sz w:val="27"/>
        </w:rPr>
        <w:t>мм</w:t>
      </w:r>
      <w:r>
        <w:rPr>
          <w:i/>
          <w:spacing w:val="-7"/>
          <w:w w:val="105"/>
          <w:sz w:val="27"/>
        </w:rPr>
        <w:t> </w:t>
      </w:r>
      <w:r>
        <w:rPr>
          <w:i/>
          <w:w w:val="105"/>
          <w:sz w:val="27"/>
        </w:rPr>
        <w:t>рт.</w:t>
      </w:r>
      <w:r>
        <w:rPr>
          <w:i/>
          <w:spacing w:val="-7"/>
          <w:w w:val="105"/>
          <w:sz w:val="27"/>
        </w:rPr>
        <w:t> </w:t>
      </w:r>
      <w:r>
        <w:rPr>
          <w:i/>
          <w:w w:val="105"/>
          <w:sz w:val="27"/>
        </w:rPr>
        <w:t>ст.</w:t>
      </w:r>
    </w:p>
    <w:p>
      <w:pPr>
        <w:pStyle w:val="ListParagraph"/>
        <w:numPr>
          <w:ilvl w:val="2"/>
          <w:numId w:val="4"/>
        </w:numPr>
        <w:tabs>
          <w:tab w:pos="1089" w:val="left" w:leader="none"/>
        </w:tabs>
        <w:spacing w:line="256" w:lineRule="auto" w:before="271" w:after="0"/>
        <w:ind w:left="695" w:right="129" w:firstLine="0"/>
        <w:jc w:val="both"/>
        <w:rPr>
          <w:i/>
          <w:sz w:val="27"/>
        </w:rPr>
      </w:pPr>
      <w:r>
        <w:rPr>
          <w:i/>
          <w:w w:val="105"/>
          <w:sz w:val="27"/>
        </w:rPr>
        <w:t>ГБ III стадии. Контролируемая АГ. Ожирение I степени. </w:t>
      </w:r>
      <w:r>
        <w:rPr>
          <w:i/>
          <w:w w:val="105"/>
          <w:sz w:val="27"/>
        </w:rPr>
        <w:t>Сахарный диабет 2-го типа, целевой уровень гликированного гемоглобина </w:t>
      </w:r>
      <w:r>
        <w:rPr>
          <w:rFonts w:ascii="Times New Roman" w:hAnsi="Times New Roman"/>
          <w:i/>
          <w:spacing w:val="-5"/>
          <w:w w:val="105"/>
          <w:sz w:val="27"/>
        </w:rPr>
        <w:t>≤</w:t>
      </w:r>
      <w:r>
        <w:rPr>
          <w:i/>
          <w:spacing w:val="-5"/>
          <w:w w:val="105"/>
          <w:sz w:val="27"/>
        </w:rPr>
        <w:t>7,5%. </w:t>
      </w:r>
      <w:r>
        <w:rPr>
          <w:i/>
          <w:w w:val="105"/>
          <w:sz w:val="27"/>
        </w:rPr>
        <w:t>ХБП С4 стадии, альбуминурия А2. Риск 4 </w:t>
      </w:r>
      <w:r>
        <w:rPr>
          <w:i/>
          <w:w w:val="105"/>
          <w:sz w:val="27"/>
        </w:rPr>
        <w:t>(очень высокий). Целевое АД 130–139/&lt; мм рт.</w:t>
      </w:r>
      <w:r>
        <w:rPr>
          <w:i/>
          <w:spacing w:val="-45"/>
          <w:w w:val="105"/>
          <w:sz w:val="27"/>
        </w:rPr>
        <w:t> </w:t>
      </w:r>
      <w:r>
        <w:rPr>
          <w:i/>
          <w:w w:val="105"/>
          <w:sz w:val="27"/>
        </w:rPr>
        <w:t>ст.</w:t>
      </w:r>
    </w:p>
    <w:p>
      <w:pPr>
        <w:spacing w:after="0" w:line="256" w:lineRule="auto"/>
        <w:jc w:val="both"/>
        <w:rPr>
          <w:sz w:val="27"/>
        </w:rPr>
        <w:sectPr>
          <w:pgSz w:w="11900" w:h="16840"/>
          <w:pgMar w:top="0" w:bottom="280" w:left="1420" w:right="1520"/>
        </w:sectPr>
      </w:pPr>
    </w:p>
    <w:p>
      <w:pPr>
        <w:pStyle w:val="Heading2"/>
        <w:numPr>
          <w:ilvl w:val="1"/>
          <w:numId w:val="4"/>
        </w:numPr>
        <w:tabs>
          <w:tab w:pos="951" w:val="left" w:leader="none"/>
        </w:tabs>
        <w:spacing w:line="384" w:lineRule="exact" w:before="0" w:after="0"/>
        <w:ind w:left="950" w:right="0" w:hanging="571"/>
        <w:jc w:val="left"/>
      </w:pPr>
      <w:r>
        <w:rPr/>
        <w:t>Принципы измерения</w:t>
      </w:r>
      <w:r>
        <w:rPr>
          <w:spacing w:val="10"/>
        </w:rPr>
        <w:t> </w:t>
      </w:r>
      <w:r>
        <w:rPr/>
        <w:t>АД</w:t>
      </w:r>
    </w:p>
    <w:p>
      <w:pPr>
        <w:pStyle w:val="BodyText"/>
        <w:spacing w:before="5"/>
        <w:ind w:left="0"/>
        <w:jc w:val="left"/>
        <w:rPr>
          <w:b/>
          <w:sz w:val="23"/>
        </w:rPr>
      </w:pPr>
    </w:p>
    <w:p>
      <w:pPr>
        <w:pStyle w:val="BodyText"/>
        <w:spacing w:line="256" w:lineRule="auto" w:before="98"/>
        <w:ind w:left="695" w:right="136"/>
      </w:pPr>
      <w:r>
        <w:rPr/>
        <w:pict>
          <v:shape style="position:absolute;margin-left:91.538452pt;margin-top:12.31952pt;width:4.55pt;height:4.5pt;mso-position-horizontal-relative:page;mso-position-vertical-relative:paragraph;z-index:15769088" coordorigin="1831,246" coordsize="91,90" path="m1888,336l1863,336,1853,332,1835,314,1831,304,1831,279,1835,268,1853,251,1863,246,1888,246,1899,251,1916,268,1921,279,1921,291,1921,304,1916,314,1899,332,1888,336xe" filled="true" fillcolor="#000000" stroked="false">
            <v:path arrowok="t"/>
            <v:fill type="solid"/>
            <w10:wrap type="none"/>
          </v:shape>
        </w:pict>
      </w:r>
      <w:r>
        <w:rPr/>
        <w:t>Скрининг АГ путем измерения АД в медицинском учреждении и регистрация полученных цифр АД в медицинской документации рекомендован всем пациентам с 18 лет [33, 40] (Таблица П1, Приложение</w:t>
      </w:r>
      <w:r>
        <w:rPr>
          <w:spacing w:val="-11"/>
        </w:rPr>
        <w:t> </w:t>
      </w:r>
      <w:r>
        <w:rPr/>
        <w:t>Г2).</w:t>
      </w:r>
    </w:p>
    <w:p>
      <w:pPr>
        <w:pStyle w:val="Heading3"/>
        <w:ind w:left="768"/>
      </w:pPr>
      <w:r>
        <w:rPr>
          <w:w w:val="105"/>
        </w:rPr>
        <w:t>ЕОК/ЕОАГ</w:t>
      </w:r>
      <w:r>
        <w:rPr>
          <w:spacing w:val="-46"/>
          <w:w w:val="105"/>
        </w:rPr>
        <w:t> </w:t>
      </w:r>
      <w:r>
        <w:rPr>
          <w:w w:val="105"/>
        </w:rPr>
        <w:t>IВ</w:t>
      </w:r>
      <w:r>
        <w:rPr>
          <w:spacing w:val="-45"/>
          <w:w w:val="105"/>
        </w:rPr>
        <w:t> </w:t>
      </w:r>
      <w:r>
        <w:rPr>
          <w:w w:val="105"/>
        </w:rPr>
        <w:t>(УУР</w:t>
      </w:r>
      <w:r>
        <w:rPr>
          <w:spacing w:val="-46"/>
          <w:w w:val="105"/>
        </w:rPr>
        <w:t> </w:t>
      </w:r>
      <w:r>
        <w:rPr>
          <w:w w:val="105"/>
        </w:rPr>
        <w:t>А,</w:t>
      </w:r>
      <w:r>
        <w:rPr>
          <w:spacing w:val="-45"/>
          <w:w w:val="105"/>
        </w:rPr>
        <w:t> </w:t>
      </w:r>
      <w:r>
        <w:rPr>
          <w:spacing w:val="-3"/>
          <w:w w:val="105"/>
        </w:rPr>
        <w:t>УДД</w:t>
      </w:r>
      <w:r>
        <w:rPr>
          <w:spacing w:val="-45"/>
          <w:w w:val="105"/>
        </w:rPr>
        <w:t> </w:t>
      </w:r>
      <w:r>
        <w:rPr>
          <w:w w:val="105"/>
        </w:rPr>
        <w:t>1)</w:t>
      </w:r>
    </w:p>
    <w:p>
      <w:pPr>
        <w:pStyle w:val="BodyText"/>
        <w:spacing w:line="256" w:lineRule="auto" w:before="296"/>
        <w:ind w:left="695" w:right="129"/>
      </w:pPr>
      <w:r>
        <w:rPr/>
        <w:pict>
          <v:shape style="position:absolute;margin-left:91.538452pt;margin-top:22.219482pt;width:4.55pt;height:4.5pt;mso-position-horizontal-relative:page;mso-position-vertical-relative:paragraph;z-index:15769600"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Для определения степени и стабильности повышения уровня АД рекомендовано проводить измерения АД в медицинском учреждении (таблица П2, Приложение Г1) у всех пациентов с повышением АД [33, 40, 42].</w:t>
      </w:r>
    </w:p>
    <w:p>
      <w:pPr>
        <w:pStyle w:val="Heading3"/>
        <w:spacing w:before="272"/>
      </w:pPr>
      <w:r>
        <w:rPr>
          <w:w w:val="105"/>
        </w:rPr>
        <w:t>EОК/ЕОАГ IВ (УУР А, УДД 1)</w:t>
      </w:r>
    </w:p>
    <w:p>
      <w:pPr>
        <w:spacing w:line="256" w:lineRule="auto" w:before="296"/>
        <w:ind w:left="695" w:right="128" w:firstLine="0"/>
        <w:jc w:val="both"/>
        <w:rPr>
          <w:i/>
          <w:sz w:val="27"/>
        </w:rPr>
      </w:pPr>
      <w:r>
        <w:rPr>
          <w:b/>
          <w:w w:val="105"/>
          <w:sz w:val="27"/>
        </w:rPr>
        <w:t>Комментарии. </w:t>
      </w:r>
      <w:r>
        <w:rPr>
          <w:i/>
          <w:w w:val="105"/>
          <w:sz w:val="27"/>
        </w:rPr>
        <w:t>Клиническое измерение АД имеет наибольшую </w:t>
      </w:r>
      <w:r>
        <w:rPr>
          <w:i/>
          <w:w w:val="105"/>
          <w:sz w:val="27"/>
        </w:rPr>
        <w:t>доказательную базу для диагностики АГ и оценки эффективности антигипертензивной терапии (АГТ). Точность измерения АД и, соответственно, диагностика АГ, определение ее степени тяжести зависят от соблюдения правил по измерению АД (Таблица П1, Приложение</w:t>
      </w:r>
      <w:r>
        <w:rPr>
          <w:i/>
          <w:spacing w:val="-43"/>
          <w:w w:val="105"/>
          <w:sz w:val="27"/>
        </w:rPr>
        <w:t> </w:t>
      </w:r>
      <w:r>
        <w:rPr>
          <w:i/>
          <w:w w:val="105"/>
          <w:sz w:val="27"/>
        </w:rPr>
        <w:t>Г1).</w:t>
      </w:r>
    </w:p>
    <w:p>
      <w:pPr>
        <w:pStyle w:val="BodyText"/>
        <w:spacing w:line="256" w:lineRule="auto" w:before="273"/>
        <w:ind w:left="695" w:right="133"/>
      </w:pPr>
      <w:r>
        <w:rPr/>
        <w:pict>
          <v:shape style="position:absolute;margin-left:91.538452pt;margin-top:21.06949pt;width:4.55pt;height:4.5pt;mso-position-horizontal-relative:page;mso-position-vertical-relative:paragraph;z-index:15770112" coordorigin="1831,421" coordsize="91,90" path="m1888,511l1863,511,1853,507,1835,489,1831,479,1831,454,1835,443,1853,426,1863,421,1888,421,1899,426,1916,443,1921,454,1921,466,1921,479,1916,489,1899,507,1888,511xe" filled="true" fillcolor="#000000" stroked="false">
            <v:path arrowok="t"/>
            <v:fill type="solid"/>
            <w10:wrap type="none"/>
          </v:shape>
        </w:pict>
      </w:r>
      <w:r>
        <w:rPr/>
        <w:t>Рекомендуется проводить измерения АД в медицинском учреждении на обеих руках, по крайней мере, во время первого визита пациента для выявления возможного поражения артерий (в первую очередь атеросклеротического), ассоциированного с более высоким СС риском [41].</w:t>
      </w:r>
    </w:p>
    <w:p>
      <w:pPr>
        <w:pStyle w:val="Heading3"/>
        <w:spacing w:before="272"/>
      </w:pPr>
      <w:r>
        <w:rPr>
          <w:w w:val="105"/>
        </w:rPr>
        <w:t>EОК/ЕОАГ IА (УУР А, УДД 2)</w:t>
      </w:r>
    </w:p>
    <w:p>
      <w:pPr>
        <w:spacing w:line="256" w:lineRule="auto" w:before="296"/>
        <w:ind w:left="695" w:right="129" w:firstLine="0"/>
        <w:jc w:val="both"/>
        <w:rPr>
          <w:i/>
          <w:sz w:val="27"/>
        </w:rPr>
      </w:pPr>
      <w:r>
        <w:rPr>
          <w:b/>
          <w:w w:val="105"/>
          <w:sz w:val="27"/>
        </w:rPr>
        <w:t>Комментарии. </w:t>
      </w:r>
      <w:r>
        <w:rPr>
          <w:i/>
          <w:w w:val="105"/>
          <w:sz w:val="27"/>
        </w:rPr>
        <w:t>При разнице показателей АД на правой и левой </w:t>
      </w:r>
      <w:r>
        <w:rPr>
          <w:i/>
          <w:w w:val="105"/>
          <w:sz w:val="27"/>
        </w:rPr>
        <w:t>руке более 15 мм рт. ст. вероятно атеросклеротическое поражение сосудов. При выявленной разнице показателей между правой и левой руками в дальнейшем рекомендуется проводить измерения на руке с более высоким АД.</w:t>
      </w:r>
    </w:p>
    <w:p>
      <w:pPr>
        <w:pStyle w:val="BodyText"/>
        <w:spacing w:line="256" w:lineRule="auto" w:before="272"/>
        <w:ind w:left="695" w:right="142"/>
      </w:pPr>
      <w:r>
        <w:rPr/>
        <w:pict>
          <v:shape style="position:absolute;margin-left:91.538452pt;margin-top:21.019497pt;width:4.55pt;height:4.5pt;mso-position-horizontal-relative:page;mso-position-vertical-relative:paragraph;z-index:15770624"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Определение АД, измеренного вне медицинского учреждения (СМАД или ДМАД) для постановки диагноза или контроля эффективности АГТ рекомендуется в ряде клинических ситуаций, указанных в таблице П7, Приложение Г2 [40, 42–46].</w:t>
      </w:r>
    </w:p>
    <w:p>
      <w:pPr>
        <w:pStyle w:val="Heading3"/>
        <w:spacing w:before="272"/>
      </w:pPr>
      <w:r>
        <w:rPr>
          <w:w w:val="105"/>
        </w:rPr>
        <w:t>ЕОК/ЕОАГ IА (УУР А, УДД 1)</w:t>
      </w:r>
    </w:p>
    <w:p>
      <w:pPr>
        <w:spacing w:after="0"/>
        <w:sectPr>
          <w:pgSz w:w="11900" w:h="16840"/>
          <w:pgMar w:top="0" w:bottom="280" w:left="1420" w:right="1520"/>
        </w:sectPr>
      </w:pPr>
    </w:p>
    <w:p>
      <w:pPr>
        <w:spacing w:line="256" w:lineRule="auto" w:before="16"/>
        <w:ind w:left="695" w:right="130" w:firstLine="0"/>
        <w:jc w:val="both"/>
        <w:rPr>
          <w:i/>
          <w:sz w:val="27"/>
        </w:rPr>
      </w:pPr>
      <w:r>
        <w:rPr>
          <w:b/>
          <w:w w:val="105"/>
          <w:sz w:val="27"/>
        </w:rPr>
        <w:t>Комментарии. </w:t>
      </w:r>
      <w:r>
        <w:rPr>
          <w:i/>
          <w:w w:val="105"/>
          <w:sz w:val="27"/>
        </w:rPr>
        <w:t>Преимущества и недостатки каждого метода </w:t>
      </w:r>
      <w:r>
        <w:rPr>
          <w:i/>
          <w:w w:val="105"/>
          <w:sz w:val="27"/>
        </w:rPr>
        <w:t>измерения АД суммированы в таблице П8, Приложение Г2. Диагностические критерии АГ по данным СМАД приведены в таблице</w:t>
      </w:r>
      <w:r>
        <w:rPr>
          <w:i/>
          <w:spacing w:val="-8"/>
          <w:w w:val="105"/>
          <w:sz w:val="27"/>
        </w:rPr>
        <w:t> </w:t>
      </w:r>
      <w:r>
        <w:rPr>
          <w:i/>
          <w:w w:val="105"/>
          <w:sz w:val="27"/>
        </w:rPr>
        <w:t>П9,</w:t>
      </w:r>
      <w:r>
        <w:rPr>
          <w:i/>
          <w:spacing w:val="-8"/>
          <w:w w:val="105"/>
          <w:sz w:val="27"/>
        </w:rPr>
        <w:t> </w:t>
      </w:r>
      <w:r>
        <w:rPr>
          <w:i/>
          <w:w w:val="105"/>
          <w:sz w:val="27"/>
        </w:rPr>
        <w:t>Приложение</w:t>
      </w:r>
      <w:r>
        <w:rPr>
          <w:i/>
          <w:spacing w:val="-8"/>
          <w:w w:val="105"/>
          <w:sz w:val="27"/>
        </w:rPr>
        <w:t> </w:t>
      </w:r>
      <w:r>
        <w:rPr>
          <w:i/>
          <w:w w:val="105"/>
          <w:sz w:val="27"/>
        </w:rPr>
        <w:t>Г2.</w:t>
      </w:r>
      <w:r>
        <w:rPr>
          <w:i/>
          <w:spacing w:val="-8"/>
          <w:w w:val="105"/>
          <w:sz w:val="27"/>
        </w:rPr>
        <w:t> </w:t>
      </w:r>
      <w:r>
        <w:rPr>
          <w:i/>
          <w:w w:val="105"/>
          <w:sz w:val="27"/>
        </w:rPr>
        <w:t>Результаты</w:t>
      </w:r>
      <w:r>
        <w:rPr>
          <w:i/>
          <w:spacing w:val="-7"/>
          <w:w w:val="105"/>
          <w:sz w:val="27"/>
        </w:rPr>
        <w:t> </w:t>
      </w:r>
      <w:r>
        <w:rPr>
          <w:i/>
          <w:w w:val="105"/>
          <w:sz w:val="27"/>
        </w:rPr>
        <w:t>СМАД</w:t>
      </w:r>
      <w:r>
        <w:rPr>
          <w:i/>
          <w:spacing w:val="-8"/>
          <w:w w:val="105"/>
          <w:sz w:val="27"/>
        </w:rPr>
        <w:t> </w:t>
      </w:r>
      <w:r>
        <w:rPr>
          <w:i/>
          <w:w w:val="105"/>
          <w:sz w:val="27"/>
        </w:rPr>
        <w:t>и</w:t>
      </w:r>
      <w:r>
        <w:rPr>
          <w:i/>
          <w:spacing w:val="-8"/>
          <w:w w:val="105"/>
          <w:sz w:val="27"/>
        </w:rPr>
        <w:t> </w:t>
      </w:r>
      <w:r>
        <w:rPr>
          <w:i/>
          <w:w w:val="105"/>
          <w:sz w:val="27"/>
        </w:rPr>
        <w:t>ДМАД</w:t>
      </w:r>
      <w:r>
        <w:rPr>
          <w:i/>
          <w:spacing w:val="-8"/>
          <w:w w:val="105"/>
          <w:sz w:val="27"/>
        </w:rPr>
        <w:t> </w:t>
      </w:r>
      <w:r>
        <w:rPr>
          <w:i/>
          <w:w w:val="105"/>
          <w:sz w:val="27"/>
        </w:rPr>
        <w:t>могут помочь в диагностике АГ, но не заменяют повторные измерения АД в лечебном учреждении. Следует обратить внимание, что критерии диагностики АГ по результатам клинического измерения АД, СМАД и ДМАД (таблица П2, приложение Г1 и таблица П9 приложение</w:t>
      </w:r>
      <w:r>
        <w:rPr>
          <w:i/>
          <w:spacing w:val="-19"/>
          <w:w w:val="105"/>
          <w:sz w:val="27"/>
        </w:rPr>
        <w:t> </w:t>
      </w:r>
      <w:r>
        <w:rPr>
          <w:i/>
          <w:w w:val="105"/>
          <w:sz w:val="27"/>
        </w:rPr>
        <w:t>Г2).</w:t>
      </w:r>
    </w:p>
    <w:p>
      <w:pPr>
        <w:pStyle w:val="BodyText"/>
        <w:spacing w:before="2"/>
        <w:ind w:left="0"/>
        <w:jc w:val="left"/>
        <w:rPr>
          <w:i/>
          <w:sz w:val="50"/>
        </w:rPr>
      </w:pPr>
    </w:p>
    <w:p>
      <w:pPr>
        <w:pStyle w:val="Heading2"/>
        <w:numPr>
          <w:ilvl w:val="1"/>
          <w:numId w:val="4"/>
        </w:numPr>
        <w:tabs>
          <w:tab w:pos="1039" w:val="left" w:leader="none"/>
        </w:tabs>
        <w:spacing w:line="240" w:lineRule="auto" w:before="0" w:after="0"/>
        <w:ind w:left="1038" w:right="0" w:hanging="659"/>
        <w:jc w:val="left"/>
      </w:pPr>
      <w:r>
        <w:rPr/>
        <w:t>Оценка сердечно-сосудистого</w:t>
      </w:r>
      <w:r>
        <w:rPr>
          <w:spacing w:val="6"/>
        </w:rPr>
        <w:t> </w:t>
      </w:r>
      <w:r>
        <w:rPr/>
        <w:t>риска</w:t>
      </w:r>
    </w:p>
    <w:p>
      <w:pPr>
        <w:pStyle w:val="BodyText"/>
        <w:spacing w:before="5"/>
        <w:ind w:left="0"/>
        <w:jc w:val="left"/>
        <w:rPr>
          <w:b/>
          <w:sz w:val="23"/>
        </w:rPr>
      </w:pPr>
    </w:p>
    <w:p>
      <w:pPr>
        <w:pStyle w:val="BodyText"/>
        <w:spacing w:line="256" w:lineRule="auto" w:before="98"/>
        <w:ind w:left="695" w:right="129"/>
      </w:pPr>
      <w:r>
        <w:rPr/>
        <w:pict>
          <v:shape style="position:absolute;margin-left:91.538452pt;margin-top:12.319503pt;width:4.55pt;height:4.5pt;mso-position-horizontal-relative:page;mso-position-vertical-relative:paragraph;z-index:15771136" coordorigin="1831,246" coordsize="91,90" path="m1888,336l1863,336,1853,332,1835,314,1831,304,1831,279,1835,268,1853,251,1863,246,1888,246,1899,251,1916,268,1921,279,1921,291,1921,304,1916,314,1899,332,1888,336xe" filled="true" fillcolor="#000000" stroked="false">
            <v:path arrowok="t"/>
            <v:fill type="solid"/>
            <w10:wrap type="none"/>
          </v:shape>
        </w:pict>
      </w:r>
      <w:r>
        <w:rPr/>
        <w:t>Базовый скрининг на наличие ПОМ рекомендовано проводить у </w:t>
      </w:r>
      <w:r>
        <w:rPr>
          <w:spacing w:val="-3"/>
        </w:rPr>
        <w:t>всех </w:t>
      </w:r>
      <w:r>
        <w:rPr/>
        <w:t>пациентов с АГ. Расширенное обследование рекомендовано в том случае, </w:t>
      </w:r>
      <w:r>
        <w:rPr>
          <w:spacing w:val="-3"/>
        </w:rPr>
        <w:t>когда </w:t>
      </w:r>
      <w:r>
        <w:rPr/>
        <w:t>выявление ПОМ повлияет на выбор терапевтической тактики [21, 22].</w:t>
      </w:r>
    </w:p>
    <w:p>
      <w:pPr>
        <w:pStyle w:val="Heading3"/>
        <w:jc w:val="both"/>
      </w:pPr>
      <w:r>
        <w:rPr>
          <w:w w:val="105"/>
        </w:rPr>
        <w:t>ЕОК/ЕОАГ нет (УУР C, УДД 5)</w:t>
      </w:r>
    </w:p>
    <w:p>
      <w:pPr>
        <w:spacing w:line="256" w:lineRule="auto" w:before="296"/>
        <w:ind w:left="695" w:right="128" w:firstLine="0"/>
        <w:jc w:val="both"/>
        <w:rPr>
          <w:i/>
          <w:sz w:val="27"/>
        </w:rPr>
      </w:pPr>
      <w:r>
        <w:rPr>
          <w:b/>
          <w:w w:val="105"/>
          <w:sz w:val="27"/>
        </w:rPr>
        <w:t>Комментарии. </w:t>
      </w:r>
      <w:r>
        <w:rPr>
          <w:i/>
          <w:w w:val="105"/>
          <w:sz w:val="27"/>
        </w:rPr>
        <w:t>Для выявления поражения сердца всем </w:t>
      </w:r>
      <w:r>
        <w:rPr>
          <w:i/>
          <w:w w:val="105"/>
          <w:sz w:val="27"/>
        </w:rPr>
        <w:t>пациентам целесообразно проводить регистрацию электрокардиограммы (ЭКГ) с расчетом индексов гипертрофии ЛЖ, в случае расширенного обследования — ЭхоКГ с</w:t>
      </w:r>
      <w:r>
        <w:rPr>
          <w:i/>
          <w:spacing w:val="-18"/>
          <w:w w:val="105"/>
          <w:sz w:val="27"/>
        </w:rPr>
        <w:t> </w:t>
      </w:r>
      <w:r>
        <w:rPr>
          <w:i/>
          <w:w w:val="105"/>
          <w:sz w:val="27"/>
        </w:rPr>
        <w:t>определением индекса массы миокарда левого желудочка. Для выявления поражения почек у всех оценивают протеинурию/альбуминурию, концентрационную</w:t>
      </w:r>
      <w:r>
        <w:rPr>
          <w:i/>
          <w:spacing w:val="-15"/>
          <w:w w:val="105"/>
          <w:sz w:val="27"/>
        </w:rPr>
        <w:t> </w:t>
      </w:r>
      <w:r>
        <w:rPr>
          <w:i/>
          <w:w w:val="105"/>
          <w:sz w:val="27"/>
        </w:rPr>
        <w:t>функцию</w:t>
      </w:r>
      <w:r>
        <w:rPr>
          <w:i/>
          <w:spacing w:val="-14"/>
          <w:w w:val="105"/>
          <w:sz w:val="27"/>
        </w:rPr>
        <w:t> </w:t>
      </w:r>
      <w:r>
        <w:rPr>
          <w:i/>
          <w:w w:val="105"/>
          <w:sz w:val="27"/>
        </w:rPr>
        <w:t>и</w:t>
      </w:r>
      <w:r>
        <w:rPr>
          <w:i/>
          <w:spacing w:val="-14"/>
          <w:w w:val="105"/>
          <w:sz w:val="27"/>
        </w:rPr>
        <w:t> </w:t>
      </w:r>
      <w:r>
        <w:rPr>
          <w:i/>
          <w:w w:val="105"/>
          <w:sz w:val="27"/>
        </w:rPr>
        <w:t>мочевой</w:t>
      </w:r>
      <w:r>
        <w:rPr>
          <w:i/>
          <w:spacing w:val="-15"/>
          <w:w w:val="105"/>
          <w:sz w:val="27"/>
        </w:rPr>
        <w:t> </w:t>
      </w:r>
      <w:r>
        <w:rPr>
          <w:i/>
          <w:w w:val="105"/>
          <w:sz w:val="27"/>
        </w:rPr>
        <w:t>осадок;</w:t>
      </w:r>
      <w:r>
        <w:rPr>
          <w:i/>
          <w:spacing w:val="-14"/>
          <w:w w:val="105"/>
          <w:sz w:val="27"/>
        </w:rPr>
        <w:t> </w:t>
      </w:r>
      <w:r>
        <w:rPr>
          <w:i/>
          <w:w w:val="105"/>
          <w:sz w:val="27"/>
        </w:rPr>
        <w:t>при</w:t>
      </w:r>
      <w:r>
        <w:rPr>
          <w:i/>
          <w:spacing w:val="-14"/>
          <w:w w:val="105"/>
          <w:sz w:val="27"/>
        </w:rPr>
        <w:t> </w:t>
      </w:r>
      <w:r>
        <w:rPr>
          <w:i/>
          <w:w w:val="105"/>
          <w:sz w:val="27"/>
        </w:rPr>
        <w:t>расширенном обследовании выполняется УЗИ почек и допплерография почечных артерий. Для выявления поражения сосудов рекомендовано выполнение фундоскопии, расчет пульсового давления (ПД) у пожилых, оценка лодыжочно-плечевого индекса (ЛПИ), скорость пульсовой волны (СПВ) и обследования для выявления атеросклеротических бляшек в брахиоцефальных, почечных и подвздошно-бедренных сосудах при расширенном обследовании (таблицы П4 и П5, приложение</w:t>
      </w:r>
      <w:r>
        <w:rPr>
          <w:i/>
          <w:spacing w:val="-37"/>
          <w:w w:val="105"/>
          <w:sz w:val="27"/>
        </w:rPr>
        <w:t> </w:t>
      </w:r>
      <w:r>
        <w:rPr>
          <w:i/>
          <w:w w:val="105"/>
          <w:sz w:val="27"/>
        </w:rPr>
        <w:t>Г2).</w:t>
      </w:r>
    </w:p>
    <w:p>
      <w:pPr>
        <w:pStyle w:val="BodyText"/>
        <w:spacing w:line="256" w:lineRule="auto" w:before="276"/>
        <w:ind w:left="695" w:right="131"/>
      </w:pPr>
      <w:r>
        <w:rPr/>
        <w:pict>
          <v:shape style="position:absolute;margin-left:91.538452pt;margin-top:21.219501pt;width:4.55pt;height:4.5pt;mso-position-horizontal-relative:page;mso-position-vertical-relative:paragraph;z-index:15771648" coordorigin="1831,424" coordsize="91,90" path="m1888,514l1863,514,1853,510,1835,492,1831,482,1831,457,1835,446,1853,429,1863,424,1888,424,1899,429,1916,446,1921,457,1921,469,1921,482,1916,492,1899,510,1888,514xe" filled="true" fillcolor="#000000" stroked="false">
            <v:path arrowok="t"/>
            <v:fill type="solid"/>
            <w10:wrap type="none"/>
          </v:shape>
        </w:pict>
      </w:r>
      <w:r>
        <w:rPr/>
        <w:t>Всем пациентам с АГ рекомендуется оценка общего сердечно- сосудистого</w:t>
      </w:r>
      <w:r>
        <w:rPr>
          <w:spacing w:val="-16"/>
        </w:rPr>
        <w:t> </w:t>
      </w:r>
      <w:r>
        <w:rPr/>
        <w:t>риска</w:t>
      </w:r>
      <w:r>
        <w:rPr>
          <w:spacing w:val="-16"/>
        </w:rPr>
        <w:t> </w:t>
      </w:r>
      <w:r>
        <w:rPr/>
        <w:t>(ССР)</w:t>
      </w:r>
      <w:r>
        <w:rPr>
          <w:spacing w:val="-15"/>
        </w:rPr>
        <w:t> </w:t>
      </w:r>
      <w:r>
        <w:rPr/>
        <w:t>—</w:t>
      </w:r>
      <w:r>
        <w:rPr>
          <w:spacing w:val="-16"/>
        </w:rPr>
        <w:t> </w:t>
      </w:r>
      <w:r>
        <w:rPr/>
        <w:t>выявление</w:t>
      </w:r>
      <w:r>
        <w:rPr>
          <w:spacing w:val="-15"/>
        </w:rPr>
        <w:t> </w:t>
      </w:r>
      <w:r>
        <w:rPr/>
        <w:t>ФР,</w:t>
      </w:r>
      <w:r>
        <w:rPr>
          <w:spacing w:val="-16"/>
        </w:rPr>
        <w:t> </w:t>
      </w:r>
      <w:r>
        <w:rPr/>
        <w:t>ПОМ</w:t>
      </w:r>
      <w:r>
        <w:rPr>
          <w:spacing w:val="-15"/>
        </w:rPr>
        <w:t> </w:t>
      </w:r>
      <w:r>
        <w:rPr/>
        <w:t>и</w:t>
      </w:r>
      <w:r>
        <w:rPr>
          <w:spacing w:val="-16"/>
        </w:rPr>
        <w:t> </w:t>
      </w:r>
      <w:r>
        <w:rPr>
          <w:spacing w:val="-3"/>
        </w:rPr>
        <w:t>АКС,</w:t>
      </w:r>
      <w:r>
        <w:rPr>
          <w:spacing w:val="-15"/>
        </w:rPr>
        <w:t> </w:t>
      </w:r>
      <w:r>
        <w:rPr>
          <w:spacing w:val="-3"/>
        </w:rPr>
        <w:t>СД,</w:t>
      </w:r>
      <w:r>
        <w:rPr>
          <w:spacing w:val="-16"/>
        </w:rPr>
        <w:t> </w:t>
      </w:r>
      <w:r>
        <w:rPr/>
        <w:t>ХБП, которые влияют на прогноз (таблица П10, Приложение Г2).</w:t>
      </w:r>
      <w:r>
        <w:rPr>
          <w:spacing w:val="-36"/>
        </w:rPr>
        <w:t> </w:t>
      </w:r>
      <w:r>
        <w:rPr/>
        <w:t>Для оценки степени риска развития </w:t>
      </w:r>
      <w:r>
        <w:rPr>
          <w:spacing w:val="-5"/>
        </w:rPr>
        <w:t>ССО </w:t>
      </w:r>
      <w:r>
        <w:rPr/>
        <w:t>рекомендуется обследование с целью оценки состояния органов-мишеней в соответствии с действующими клиническими рекомендациями [47].</w:t>
      </w:r>
    </w:p>
    <w:p>
      <w:pPr>
        <w:spacing w:after="0" w:line="256" w:lineRule="auto"/>
        <w:sectPr>
          <w:pgSz w:w="11900" w:h="16840"/>
          <w:pgMar w:top="0" w:bottom="280" w:left="1420" w:right="1520"/>
        </w:sectPr>
      </w:pPr>
    </w:p>
    <w:p>
      <w:pPr>
        <w:pStyle w:val="Heading3"/>
        <w:spacing w:before="16"/>
        <w:jc w:val="both"/>
      </w:pPr>
      <w:r>
        <w:rPr>
          <w:w w:val="105"/>
        </w:rPr>
        <w:t>ЕОК/ЕОАГ нет (УУР C, УДД 5)</w:t>
      </w:r>
    </w:p>
    <w:p>
      <w:pPr>
        <w:spacing w:line="256" w:lineRule="auto" w:before="296"/>
        <w:ind w:left="695" w:right="128" w:firstLine="0"/>
        <w:jc w:val="both"/>
        <w:rPr>
          <w:i/>
          <w:sz w:val="27"/>
        </w:rPr>
      </w:pPr>
      <w:r>
        <w:rPr>
          <w:b/>
          <w:w w:val="110"/>
          <w:sz w:val="27"/>
        </w:rPr>
        <w:t>Комментарии. </w:t>
      </w:r>
      <w:r>
        <w:rPr>
          <w:i/>
          <w:w w:val="110"/>
          <w:sz w:val="27"/>
        </w:rPr>
        <w:t>Величина АД является важнейшим, но не </w:t>
      </w:r>
      <w:r>
        <w:rPr>
          <w:i/>
          <w:w w:val="105"/>
          <w:sz w:val="27"/>
        </w:rPr>
        <w:t>единственным фактором, определяющим тяжесть АГ, прогноз </w:t>
      </w:r>
      <w:r>
        <w:rPr>
          <w:i/>
          <w:w w:val="110"/>
          <w:sz w:val="27"/>
        </w:rPr>
        <w:t>пациента</w:t>
      </w:r>
      <w:r>
        <w:rPr>
          <w:i/>
          <w:spacing w:val="-17"/>
          <w:w w:val="110"/>
          <w:sz w:val="27"/>
        </w:rPr>
        <w:t> </w:t>
      </w:r>
      <w:r>
        <w:rPr>
          <w:i/>
          <w:w w:val="110"/>
          <w:sz w:val="27"/>
        </w:rPr>
        <w:t>и</w:t>
      </w:r>
      <w:r>
        <w:rPr>
          <w:i/>
          <w:spacing w:val="-16"/>
          <w:w w:val="110"/>
          <w:sz w:val="27"/>
        </w:rPr>
        <w:t> </w:t>
      </w:r>
      <w:r>
        <w:rPr>
          <w:i/>
          <w:w w:val="110"/>
          <w:sz w:val="27"/>
        </w:rPr>
        <w:t>тактику</w:t>
      </w:r>
      <w:r>
        <w:rPr>
          <w:i/>
          <w:spacing w:val="-16"/>
          <w:w w:val="110"/>
          <w:sz w:val="27"/>
        </w:rPr>
        <w:t> </w:t>
      </w:r>
      <w:r>
        <w:rPr>
          <w:i/>
          <w:w w:val="110"/>
          <w:sz w:val="27"/>
        </w:rPr>
        <w:t>лечения.</w:t>
      </w:r>
      <w:r>
        <w:rPr>
          <w:i/>
          <w:spacing w:val="-16"/>
          <w:w w:val="110"/>
          <w:sz w:val="27"/>
        </w:rPr>
        <w:t> </w:t>
      </w:r>
      <w:r>
        <w:rPr>
          <w:i/>
          <w:w w:val="110"/>
          <w:sz w:val="27"/>
        </w:rPr>
        <w:t>Большое</w:t>
      </w:r>
      <w:r>
        <w:rPr>
          <w:i/>
          <w:spacing w:val="-16"/>
          <w:w w:val="110"/>
          <w:sz w:val="27"/>
        </w:rPr>
        <w:t> </w:t>
      </w:r>
      <w:r>
        <w:rPr>
          <w:i/>
          <w:w w:val="110"/>
          <w:sz w:val="27"/>
        </w:rPr>
        <w:t>значение</w:t>
      </w:r>
      <w:r>
        <w:rPr>
          <w:i/>
          <w:spacing w:val="-17"/>
          <w:w w:val="110"/>
          <w:sz w:val="27"/>
        </w:rPr>
        <w:t> </w:t>
      </w:r>
      <w:r>
        <w:rPr>
          <w:i/>
          <w:w w:val="110"/>
          <w:sz w:val="27"/>
        </w:rPr>
        <w:t>имеет</w:t>
      </w:r>
      <w:r>
        <w:rPr>
          <w:i/>
          <w:spacing w:val="-16"/>
          <w:w w:val="110"/>
          <w:sz w:val="27"/>
        </w:rPr>
        <w:t> </w:t>
      </w:r>
      <w:r>
        <w:rPr>
          <w:i/>
          <w:w w:val="110"/>
          <w:sz w:val="27"/>
        </w:rPr>
        <w:t>оценка </w:t>
      </w:r>
      <w:r>
        <w:rPr>
          <w:i/>
          <w:w w:val="105"/>
          <w:sz w:val="27"/>
        </w:rPr>
        <w:t>общего ССР, степень которого зависит от величины АД,</w:t>
      </w:r>
      <w:r>
        <w:rPr>
          <w:i/>
          <w:spacing w:val="-19"/>
          <w:w w:val="105"/>
          <w:sz w:val="27"/>
        </w:rPr>
        <w:t> </w:t>
      </w:r>
      <w:r>
        <w:rPr>
          <w:i/>
          <w:w w:val="105"/>
          <w:sz w:val="27"/>
        </w:rPr>
        <w:t>наличия или</w:t>
      </w:r>
      <w:r>
        <w:rPr>
          <w:i/>
          <w:spacing w:val="-38"/>
          <w:w w:val="105"/>
          <w:sz w:val="27"/>
        </w:rPr>
        <w:t> </w:t>
      </w:r>
      <w:r>
        <w:rPr>
          <w:i/>
          <w:w w:val="105"/>
          <w:sz w:val="27"/>
        </w:rPr>
        <w:t>отсутствия</w:t>
      </w:r>
      <w:r>
        <w:rPr>
          <w:i/>
          <w:spacing w:val="-37"/>
          <w:w w:val="105"/>
          <w:sz w:val="27"/>
        </w:rPr>
        <w:t> </w:t>
      </w:r>
      <w:r>
        <w:rPr>
          <w:i/>
          <w:w w:val="105"/>
          <w:sz w:val="27"/>
        </w:rPr>
        <w:t>сопутствующих</w:t>
      </w:r>
      <w:r>
        <w:rPr>
          <w:i/>
          <w:spacing w:val="-37"/>
          <w:w w:val="105"/>
          <w:sz w:val="27"/>
        </w:rPr>
        <w:t> </w:t>
      </w:r>
      <w:r>
        <w:rPr>
          <w:i/>
          <w:w w:val="105"/>
          <w:sz w:val="27"/>
        </w:rPr>
        <w:t>ФР,</w:t>
      </w:r>
      <w:r>
        <w:rPr>
          <w:i/>
          <w:spacing w:val="-38"/>
          <w:w w:val="105"/>
          <w:sz w:val="27"/>
        </w:rPr>
        <w:t> </w:t>
      </w:r>
      <w:r>
        <w:rPr>
          <w:i/>
          <w:w w:val="105"/>
          <w:sz w:val="27"/>
        </w:rPr>
        <w:t>субклинического</w:t>
      </w:r>
      <w:r>
        <w:rPr>
          <w:i/>
          <w:spacing w:val="-37"/>
          <w:w w:val="105"/>
          <w:sz w:val="27"/>
        </w:rPr>
        <w:t> </w:t>
      </w:r>
      <w:r>
        <w:rPr>
          <w:i/>
          <w:w w:val="105"/>
          <w:sz w:val="27"/>
        </w:rPr>
        <w:t>поражения органов-мишеней и наличия </w:t>
      </w:r>
      <w:r>
        <w:rPr>
          <w:i/>
          <w:spacing w:val="-4"/>
          <w:w w:val="105"/>
          <w:sz w:val="27"/>
        </w:rPr>
        <w:t>АКС </w:t>
      </w:r>
      <w:r>
        <w:rPr>
          <w:i/>
          <w:w w:val="105"/>
          <w:sz w:val="27"/>
        </w:rPr>
        <w:t>и </w:t>
      </w:r>
      <w:r>
        <w:rPr>
          <w:i/>
          <w:spacing w:val="-3"/>
          <w:w w:val="105"/>
          <w:sz w:val="27"/>
        </w:rPr>
        <w:t>СД. </w:t>
      </w:r>
      <w:r>
        <w:rPr>
          <w:i/>
          <w:w w:val="105"/>
          <w:sz w:val="27"/>
        </w:rPr>
        <w:t>Повышенный уровень АД, наличие</w:t>
      </w:r>
      <w:r>
        <w:rPr>
          <w:i/>
          <w:spacing w:val="-19"/>
          <w:w w:val="105"/>
          <w:sz w:val="27"/>
        </w:rPr>
        <w:t> </w:t>
      </w:r>
      <w:r>
        <w:rPr>
          <w:i/>
          <w:w w:val="105"/>
          <w:sz w:val="27"/>
        </w:rPr>
        <w:t>ФР</w:t>
      </w:r>
      <w:r>
        <w:rPr>
          <w:i/>
          <w:spacing w:val="-19"/>
          <w:w w:val="105"/>
          <w:sz w:val="27"/>
        </w:rPr>
        <w:t> </w:t>
      </w:r>
      <w:r>
        <w:rPr>
          <w:i/>
          <w:w w:val="105"/>
          <w:sz w:val="27"/>
        </w:rPr>
        <w:t>и</w:t>
      </w:r>
      <w:r>
        <w:rPr>
          <w:i/>
          <w:spacing w:val="-19"/>
          <w:w w:val="105"/>
          <w:sz w:val="27"/>
        </w:rPr>
        <w:t> </w:t>
      </w:r>
      <w:r>
        <w:rPr>
          <w:i/>
          <w:w w:val="105"/>
          <w:sz w:val="27"/>
        </w:rPr>
        <w:t>ПОМ</w:t>
      </w:r>
      <w:r>
        <w:rPr>
          <w:i/>
          <w:spacing w:val="-19"/>
          <w:w w:val="105"/>
          <w:sz w:val="27"/>
        </w:rPr>
        <w:t> </w:t>
      </w:r>
      <w:r>
        <w:rPr>
          <w:i/>
          <w:w w:val="105"/>
          <w:sz w:val="27"/>
        </w:rPr>
        <w:t>взаимно</w:t>
      </w:r>
      <w:r>
        <w:rPr>
          <w:i/>
          <w:spacing w:val="-19"/>
          <w:w w:val="105"/>
          <w:sz w:val="27"/>
        </w:rPr>
        <w:t> </w:t>
      </w:r>
      <w:r>
        <w:rPr>
          <w:i/>
          <w:w w:val="105"/>
          <w:sz w:val="27"/>
        </w:rPr>
        <w:t>усиливают</w:t>
      </w:r>
      <w:r>
        <w:rPr>
          <w:i/>
          <w:spacing w:val="-19"/>
          <w:w w:val="105"/>
          <w:sz w:val="27"/>
        </w:rPr>
        <w:t> </w:t>
      </w:r>
      <w:r>
        <w:rPr>
          <w:i/>
          <w:w w:val="105"/>
          <w:sz w:val="27"/>
        </w:rPr>
        <w:t>влияние</w:t>
      </w:r>
      <w:r>
        <w:rPr>
          <w:i/>
          <w:spacing w:val="-18"/>
          <w:w w:val="105"/>
          <w:sz w:val="27"/>
        </w:rPr>
        <w:t> </w:t>
      </w:r>
      <w:r>
        <w:rPr>
          <w:i/>
          <w:w w:val="105"/>
          <w:sz w:val="27"/>
        </w:rPr>
        <w:t>друг</w:t>
      </w:r>
      <w:r>
        <w:rPr>
          <w:i/>
          <w:spacing w:val="-19"/>
          <w:w w:val="105"/>
          <w:sz w:val="27"/>
        </w:rPr>
        <w:t> </w:t>
      </w:r>
      <w:r>
        <w:rPr>
          <w:i/>
          <w:w w:val="105"/>
          <w:sz w:val="27"/>
        </w:rPr>
        <w:t>на</w:t>
      </w:r>
      <w:r>
        <w:rPr>
          <w:i/>
          <w:spacing w:val="-19"/>
          <w:w w:val="105"/>
          <w:sz w:val="27"/>
        </w:rPr>
        <w:t> </w:t>
      </w:r>
      <w:r>
        <w:rPr>
          <w:i/>
          <w:w w:val="105"/>
          <w:sz w:val="27"/>
        </w:rPr>
        <w:t>друга,</w:t>
      </w:r>
      <w:r>
        <w:rPr>
          <w:i/>
          <w:spacing w:val="-19"/>
          <w:w w:val="105"/>
          <w:sz w:val="27"/>
        </w:rPr>
        <w:t> </w:t>
      </w:r>
      <w:r>
        <w:rPr>
          <w:i/>
          <w:spacing w:val="-4"/>
          <w:w w:val="105"/>
          <w:sz w:val="27"/>
        </w:rPr>
        <w:t>что </w:t>
      </w:r>
      <w:r>
        <w:rPr>
          <w:i/>
          <w:w w:val="110"/>
          <w:sz w:val="27"/>
        </w:rPr>
        <w:t>приводит к увеличению степени ССР, превышающего сумму отдельных его компонентов. Комплексный подход к оценке сердечно-сосудистого</w:t>
      </w:r>
      <w:r>
        <w:rPr>
          <w:i/>
          <w:spacing w:val="-38"/>
          <w:w w:val="110"/>
          <w:sz w:val="27"/>
        </w:rPr>
        <w:t> </w:t>
      </w:r>
      <w:r>
        <w:rPr>
          <w:i/>
          <w:w w:val="110"/>
          <w:sz w:val="27"/>
        </w:rPr>
        <w:t>риска</w:t>
      </w:r>
      <w:r>
        <w:rPr>
          <w:i/>
          <w:spacing w:val="-37"/>
          <w:w w:val="110"/>
          <w:sz w:val="27"/>
        </w:rPr>
        <w:t> </w:t>
      </w:r>
      <w:r>
        <w:rPr>
          <w:i/>
          <w:w w:val="110"/>
          <w:sz w:val="27"/>
        </w:rPr>
        <w:t>приведен</w:t>
      </w:r>
      <w:r>
        <w:rPr>
          <w:i/>
          <w:spacing w:val="-38"/>
          <w:w w:val="110"/>
          <w:sz w:val="27"/>
        </w:rPr>
        <w:t> </w:t>
      </w:r>
      <w:r>
        <w:rPr>
          <w:i/>
          <w:w w:val="110"/>
          <w:sz w:val="27"/>
        </w:rPr>
        <w:t>в</w:t>
      </w:r>
      <w:r>
        <w:rPr>
          <w:i/>
          <w:spacing w:val="-37"/>
          <w:w w:val="110"/>
          <w:sz w:val="27"/>
        </w:rPr>
        <w:t> </w:t>
      </w:r>
      <w:r>
        <w:rPr>
          <w:i/>
          <w:w w:val="110"/>
          <w:sz w:val="27"/>
        </w:rPr>
        <w:t>таблице</w:t>
      </w:r>
      <w:r>
        <w:rPr>
          <w:i/>
          <w:spacing w:val="-37"/>
          <w:w w:val="110"/>
          <w:sz w:val="27"/>
        </w:rPr>
        <w:t> </w:t>
      </w:r>
      <w:r>
        <w:rPr>
          <w:i/>
          <w:w w:val="110"/>
          <w:sz w:val="27"/>
        </w:rPr>
        <w:t>П10</w:t>
      </w:r>
      <w:r>
        <w:rPr>
          <w:i/>
          <w:spacing w:val="-38"/>
          <w:w w:val="110"/>
          <w:sz w:val="27"/>
        </w:rPr>
        <w:t> </w:t>
      </w:r>
      <w:r>
        <w:rPr>
          <w:i/>
          <w:w w:val="110"/>
          <w:sz w:val="27"/>
        </w:rPr>
        <w:t>приложения Г2.</w:t>
      </w:r>
    </w:p>
    <w:p>
      <w:pPr>
        <w:spacing w:line="256" w:lineRule="auto" w:before="275"/>
        <w:ind w:left="695" w:right="128" w:firstLine="0"/>
        <w:jc w:val="both"/>
        <w:rPr>
          <w:i/>
          <w:sz w:val="27"/>
        </w:rPr>
      </w:pPr>
      <w:r>
        <w:rPr>
          <w:i/>
          <w:w w:val="105"/>
          <w:sz w:val="27"/>
        </w:rPr>
        <w:t>Оценка риска по шкале SCORE (Таблица П11, Приложение Г2) </w:t>
      </w:r>
      <w:r>
        <w:rPr>
          <w:i/>
          <w:w w:val="105"/>
          <w:sz w:val="27"/>
        </w:rPr>
        <w:t>является одним из вариантов алгоритма оценки суммарного сердечно-сосудистого риска у пациентов с ГБ I–II стадии, т.е. не имеющих установленных ССЗ, ХБП и СД.</w:t>
      </w:r>
    </w:p>
    <w:p>
      <w:pPr>
        <w:spacing w:line="256" w:lineRule="auto" w:before="272"/>
        <w:ind w:left="695" w:right="129" w:firstLine="0"/>
        <w:jc w:val="both"/>
        <w:rPr>
          <w:i/>
          <w:sz w:val="27"/>
        </w:rPr>
      </w:pPr>
      <w:r>
        <w:rPr>
          <w:i/>
          <w:w w:val="105"/>
          <w:sz w:val="27"/>
        </w:rPr>
        <w:t>Пациенты с ГБ III стадии, имеющие документированное </w:t>
      </w:r>
      <w:r>
        <w:rPr>
          <w:i/>
          <w:spacing w:val="-3"/>
          <w:w w:val="105"/>
          <w:sz w:val="27"/>
        </w:rPr>
        <w:t>ССЗ </w:t>
      </w:r>
      <w:r>
        <w:rPr>
          <w:i/>
          <w:w w:val="105"/>
          <w:sz w:val="27"/>
        </w:rPr>
        <w:t>атеросклеротического генеза (под атеросклеротическим </w:t>
      </w:r>
      <w:r>
        <w:rPr>
          <w:i/>
          <w:spacing w:val="-3"/>
          <w:w w:val="105"/>
          <w:sz w:val="27"/>
        </w:rPr>
        <w:t>ССЗ </w:t>
      </w:r>
      <w:r>
        <w:rPr>
          <w:i/>
          <w:w w:val="105"/>
          <w:sz w:val="27"/>
        </w:rPr>
        <w:t>подразумевают ишемическую болезнь сердца, ишемический инсульт или транзиторное нарушение мозгового кровообращения, ишемию нижних конечностей), включая бессимптомный атеросклероз при визуализации, </w:t>
      </w:r>
      <w:r>
        <w:rPr>
          <w:i/>
          <w:spacing w:val="-4"/>
          <w:w w:val="105"/>
          <w:sz w:val="27"/>
        </w:rPr>
        <w:t>СД </w:t>
      </w:r>
      <w:r>
        <w:rPr>
          <w:i/>
          <w:w w:val="105"/>
          <w:sz w:val="27"/>
        </w:rPr>
        <w:t>1-го или 2-го типа, очень высокие значения по отдельным факторам риска (в том числе АГ 3-й степени) или ХБП 3–5-й стадий по</w:t>
      </w:r>
      <w:r>
        <w:rPr>
          <w:i/>
          <w:spacing w:val="-24"/>
          <w:w w:val="105"/>
          <w:sz w:val="27"/>
        </w:rPr>
        <w:t> </w:t>
      </w:r>
      <w:r>
        <w:rPr>
          <w:i/>
          <w:w w:val="105"/>
          <w:sz w:val="27"/>
        </w:rPr>
        <w:t>умолчанию относятся к категории высокого или очень высокого риска по глобальной шкале 10-летнего риска сердечно-сосудистых осложнений (Таблица П12, Приложение Г2). Внутри категории очень высокого риска введена категория экстремального риска. К экстремальному риску следует</w:t>
      </w:r>
      <w:r>
        <w:rPr>
          <w:i/>
          <w:spacing w:val="-25"/>
          <w:w w:val="105"/>
          <w:sz w:val="27"/>
        </w:rPr>
        <w:t> </w:t>
      </w:r>
      <w:r>
        <w:rPr>
          <w:i/>
          <w:w w:val="105"/>
          <w:sz w:val="27"/>
        </w:rPr>
        <w:t>относить:</w:t>
      </w:r>
    </w:p>
    <w:p>
      <w:pPr>
        <w:spacing w:line="256" w:lineRule="auto" w:before="275"/>
        <w:ind w:left="695" w:right="129" w:firstLine="1187"/>
        <w:jc w:val="both"/>
        <w:rPr>
          <w:i/>
          <w:sz w:val="27"/>
        </w:rPr>
      </w:pPr>
      <w:r>
        <w:rPr>
          <w:i/>
          <w:w w:val="105"/>
          <w:sz w:val="27"/>
        </w:rPr>
        <w:t>сочетание клинически значимого сердечно-сосудистого </w:t>
      </w:r>
      <w:r>
        <w:rPr>
          <w:i/>
          <w:w w:val="105"/>
          <w:sz w:val="27"/>
        </w:rPr>
        <w:t>заболевания, вызванного атеросклерозом, с СД 2 типа и/или СГХС;</w:t>
      </w:r>
    </w:p>
    <w:p>
      <w:pPr>
        <w:pStyle w:val="BodyText"/>
        <w:spacing w:before="12"/>
        <w:ind w:left="0"/>
        <w:jc w:val="left"/>
        <w:rPr>
          <w:i/>
          <w:sz w:val="12"/>
        </w:rPr>
      </w:pPr>
    </w:p>
    <w:p>
      <w:pPr>
        <w:spacing w:line="256" w:lineRule="auto" w:before="97"/>
        <w:ind w:left="695" w:right="138" w:firstLine="1921"/>
        <w:jc w:val="both"/>
        <w:rPr>
          <w:i/>
          <w:sz w:val="27"/>
        </w:rPr>
      </w:pPr>
      <w:r>
        <w:rPr>
          <w:i/>
          <w:w w:val="105"/>
          <w:sz w:val="27"/>
        </w:rPr>
        <w:t>сердечно-сосудистое осложнение у пациента с </w:t>
      </w:r>
      <w:r>
        <w:rPr>
          <w:i/>
          <w:w w:val="105"/>
          <w:sz w:val="27"/>
        </w:rPr>
        <w:t>атеросклеротически сердечно-сосудистым заболеванием, несмотря на оптимальную гиполипидемическую терапию и/или достигнутый уровень ХС ЛНП </w:t>
      </w:r>
      <w:r>
        <w:rPr>
          <w:rFonts w:ascii="Times New Roman" w:hAnsi="Times New Roman"/>
          <w:i/>
          <w:w w:val="105"/>
          <w:sz w:val="27"/>
        </w:rPr>
        <w:t>≤</w:t>
      </w:r>
      <w:r>
        <w:rPr>
          <w:i/>
          <w:w w:val="105"/>
          <w:sz w:val="27"/>
        </w:rPr>
        <w:t>1,5 ммоль/л;</w:t>
      </w:r>
    </w:p>
    <w:p>
      <w:pPr>
        <w:spacing w:before="272"/>
        <w:ind w:left="1352" w:right="0" w:firstLine="0"/>
        <w:jc w:val="left"/>
        <w:rPr>
          <w:i/>
          <w:sz w:val="27"/>
        </w:rPr>
      </w:pPr>
      <w:r>
        <w:rPr>
          <w:i/>
          <w:w w:val="105"/>
          <w:sz w:val="27"/>
        </w:rPr>
        <w:t>2 и более сердечно-сосудистых осложнения в течение 2 лет.</w:t>
      </w:r>
    </w:p>
    <w:p>
      <w:pPr>
        <w:spacing w:after="0"/>
        <w:jc w:val="left"/>
        <w:rPr>
          <w:sz w:val="27"/>
        </w:rPr>
        <w:sectPr>
          <w:pgSz w:w="11900" w:h="16840"/>
          <w:pgMar w:top="0" w:bottom="280" w:left="1420" w:right="1520"/>
        </w:sectPr>
      </w:pPr>
    </w:p>
    <w:p>
      <w:pPr>
        <w:spacing w:line="256" w:lineRule="auto" w:before="16"/>
        <w:ind w:left="695" w:right="129" w:firstLine="0"/>
        <w:jc w:val="both"/>
        <w:rPr>
          <w:i/>
          <w:sz w:val="27"/>
        </w:rPr>
      </w:pPr>
      <w:r>
        <w:rPr>
          <w:i/>
          <w:w w:val="105"/>
          <w:sz w:val="27"/>
        </w:rPr>
        <w:t>Акцент на значимость выявления поражения ФР и органов- </w:t>
      </w:r>
      <w:r>
        <w:rPr>
          <w:i/>
          <w:w w:val="105"/>
          <w:sz w:val="27"/>
        </w:rPr>
        <w:t>мишеней для корректной оценки сердечно-сосудистого риска — одна из ключевых особенностей современных рекомендаций. Бессимптомное ПОМ может существенно увеличивать риск у пациентов с АГ. Наибольшая польза от детальной оценки ПОМ может наблюдаться у пациентов среднего возраста, у молодых пациентов с АГ 1-й степени, пациентов с высоким нормальным АД.</w:t>
      </w:r>
      <w:r>
        <w:rPr>
          <w:i/>
          <w:spacing w:val="-20"/>
          <w:w w:val="105"/>
          <w:sz w:val="27"/>
        </w:rPr>
        <w:t> </w:t>
      </w:r>
      <w:r>
        <w:rPr>
          <w:i/>
          <w:w w:val="105"/>
          <w:sz w:val="27"/>
        </w:rPr>
        <w:t>Необходимо</w:t>
      </w:r>
      <w:r>
        <w:rPr>
          <w:i/>
          <w:spacing w:val="-19"/>
          <w:w w:val="105"/>
          <w:sz w:val="27"/>
        </w:rPr>
        <w:t> </w:t>
      </w:r>
      <w:r>
        <w:rPr>
          <w:i/>
          <w:w w:val="105"/>
          <w:sz w:val="27"/>
        </w:rPr>
        <w:t>подчеркнуть</w:t>
      </w:r>
      <w:r>
        <w:rPr>
          <w:i/>
          <w:spacing w:val="-19"/>
          <w:w w:val="105"/>
          <w:sz w:val="27"/>
        </w:rPr>
        <w:t> </w:t>
      </w:r>
      <w:r>
        <w:rPr>
          <w:i/>
          <w:w w:val="105"/>
          <w:sz w:val="27"/>
        </w:rPr>
        <w:t>важность</w:t>
      </w:r>
      <w:r>
        <w:rPr>
          <w:i/>
          <w:spacing w:val="-19"/>
          <w:w w:val="105"/>
          <w:sz w:val="27"/>
        </w:rPr>
        <w:t> </w:t>
      </w:r>
      <w:r>
        <w:rPr>
          <w:i/>
          <w:w w:val="105"/>
          <w:sz w:val="27"/>
        </w:rPr>
        <w:t>оценки</w:t>
      </w:r>
      <w:r>
        <w:rPr>
          <w:i/>
          <w:spacing w:val="-19"/>
          <w:w w:val="105"/>
          <w:sz w:val="27"/>
        </w:rPr>
        <w:t> </w:t>
      </w:r>
      <w:r>
        <w:rPr>
          <w:i/>
          <w:w w:val="105"/>
          <w:sz w:val="27"/>
        </w:rPr>
        <w:t>функции</w:t>
      </w:r>
      <w:r>
        <w:rPr>
          <w:i/>
          <w:spacing w:val="-19"/>
          <w:w w:val="105"/>
          <w:sz w:val="27"/>
        </w:rPr>
        <w:t> </w:t>
      </w:r>
      <w:r>
        <w:rPr>
          <w:i/>
          <w:w w:val="105"/>
          <w:sz w:val="27"/>
        </w:rPr>
        <w:t>почек</w:t>
      </w:r>
      <w:r>
        <w:rPr>
          <w:i/>
          <w:spacing w:val="-19"/>
          <w:w w:val="105"/>
          <w:sz w:val="27"/>
        </w:rPr>
        <w:t> </w:t>
      </w:r>
      <w:r>
        <w:rPr>
          <w:i/>
          <w:w w:val="105"/>
          <w:sz w:val="27"/>
        </w:rPr>
        <w:t>по показателям скорости клубочковой фильтрации (СКФ), альбуминурии и количественной оценки гипертрофии левого желудочка (ГЛЖ). Основная цель выявления ПОМ — правильное определение категории риска [48]. Первостепенное значение оценка ПОМ имеет у больных с низким и умеренным </w:t>
      </w:r>
      <w:r>
        <w:rPr>
          <w:i/>
          <w:spacing w:val="-3"/>
          <w:w w:val="105"/>
          <w:sz w:val="27"/>
        </w:rPr>
        <w:t>риском, </w:t>
      </w:r>
      <w:r>
        <w:rPr>
          <w:i/>
          <w:w w:val="105"/>
          <w:sz w:val="27"/>
        </w:rPr>
        <w:t>меньшее значение — при высоком и очень высоком риске. Характер органного поражения не играет решающей роли в выборе</w:t>
      </w:r>
      <w:r>
        <w:rPr>
          <w:i/>
          <w:spacing w:val="-9"/>
          <w:w w:val="105"/>
          <w:sz w:val="27"/>
        </w:rPr>
        <w:t> </w:t>
      </w:r>
      <w:r>
        <w:rPr>
          <w:i/>
          <w:w w:val="105"/>
          <w:sz w:val="27"/>
        </w:rPr>
        <w:t>режима</w:t>
      </w:r>
      <w:r>
        <w:rPr>
          <w:i/>
          <w:spacing w:val="-9"/>
          <w:w w:val="105"/>
          <w:sz w:val="27"/>
        </w:rPr>
        <w:t> </w:t>
      </w:r>
      <w:r>
        <w:rPr>
          <w:i/>
          <w:w w:val="105"/>
          <w:sz w:val="27"/>
        </w:rPr>
        <w:t>антигипертензивной</w:t>
      </w:r>
      <w:r>
        <w:rPr>
          <w:i/>
          <w:spacing w:val="-8"/>
          <w:w w:val="105"/>
          <w:sz w:val="27"/>
        </w:rPr>
        <w:t> </w:t>
      </w:r>
      <w:r>
        <w:rPr>
          <w:i/>
          <w:w w:val="105"/>
          <w:sz w:val="27"/>
        </w:rPr>
        <w:t>терапии,</w:t>
      </w:r>
      <w:r>
        <w:rPr>
          <w:i/>
          <w:spacing w:val="-9"/>
          <w:w w:val="105"/>
          <w:sz w:val="27"/>
        </w:rPr>
        <w:t> </w:t>
      </w:r>
      <w:r>
        <w:rPr>
          <w:i/>
          <w:w w:val="105"/>
          <w:sz w:val="27"/>
        </w:rPr>
        <w:t>но</w:t>
      </w:r>
      <w:r>
        <w:rPr>
          <w:i/>
          <w:spacing w:val="-8"/>
          <w:w w:val="105"/>
          <w:sz w:val="27"/>
        </w:rPr>
        <w:t> </w:t>
      </w:r>
      <w:r>
        <w:rPr>
          <w:i/>
          <w:w w:val="105"/>
          <w:sz w:val="27"/>
        </w:rPr>
        <w:t>регресс</w:t>
      </w:r>
      <w:r>
        <w:rPr>
          <w:i/>
          <w:spacing w:val="-9"/>
          <w:w w:val="105"/>
          <w:sz w:val="27"/>
        </w:rPr>
        <w:t> </w:t>
      </w:r>
      <w:r>
        <w:rPr>
          <w:i/>
          <w:w w:val="105"/>
          <w:sz w:val="27"/>
        </w:rPr>
        <w:t>ПОМ</w:t>
      </w:r>
      <w:r>
        <w:rPr>
          <w:i/>
          <w:spacing w:val="-8"/>
          <w:w w:val="105"/>
          <w:sz w:val="27"/>
        </w:rPr>
        <w:t> </w:t>
      </w:r>
      <w:r>
        <w:rPr>
          <w:i/>
          <w:w w:val="105"/>
          <w:sz w:val="27"/>
        </w:rPr>
        <w:t>— суррогатный маркер среднесрочной эффективности АГТ</w:t>
      </w:r>
      <w:r>
        <w:rPr>
          <w:i/>
          <w:spacing w:val="-48"/>
          <w:w w:val="105"/>
          <w:sz w:val="27"/>
        </w:rPr>
        <w:t> </w:t>
      </w:r>
      <w:r>
        <w:rPr>
          <w:i/>
          <w:w w:val="105"/>
          <w:sz w:val="27"/>
        </w:rPr>
        <w:t>[49].</w:t>
      </w:r>
    </w:p>
    <w:p>
      <w:pPr>
        <w:spacing w:line="256" w:lineRule="auto" w:before="277"/>
        <w:ind w:left="695" w:right="129" w:firstLine="0"/>
        <w:jc w:val="both"/>
        <w:rPr>
          <w:i/>
          <w:sz w:val="27"/>
        </w:rPr>
      </w:pPr>
      <w:r>
        <w:rPr>
          <w:i/>
          <w:w w:val="105"/>
          <w:sz w:val="27"/>
        </w:rPr>
        <w:t>Для выявления ПОМ целесообразно использовать </w:t>
      </w:r>
      <w:r>
        <w:rPr>
          <w:i/>
          <w:w w:val="105"/>
          <w:sz w:val="27"/>
        </w:rPr>
        <w:t>дополнительные методы исследования (таблица П5, приложение Г2): сердца (ЭхоКГ с определением индекса массы миокарда левого желудочка), почек (количественное определение альбуминурии/ протеинурии, определение скорости клубочковой фильтрации), сосудов (наличие атеросклеротических бляшек в брахиоцефальных, почечных и подвздошно-бедренных сосудах, определение лодыжечно-плечевого индекса (ЛПИ), каротидно- феморальной скорости пульсовой волны (СПВ).</w:t>
      </w:r>
    </w:p>
    <w:p>
      <w:pPr>
        <w:spacing w:line="256" w:lineRule="auto" w:before="274"/>
        <w:ind w:left="695" w:right="129" w:firstLine="0"/>
        <w:jc w:val="both"/>
        <w:rPr>
          <w:i/>
          <w:sz w:val="27"/>
        </w:rPr>
      </w:pPr>
      <w:r>
        <w:rPr>
          <w:i/>
          <w:w w:val="105"/>
          <w:sz w:val="27"/>
        </w:rPr>
        <w:t>Наличие</w:t>
      </w:r>
      <w:r>
        <w:rPr>
          <w:i/>
          <w:spacing w:val="-35"/>
          <w:w w:val="105"/>
          <w:sz w:val="27"/>
        </w:rPr>
        <w:t> </w:t>
      </w:r>
      <w:r>
        <w:rPr>
          <w:i/>
          <w:w w:val="105"/>
          <w:sz w:val="27"/>
        </w:rPr>
        <w:t>ПОМ</w:t>
      </w:r>
      <w:r>
        <w:rPr>
          <w:i/>
          <w:spacing w:val="-35"/>
          <w:w w:val="105"/>
          <w:sz w:val="27"/>
        </w:rPr>
        <w:t> </w:t>
      </w:r>
      <w:r>
        <w:rPr>
          <w:i/>
          <w:w w:val="105"/>
          <w:sz w:val="27"/>
        </w:rPr>
        <w:t>способствует</w:t>
      </w:r>
      <w:r>
        <w:rPr>
          <w:i/>
          <w:spacing w:val="-34"/>
          <w:w w:val="105"/>
          <w:sz w:val="27"/>
        </w:rPr>
        <w:t> </w:t>
      </w:r>
      <w:r>
        <w:rPr>
          <w:i/>
          <w:w w:val="105"/>
          <w:sz w:val="27"/>
        </w:rPr>
        <w:t>дальнейшему</w:t>
      </w:r>
      <w:r>
        <w:rPr>
          <w:i/>
          <w:spacing w:val="-35"/>
          <w:w w:val="105"/>
          <w:sz w:val="27"/>
        </w:rPr>
        <w:t> </w:t>
      </w:r>
      <w:r>
        <w:rPr>
          <w:i/>
          <w:w w:val="105"/>
          <w:sz w:val="27"/>
        </w:rPr>
        <w:t>прогрессированию</w:t>
      </w:r>
      <w:r>
        <w:rPr>
          <w:i/>
          <w:spacing w:val="-35"/>
          <w:w w:val="105"/>
          <w:sz w:val="27"/>
        </w:rPr>
        <w:t> </w:t>
      </w:r>
      <w:r>
        <w:rPr>
          <w:i/>
          <w:w w:val="105"/>
          <w:sz w:val="27"/>
        </w:rPr>
        <w:t>ССЗ, </w:t>
      </w:r>
      <w:r>
        <w:rPr>
          <w:i/>
          <w:w w:val="105"/>
          <w:sz w:val="27"/>
        </w:rPr>
        <w:t>что существенно увеличивает риск смерти у таких пациентов по сравнению с пациентами, у которых имеются только ФР (Таблица П2, Приложение Г3). Риск возрастает с увеличением числа органных поражений, ассоциированных с АГ. Уровень </w:t>
      </w:r>
      <w:r>
        <w:rPr>
          <w:i/>
          <w:spacing w:val="-4"/>
          <w:w w:val="105"/>
          <w:sz w:val="27"/>
        </w:rPr>
        <w:t>СС </w:t>
      </w:r>
      <w:r>
        <w:rPr>
          <w:i/>
          <w:w w:val="105"/>
          <w:sz w:val="27"/>
        </w:rPr>
        <w:t>риска у ряда пациентов может быть выше, чем он определен по стандартной</w:t>
      </w:r>
      <w:r>
        <w:rPr>
          <w:i/>
          <w:spacing w:val="-26"/>
          <w:w w:val="105"/>
          <w:sz w:val="27"/>
        </w:rPr>
        <w:t> </w:t>
      </w:r>
      <w:r>
        <w:rPr>
          <w:i/>
          <w:w w:val="105"/>
          <w:sz w:val="27"/>
        </w:rPr>
        <w:t>системе</w:t>
      </w:r>
      <w:r>
        <w:rPr>
          <w:i/>
          <w:spacing w:val="-26"/>
          <w:w w:val="105"/>
          <w:sz w:val="27"/>
        </w:rPr>
        <w:t> </w:t>
      </w:r>
      <w:r>
        <w:rPr>
          <w:i/>
          <w:w w:val="105"/>
          <w:sz w:val="27"/>
        </w:rPr>
        <w:t>стратификации</w:t>
      </w:r>
      <w:r>
        <w:rPr>
          <w:i/>
          <w:spacing w:val="-25"/>
          <w:w w:val="105"/>
          <w:sz w:val="27"/>
        </w:rPr>
        <w:t> </w:t>
      </w:r>
      <w:r>
        <w:rPr>
          <w:i/>
          <w:w w:val="105"/>
          <w:sz w:val="27"/>
        </w:rPr>
        <w:t>(Таблица</w:t>
      </w:r>
      <w:r>
        <w:rPr>
          <w:i/>
          <w:spacing w:val="-26"/>
          <w:w w:val="105"/>
          <w:sz w:val="27"/>
        </w:rPr>
        <w:t> </w:t>
      </w:r>
      <w:r>
        <w:rPr>
          <w:i/>
          <w:w w:val="105"/>
          <w:sz w:val="27"/>
        </w:rPr>
        <w:t>П1,</w:t>
      </w:r>
      <w:r>
        <w:rPr>
          <w:i/>
          <w:spacing w:val="-26"/>
          <w:w w:val="105"/>
          <w:sz w:val="27"/>
        </w:rPr>
        <w:t> </w:t>
      </w:r>
      <w:r>
        <w:rPr>
          <w:i/>
          <w:w w:val="105"/>
          <w:sz w:val="27"/>
        </w:rPr>
        <w:t>Приложение Г3):</w:t>
      </w:r>
    </w:p>
    <w:p>
      <w:pPr>
        <w:spacing w:line="256" w:lineRule="auto" w:before="273"/>
        <w:ind w:left="695" w:right="131" w:firstLine="0"/>
        <w:jc w:val="both"/>
        <w:rPr>
          <w:i/>
          <w:sz w:val="27"/>
        </w:rPr>
      </w:pPr>
      <w:r>
        <w:rPr/>
        <w:pict>
          <v:shape style="position:absolute;margin-left:91.538452pt;margin-top:21.069494pt;width:4.55pt;height:4.5pt;mso-position-horizontal-relative:page;mso-position-vertical-relative:paragraph;z-index:15772160" coordorigin="1831,421" coordsize="91,90" path="m1888,511l1863,511,1853,507,1835,489,1831,479,1831,454,1835,443,1853,426,1863,421,1888,421,1899,426,1916,443,1921,454,1921,466,1921,479,1916,489,1899,507,1888,511xe" filled="true" fillcolor="#000000" stroked="false">
            <v:path arrowok="t"/>
            <v:fill type="solid"/>
            <w10:wrap type="none"/>
          </v:shape>
        </w:pict>
      </w:r>
      <w:r>
        <w:rPr>
          <w:i/>
          <w:w w:val="110"/>
          <w:sz w:val="27"/>
        </w:rPr>
        <w:t>при</w:t>
      </w:r>
      <w:r>
        <w:rPr>
          <w:i/>
          <w:spacing w:val="-14"/>
          <w:w w:val="110"/>
          <w:sz w:val="27"/>
        </w:rPr>
        <w:t> </w:t>
      </w:r>
      <w:r>
        <w:rPr>
          <w:i/>
          <w:w w:val="110"/>
          <w:sz w:val="27"/>
        </w:rPr>
        <w:t>малоподвижном</w:t>
      </w:r>
      <w:r>
        <w:rPr>
          <w:i/>
          <w:spacing w:val="-14"/>
          <w:w w:val="110"/>
          <w:sz w:val="27"/>
        </w:rPr>
        <w:t> </w:t>
      </w:r>
      <w:r>
        <w:rPr>
          <w:i/>
          <w:w w:val="110"/>
          <w:sz w:val="27"/>
        </w:rPr>
        <w:t>образе</w:t>
      </w:r>
      <w:r>
        <w:rPr>
          <w:i/>
          <w:spacing w:val="-14"/>
          <w:w w:val="110"/>
          <w:sz w:val="27"/>
        </w:rPr>
        <w:t> </w:t>
      </w:r>
      <w:r>
        <w:rPr>
          <w:i/>
          <w:w w:val="110"/>
          <w:sz w:val="27"/>
        </w:rPr>
        <w:t>жизни</w:t>
      </w:r>
      <w:r>
        <w:rPr>
          <w:i/>
          <w:spacing w:val="-14"/>
          <w:w w:val="110"/>
          <w:sz w:val="27"/>
        </w:rPr>
        <w:t> </w:t>
      </w:r>
      <w:r>
        <w:rPr>
          <w:i/>
          <w:w w:val="110"/>
          <w:sz w:val="27"/>
        </w:rPr>
        <w:t>у</w:t>
      </w:r>
      <w:r>
        <w:rPr>
          <w:i/>
          <w:spacing w:val="-14"/>
          <w:w w:val="110"/>
          <w:sz w:val="27"/>
        </w:rPr>
        <w:t> </w:t>
      </w:r>
      <w:r>
        <w:rPr>
          <w:i/>
          <w:w w:val="110"/>
          <w:sz w:val="27"/>
        </w:rPr>
        <w:t>пациентов</w:t>
      </w:r>
      <w:r>
        <w:rPr>
          <w:i/>
          <w:spacing w:val="-13"/>
          <w:w w:val="110"/>
          <w:sz w:val="27"/>
        </w:rPr>
        <w:t> </w:t>
      </w:r>
      <w:r>
        <w:rPr>
          <w:i/>
          <w:w w:val="110"/>
          <w:sz w:val="27"/>
        </w:rPr>
        <w:t>с</w:t>
      </w:r>
      <w:r>
        <w:rPr>
          <w:i/>
          <w:spacing w:val="-14"/>
          <w:w w:val="110"/>
          <w:sz w:val="27"/>
        </w:rPr>
        <w:t> </w:t>
      </w:r>
      <w:r>
        <w:rPr>
          <w:i/>
          <w:w w:val="110"/>
          <w:sz w:val="27"/>
        </w:rPr>
        <w:t>центральным </w:t>
      </w:r>
      <w:r>
        <w:rPr>
          <w:i/>
          <w:w w:val="105"/>
          <w:sz w:val="27"/>
        </w:rPr>
        <w:t>ожирением (увеличение относительного риска, ассоциированного </w:t>
      </w:r>
      <w:r>
        <w:rPr>
          <w:i/>
          <w:w w:val="110"/>
          <w:sz w:val="27"/>
        </w:rPr>
        <w:t>с ожирением, более выражено у молодых, чем у пожилых пациентов);</w:t>
      </w:r>
    </w:p>
    <w:p>
      <w:pPr>
        <w:spacing w:before="2"/>
        <w:ind w:left="695" w:right="0" w:firstLine="0"/>
        <w:jc w:val="both"/>
        <w:rPr>
          <w:i/>
          <w:sz w:val="27"/>
        </w:rPr>
      </w:pPr>
      <w:r>
        <w:rPr/>
        <w:pict>
          <v:shape style="position:absolute;margin-left:91.538452pt;margin-top:7.519492pt;width:4.55pt;height:4.5pt;mso-position-horizontal-relative:page;mso-position-vertical-relative:paragraph;z-index:15772672" coordorigin="1831,150" coordsize="91,90" path="m1888,240l1863,240,1853,236,1835,218,1831,208,1831,183,1835,172,1853,155,1863,150,1888,150,1899,155,1916,172,1921,183,1921,195,1921,208,1916,218,1899,236,1888,240xe" filled="true" fillcolor="#000000" stroked="false">
            <v:path arrowok="t"/>
            <v:fill type="solid"/>
            <w10:wrap type="none"/>
          </v:shape>
        </w:pict>
      </w:r>
      <w:r>
        <w:rPr>
          <w:i/>
          <w:sz w:val="27"/>
        </w:rPr>
        <w:t>у лиц с низким социальным статусом;</w:t>
      </w:r>
    </w:p>
    <w:p>
      <w:pPr>
        <w:spacing w:line="256" w:lineRule="auto" w:before="26"/>
        <w:ind w:left="695" w:right="131" w:firstLine="0"/>
        <w:jc w:val="both"/>
        <w:rPr>
          <w:i/>
          <w:sz w:val="27"/>
        </w:rPr>
      </w:pPr>
      <w:r>
        <w:rPr/>
        <w:pict>
          <v:shape style="position:absolute;margin-left:91.538452pt;margin-top:8.719493pt;width:4.55pt;height:4.55pt;mso-position-horizontal-relative:page;mso-position-vertical-relative:paragraph;z-index:15773184"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i/>
          <w:w w:val="105"/>
          <w:sz w:val="27"/>
        </w:rPr>
        <w:t>у пациентов с повышенным уровнем аполипопротеина В, </w:t>
      </w:r>
      <w:r>
        <w:rPr>
          <w:i/>
          <w:w w:val="105"/>
          <w:sz w:val="27"/>
        </w:rPr>
        <w:t>липопротеина (а) и уровня С-реактивного белка, определенного</w:t>
      </w:r>
    </w:p>
    <w:p>
      <w:pPr>
        <w:spacing w:after="0" w:line="256" w:lineRule="auto"/>
        <w:jc w:val="both"/>
        <w:rPr>
          <w:sz w:val="27"/>
        </w:rPr>
        <w:sectPr>
          <w:pgSz w:w="11900" w:h="16840"/>
          <w:pgMar w:top="0" w:bottom="0" w:left="1420" w:right="1520"/>
        </w:sectPr>
      </w:pPr>
    </w:p>
    <w:p>
      <w:pPr>
        <w:spacing w:before="16"/>
        <w:ind w:left="695" w:right="0" w:firstLine="0"/>
        <w:jc w:val="both"/>
        <w:rPr>
          <w:i/>
          <w:sz w:val="27"/>
        </w:rPr>
      </w:pPr>
      <w:r>
        <w:rPr>
          <w:i/>
          <w:w w:val="105"/>
          <w:sz w:val="27"/>
        </w:rPr>
        <w:t>высокочувствительным методом.</w:t>
      </w:r>
    </w:p>
    <w:p>
      <w:pPr>
        <w:spacing w:line="256" w:lineRule="auto" w:before="296"/>
        <w:ind w:left="695" w:right="132" w:firstLine="0"/>
        <w:jc w:val="both"/>
        <w:rPr>
          <w:i/>
          <w:sz w:val="27"/>
        </w:rPr>
      </w:pPr>
      <w:r>
        <w:rPr>
          <w:i/>
          <w:spacing w:val="-3"/>
          <w:w w:val="105"/>
          <w:sz w:val="27"/>
        </w:rPr>
        <w:t>Как </w:t>
      </w:r>
      <w:r>
        <w:rPr>
          <w:i/>
          <w:w w:val="105"/>
          <w:sz w:val="27"/>
        </w:rPr>
        <w:t>в общей популяции, так и у пациентов АГ необходимо </w:t>
      </w:r>
      <w:r>
        <w:rPr>
          <w:i/>
          <w:w w:val="105"/>
          <w:sz w:val="27"/>
        </w:rPr>
        <w:t>учитывать факторы, повышающие </w:t>
      </w:r>
      <w:r>
        <w:rPr>
          <w:i/>
          <w:spacing w:val="-4"/>
          <w:w w:val="105"/>
          <w:sz w:val="27"/>
        </w:rPr>
        <w:t>СС </w:t>
      </w:r>
      <w:r>
        <w:rPr>
          <w:i/>
          <w:w w:val="105"/>
          <w:sz w:val="27"/>
        </w:rPr>
        <w:t>риск (таблица П13, Приложение</w:t>
      </w:r>
      <w:r>
        <w:rPr>
          <w:i/>
          <w:spacing w:val="-24"/>
          <w:w w:val="105"/>
          <w:sz w:val="27"/>
        </w:rPr>
        <w:t> </w:t>
      </w:r>
      <w:r>
        <w:rPr>
          <w:i/>
          <w:w w:val="105"/>
          <w:sz w:val="27"/>
        </w:rPr>
        <w:t>Г2).</w:t>
      </w:r>
      <w:r>
        <w:rPr>
          <w:i/>
          <w:spacing w:val="-23"/>
          <w:w w:val="105"/>
          <w:sz w:val="27"/>
        </w:rPr>
        <w:t> </w:t>
      </w:r>
      <w:r>
        <w:rPr>
          <w:i/>
          <w:w w:val="105"/>
          <w:sz w:val="27"/>
        </w:rPr>
        <w:t>Такие</w:t>
      </w:r>
      <w:r>
        <w:rPr>
          <w:i/>
          <w:spacing w:val="-24"/>
          <w:w w:val="105"/>
          <w:sz w:val="27"/>
        </w:rPr>
        <w:t> </w:t>
      </w:r>
      <w:r>
        <w:rPr>
          <w:i/>
          <w:w w:val="105"/>
          <w:sz w:val="27"/>
        </w:rPr>
        <w:t>модифицирующие</w:t>
      </w:r>
      <w:r>
        <w:rPr>
          <w:i/>
          <w:spacing w:val="-23"/>
          <w:w w:val="105"/>
          <w:sz w:val="27"/>
        </w:rPr>
        <w:t> </w:t>
      </w:r>
      <w:r>
        <w:rPr>
          <w:i/>
          <w:w w:val="105"/>
          <w:sz w:val="27"/>
        </w:rPr>
        <w:t>факторы</w:t>
      </w:r>
      <w:r>
        <w:rPr>
          <w:i/>
          <w:spacing w:val="-24"/>
          <w:w w:val="105"/>
          <w:sz w:val="27"/>
        </w:rPr>
        <w:t> </w:t>
      </w:r>
      <w:r>
        <w:rPr>
          <w:i/>
          <w:w w:val="105"/>
          <w:sz w:val="27"/>
        </w:rPr>
        <w:t>приобретают особое значение у пациентов, относящихся к категории умеренного риска. Наличие модифицирующих факторов может привести к изменению категории риска на более высокую и, соответственно, повлиять на решение о старте и выборе терапии.</w:t>
      </w:r>
    </w:p>
    <w:p>
      <w:pPr>
        <w:pStyle w:val="BodyText"/>
        <w:spacing w:line="256" w:lineRule="auto" w:before="274"/>
        <w:ind w:left="695" w:right="128"/>
      </w:pPr>
      <w:r>
        <w:rPr/>
        <w:pict>
          <v:shape style="position:absolute;margin-left:91.538452pt;margin-top:21.119516pt;width:4.55pt;height:4.55pt;mso-position-horizontal-relative:page;mso-position-vertical-relative:paragraph;z-index:15773696" coordorigin="1831,422" coordsize="91,91" path="m1888,512l1863,512,1853,508,1835,490,1831,480,1831,455,1835,444,1853,427,1863,422,1888,422,1899,427,1916,444,1921,455,1921,467,1921,480,1916,490,1899,508,1888,512xe" filled="true" fillcolor="#000000" stroked="false">
            <v:path arrowok="t"/>
            <v:fill type="solid"/>
            <w10:wrap type="none"/>
          </v:shape>
        </w:pict>
      </w:r>
      <w:r>
        <w:rPr/>
        <w:t>Пациентам с АГ, которые не соответствуют категориям высокого или очень высокого риска при оценке по глобальной шкале 10-летнего </w:t>
      </w:r>
      <w:r>
        <w:rPr>
          <w:spacing w:val="-4"/>
        </w:rPr>
        <w:t>СС</w:t>
      </w:r>
      <w:r>
        <w:rPr>
          <w:spacing w:val="59"/>
        </w:rPr>
        <w:t> </w:t>
      </w:r>
      <w:r>
        <w:rPr/>
        <w:t>риска (Таблица П12, Приложение Г2), рекомендуется проводить оценку </w:t>
      </w:r>
      <w:r>
        <w:rPr>
          <w:spacing w:val="-4"/>
        </w:rPr>
        <w:t>СС </w:t>
      </w:r>
      <w:r>
        <w:rPr/>
        <w:t>риска по шкале SCORE (Приложение Г) [49, 50].</w:t>
      </w:r>
    </w:p>
    <w:p>
      <w:pPr>
        <w:pStyle w:val="Heading3"/>
        <w:spacing w:before="272"/>
        <w:jc w:val="both"/>
      </w:pPr>
      <w:r>
        <w:rPr>
          <w:w w:val="105"/>
        </w:rPr>
        <w:t>ЕОК/ЕОАГ IВ (УУР С, УДД 4)</w:t>
      </w:r>
    </w:p>
    <w:p>
      <w:pPr>
        <w:spacing w:line="256" w:lineRule="auto" w:before="296"/>
        <w:ind w:left="695" w:right="128" w:firstLine="0"/>
        <w:jc w:val="both"/>
        <w:rPr>
          <w:i/>
          <w:sz w:val="27"/>
        </w:rPr>
      </w:pPr>
      <w:r>
        <w:rPr>
          <w:b/>
          <w:w w:val="105"/>
          <w:sz w:val="27"/>
        </w:rPr>
        <w:t>Комментарии. </w:t>
      </w:r>
      <w:r>
        <w:rPr>
          <w:i/>
          <w:w w:val="105"/>
          <w:sz w:val="27"/>
        </w:rPr>
        <w:t>Пациенты с АГ с диагностированным </w:t>
      </w:r>
      <w:r>
        <w:rPr>
          <w:i/>
          <w:spacing w:val="-5"/>
          <w:w w:val="105"/>
          <w:sz w:val="27"/>
        </w:rPr>
        <w:t>ССЗ, </w:t>
      </w:r>
      <w:r>
        <w:rPr>
          <w:i/>
          <w:w w:val="105"/>
          <w:sz w:val="27"/>
        </w:rPr>
        <w:t>включая бессимптомные атеросклеротические бляшки со стенозом </w:t>
      </w:r>
      <w:r>
        <w:rPr>
          <w:rFonts w:ascii="Times New Roman" w:hAnsi="Times New Roman"/>
          <w:i/>
          <w:w w:val="105"/>
          <w:sz w:val="27"/>
        </w:rPr>
        <w:t>≥</w:t>
      </w:r>
      <w:r>
        <w:rPr>
          <w:i/>
          <w:w w:val="105"/>
          <w:sz w:val="27"/>
        </w:rPr>
        <w:t>50%, выявленные при визуализации, сахарным </w:t>
      </w:r>
      <w:r>
        <w:rPr>
          <w:i/>
          <w:w w:val="105"/>
          <w:sz w:val="27"/>
        </w:rPr>
        <w:t>диабетом 1-го и 2-го типа, значимо повышенным единственным фактором риска (в том числе — с АГ 3-й степени) или хронической болезнью почек (ХБП, стадии 3–5) автоматически относятся</w:t>
      </w:r>
      <w:r>
        <w:rPr>
          <w:i/>
          <w:spacing w:val="33"/>
          <w:w w:val="105"/>
          <w:sz w:val="27"/>
        </w:rPr>
        <w:t> </w:t>
      </w:r>
      <w:r>
        <w:rPr>
          <w:i/>
          <w:w w:val="105"/>
          <w:sz w:val="27"/>
        </w:rPr>
        <w:t>к</w:t>
      </w:r>
      <w:r>
        <w:rPr>
          <w:i/>
          <w:spacing w:val="34"/>
          <w:w w:val="105"/>
          <w:sz w:val="27"/>
        </w:rPr>
        <w:t> </w:t>
      </w:r>
      <w:r>
        <w:rPr>
          <w:i/>
          <w:w w:val="105"/>
          <w:sz w:val="27"/>
        </w:rPr>
        <w:t>категориям</w:t>
      </w:r>
      <w:r>
        <w:rPr>
          <w:i/>
          <w:spacing w:val="34"/>
          <w:w w:val="105"/>
          <w:sz w:val="27"/>
        </w:rPr>
        <w:t> </w:t>
      </w:r>
      <w:r>
        <w:rPr>
          <w:i/>
          <w:w w:val="105"/>
          <w:sz w:val="27"/>
        </w:rPr>
        <w:t>очень</w:t>
      </w:r>
      <w:r>
        <w:rPr>
          <w:i/>
          <w:spacing w:val="34"/>
          <w:w w:val="105"/>
          <w:sz w:val="27"/>
        </w:rPr>
        <w:t> </w:t>
      </w:r>
      <w:r>
        <w:rPr>
          <w:i/>
          <w:w w:val="105"/>
          <w:sz w:val="27"/>
        </w:rPr>
        <w:t>высокого</w:t>
      </w:r>
      <w:r>
        <w:rPr>
          <w:i/>
          <w:spacing w:val="34"/>
          <w:w w:val="105"/>
          <w:sz w:val="27"/>
        </w:rPr>
        <w:t> </w:t>
      </w:r>
      <w:r>
        <w:rPr>
          <w:i/>
          <w:w w:val="105"/>
          <w:sz w:val="27"/>
        </w:rPr>
        <w:t>(риск</w:t>
      </w:r>
      <w:r>
        <w:rPr>
          <w:i/>
          <w:spacing w:val="34"/>
          <w:w w:val="105"/>
          <w:sz w:val="27"/>
        </w:rPr>
        <w:t> </w:t>
      </w:r>
      <w:r>
        <w:rPr>
          <w:i/>
          <w:spacing w:val="-4"/>
          <w:w w:val="105"/>
          <w:sz w:val="27"/>
        </w:rPr>
        <w:t>СС</w:t>
      </w:r>
      <w:r>
        <w:rPr>
          <w:i/>
          <w:spacing w:val="34"/>
          <w:w w:val="105"/>
          <w:sz w:val="27"/>
        </w:rPr>
        <w:t> </w:t>
      </w:r>
      <w:r>
        <w:rPr>
          <w:i/>
          <w:w w:val="105"/>
          <w:sz w:val="27"/>
        </w:rPr>
        <w:t>смертности</w:t>
      </w:r>
    </w:p>
    <w:p>
      <w:pPr>
        <w:spacing w:before="3"/>
        <w:ind w:left="695" w:right="0" w:firstLine="0"/>
        <w:jc w:val="both"/>
        <w:rPr>
          <w:i/>
          <w:sz w:val="27"/>
        </w:rPr>
      </w:pPr>
      <w:r>
        <w:rPr>
          <w:rFonts w:ascii="Times New Roman" w:hAnsi="Times New Roman"/>
          <w:i/>
          <w:w w:val="105"/>
          <w:sz w:val="27"/>
        </w:rPr>
        <w:t>≥</w:t>
      </w:r>
      <w:r>
        <w:rPr>
          <w:i/>
          <w:w w:val="105"/>
          <w:sz w:val="27"/>
        </w:rPr>
        <w:t>10%)</w:t>
      </w:r>
      <w:r>
        <w:rPr>
          <w:i/>
          <w:spacing w:val="-27"/>
          <w:w w:val="105"/>
          <w:sz w:val="27"/>
        </w:rPr>
        <w:t> </w:t>
      </w:r>
      <w:r>
        <w:rPr>
          <w:i/>
          <w:w w:val="105"/>
          <w:sz w:val="27"/>
        </w:rPr>
        <w:t>или</w:t>
      </w:r>
      <w:r>
        <w:rPr>
          <w:i/>
          <w:spacing w:val="-26"/>
          <w:w w:val="105"/>
          <w:sz w:val="27"/>
        </w:rPr>
        <w:t> </w:t>
      </w:r>
      <w:r>
        <w:rPr>
          <w:i/>
          <w:w w:val="105"/>
          <w:sz w:val="27"/>
        </w:rPr>
        <w:t>высокого</w:t>
      </w:r>
      <w:r>
        <w:rPr>
          <w:i/>
          <w:spacing w:val="-26"/>
          <w:w w:val="105"/>
          <w:sz w:val="27"/>
        </w:rPr>
        <w:t> </w:t>
      </w:r>
      <w:r>
        <w:rPr>
          <w:i/>
          <w:spacing w:val="-3"/>
          <w:w w:val="105"/>
          <w:sz w:val="27"/>
        </w:rPr>
        <w:t>(СС</w:t>
      </w:r>
      <w:r>
        <w:rPr>
          <w:i/>
          <w:spacing w:val="-26"/>
          <w:w w:val="105"/>
          <w:sz w:val="27"/>
        </w:rPr>
        <w:t> </w:t>
      </w:r>
      <w:r>
        <w:rPr>
          <w:i/>
          <w:w w:val="105"/>
          <w:sz w:val="27"/>
        </w:rPr>
        <w:t>смертность</w:t>
      </w:r>
      <w:r>
        <w:rPr>
          <w:i/>
          <w:spacing w:val="-26"/>
          <w:w w:val="105"/>
          <w:sz w:val="27"/>
        </w:rPr>
        <w:t> </w:t>
      </w:r>
      <w:r>
        <w:rPr>
          <w:i/>
          <w:w w:val="105"/>
          <w:sz w:val="27"/>
        </w:rPr>
        <w:t>5–10%)</w:t>
      </w:r>
      <w:r>
        <w:rPr>
          <w:i/>
          <w:spacing w:val="-26"/>
          <w:w w:val="105"/>
          <w:sz w:val="27"/>
        </w:rPr>
        <w:t> </w:t>
      </w:r>
      <w:r>
        <w:rPr>
          <w:i/>
          <w:w w:val="105"/>
          <w:sz w:val="27"/>
        </w:rPr>
        <w:t>10-летнего</w:t>
      </w:r>
      <w:r>
        <w:rPr>
          <w:i/>
          <w:spacing w:val="-26"/>
          <w:w w:val="105"/>
          <w:sz w:val="27"/>
        </w:rPr>
        <w:t> </w:t>
      </w:r>
      <w:r>
        <w:rPr>
          <w:i/>
          <w:spacing w:val="-4"/>
          <w:w w:val="105"/>
          <w:sz w:val="27"/>
        </w:rPr>
        <w:t>СС</w:t>
      </w:r>
      <w:r>
        <w:rPr>
          <w:i/>
          <w:spacing w:val="-26"/>
          <w:w w:val="105"/>
          <w:sz w:val="27"/>
        </w:rPr>
        <w:t> </w:t>
      </w:r>
      <w:r>
        <w:rPr>
          <w:i/>
          <w:w w:val="105"/>
          <w:sz w:val="27"/>
        </w:rPr>
        <w:t>риска.</w:t>
      </w:r>
    </w:p>
    <w:p>
      <w:pPr>
        <w:pStyle w:val="BodyText"/>
        <w:spacing w:before="10"/>
        <w:ind w:left="0"/>
        <w:jc w:val="left"/>
        <w:rPr>
          <w:i/>
          <w:sz w:val="51"/>
        </w:rPr>
      </w:pPr>
    </w:p>
    <w:p>
      <w:pPr>
        <w:pStyle w:val="Heading2"/>
        <w:numPr>
          <w:ilvl w:val="1"/>
          <w:numId w:val="4"/>
        </w:numPr>
        <w:tabs>
          <w:tab w:pos="1039" w:val="left" w:leader="none"/>
        </w:tabs>
        <w:spacing w:line="240" w:lineRule="auto" w:before="0" w:after="0"/>
        <w:ind w:left="1038" w:right="0" w:hanging="659"/>
        <w:jc w:val="left"/>
      </w:pPr>
      <w:r>
        <w:rPr/>
        <w:t>Жалобы и</w:t>
      </w:r>
      <w:r>
        <w:rPr>
          <w:spacing w:val="12"/>
        </w:rPr>
        <w:t> </w:t>
      </w:r>
      <w:r>
        <w:rPr/>
        <w:t>анамнез</w:t>
      </w:r>
    </w:p>
    <w:p>
      <w:pPr>
        <w:pStyle w:val="BodyText"/>
        <w:spacing w:before="8"/>
        <w:ind w:left="0"/>
        <w:jc w:val="left"/>
        <w:rPr>
          <w:b/>
          <w:sz w:val="30"/>
        </w:rPr>
      </w:pPr>
    </w:p>
    <w:p>
      <w:pPr>
        <w:pStyle w:val="BodyText"/>
        <w:spacing w:line="256" w:lineRule="auto" w:before="0"/>
        <w:ind w:left="695" w:right="128"/>
      </w:pPr>
      <w:r>
        <w:rPr/>
        <w:t>Многие пациенты с повышенным АД могут не иметь никаких жалоб. Симптомы (головные боли, одышка, боль в груди, кровотечение из носа, субъективное головокружение, отеки, расстройство зрения, ощущение жара, потливость, приливы), встречающиеся при АГ неспецифичны и могут наблюдаться при других заболеваниях.</w:t>
      </w:r>
    </w:p>
    <w:p>
      <w:pPr>
        <w:pStyle w:val="BodyText"/>
        <w:spacing w:line="256" w:lineRule="auto" w:before="273"/>
        <w:ind w:left="695" w:right="132"/>
      </w:pPr>
      <w:r>
        <w:rPr/>
        <w:t>При наличии перечисленных симптомов у любого пациента необходимо в процессе его обследования учитывать возможность диагностированной АГ.</w:t>
      </w:r>
    </w:p>
    <w:p>
      <w:pPr>
        <w:pStyle w:val="BodyText"/>
        <w:spacing w:line="256" w:lineRule="auto" w:before="271"/>
        <w:ind w:left="695" w:right="136"/>
      </w:pPr>
      <w:r>
        <w:rPr/>
        <w:pict>
          <v:shape style="position:absolute;margin-left:91.538452pt;margin-top:20.969492pt;width:4.55pt;height:4.5pt;mso-position-horizontal-relative:page;mso-position-vertical-relative:paragraph;z-index:15774208"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Рекомендуется собирать полный медицинский и семейный анамнез для оценки семейной предрасположенности к АГ и ССЗ [51, 52].</w:t>
      </w:r>
    </w:p>
    <w:p>
      <w:pPr>
        <w:spacing w:after="0" w:line="256" w:lineRule="auto"/>
        <w:sectPr>
          <w:pgSz w:w="11900" w:h="16840"/>
          <w:pgMar w:top="0" w:bottom="0" w:left="1420" w:right="1520"/>
        </w:sectPr>
      </w:pPr>
    </w:p>
    <w:p>
      <w:pPr>
        <w:pStyle w:val="Heading3"/>
        <w:spacing w:before="16"/>
        <w:jc w:val="both"/>
      </w:pPr>
      <w:r>
        <w:rPr>
          <w:w w:val="105"/>
        </w:rPr>
        <w:t>ЕОК/ЕОАГ нет (УУР С, УДД 4)</w:t>
      </w:r>
    </w:p>
    <w:p>
      <w:pPr>
        <w:spacing w:line="256" w:lineRule="auto" w:before="296"/>
        <w:ind w:left="695" w:right="131" w:firstLine="0"/>
        <w:jc w:val="both"/>
        <w:rPr>
          <w:i/>
          <w:sz w:val="27"/>
        </w:rPr>
      </w:pPr>
      <w:r>
        <w:rPr>
          <w:b/>
          <w:w w:val="105"/>
          <w:sz w:val="27"/>
        </w:rPr>
        <w:t>Комментарии. </w:t>
      </w:r>
      <w:r>
        <w:rPr>
          <w:i/>
          <w:w w:val="105"/>
          <w:sz w:val="27"/>
        </w:rPr>
        <w:t>Сбор анамнеза включает сбор сведений о </w:t>
      </w:r>
      <w:r>
        <w:rPr>
          <w:i/>
          <w:w w:val="105"/>
          <w:sz w:val="27"/>
        </w:rPr>
        <w:t>наличии ФР, субклинических симптомов ПОМ, наличии в анамнезе ССЗ, ЦВБ, ХБП и вторичных форм АГ, образе жизни, предшествующем опыте лечения АГ (таблица П3, Приложение Г1).</w:t>
      </w:r>
    </w:p>
    <w:p>
      <w:pPr>
        <w:pStyle w:val="BodyText"/>
        <w:spacing w:before="0"/>
        <w:ind w:left="0"/>
        <w:jc w:val="left"/>
        <w:rPr>
          <w:i/>
          <w:sz w:val="50"/>
        </w:rPr>
      </w:pPr>
    </w:p>
    <w:p>
      <w:pPr>
        <w:pStyle w:val="Heading2"/>
        <w:numPr>
          <w:ilvl w:val="1"/>
          <w:numId w:val="4"/>
        </w:numPr>
        <w:tabs>
          <w:tab w:pos="1039" w:val="left" w:leader="none"/>
        </w:tabs>
        <w:spacing w:line="240" w:lineRule="auto" w:before="0" w:after="0"/>
        <w:ind w:left="1038" w:right="0" w:hanging="659"/>
        <w:jc w:val="left"/>
      </w:pPr>
      <w:r>
        <w:rPr/>
        <w:t>Физикальное</w:t>
      </w:r>
      <w:r>
        <w:rPr>
          <w:spacing w:val="5"/>
        </w:rPr>
        <w:t> </w:t>
      </w:r>
      <w:r>
        <w:rPr/>
        <w:t>обследование</w:t>
      </w:r>
    </w:p>
    <w:p>
      <w:pPr>
        <w:pStyle w:val="BodyText"/>
        <w:spacing w:before="6"/>
        <w:ind w:left="0"/>
        <w:jc w:val="left"/>
        <w:rPr>
          <w:b/>
          <w:sz w:val="23"/>
        </w:rPr>
      </w:pPr>
    </w:p>
    <w:p>
      <w:pPr>
        <w:pStyle w:val="BodyText"/>
        <w:spacing w:line="256" w:lineRule="auto" w:before="97"/>
        <w:ind w:left="695" w:right="135"/>
      </w:pPr>
      <w:r>
        <w:rPr/>
        <w:pict>
          <v:shape style="position:absolute;margin-left:91.538452pt;margin-top:12.269492pt;width:4.55pt;height:4.55pt;mso-position-horizontal-relative:page;mso-position-vertical-relative:paragraph;z-index:15774720" coordorigin="1831,245" coordsize="91,91" path="m1888,335l1863,335,1853,331,1835,313,1831,303,1831,278,1835,267,1853,250,1863,245,1888,245,1899,250,1916,267,1921,278,1921,290,1921,303,1916,313,1899,331,1888,335xe" filled="true" fillcolor="#000000" stroked="false">
            <v:path arrowok="t"/>
            <v:fill type="solid"/>
            <w10:wrap type="none"/>
          </v:shape>
        </w:pict>
      </w:r>
      <w:r>
        <w:rPr/>
        <w:t>Всем пациентам с АГ рекомендуется определение антропометрических данных для выявления  избыточной  массы тела/ожирения, оценка неврологического статуса и когнитивной функции, исследование глазного дна для выявления гипертонической ретинопатии, пальпация и аускультация сердца и сонных артерий, пальпация и аускультация периферических артерий для выявления патологических шумов, сравнение АД между руками </w:t>
      </w:r>
      <w:r>
        <w:rPr>
          <w:spacing w:val="-4"/>
        </w:rPr>
        <w:t>хотя </w:t>
      </w:r>
      <w:r>
        <w:rPr/>
        <w:t>бы однократно</w:t>
      </w:r>
      <w:r>
        <w:rPr>
          <w:spacing w:val="-2"/>
        </w:rPr>
        <w:t> </w:t>
      </w:r>
      <w:r>
        <w:rPr/>
        <w:t>[21].</w:t>
      </w:r>
    </w:p>
    <w:p>
      <w:pPr>
        <w:pStyle w:val="Heading3"/>
        <w:spacing w:before="274"/>
        <w:jc w:val="both"/>
      </w:pPr>
      <w:r>
        <w:rPr>
          <w:w w:val="105"/>
        </w:rPr>
        <w:t>ЕОК/ЕОАГ нет (УУР C, УДД 5)</w:t>
      </w:r>
    </w:p>
    <w:p>
      <w:pPr>
        <w:spacing w:line="256" w:lineRule="auto" w:before="296"/>
        <w:ind w:left="695" w:right="132" w:firstLine="0"/>
        <w:jc w:val="both"/>
        <w:rPr>
          <w:i/>
          <w:sz w:val="27"/>
        </w:rPr>
      </w:pPr>
      <w:r>
        <w:rPr>
          <w:b/>
          <w:w w:val="105"/>
          <w:sz w:val="27"/>
        </w:rPr>
        <w:t>Комментарии. </w:t>
      </w:r>
      <w:r>
        <w:rPr>
          <w:i/>
          <w:w w:val="105"/>
          <w:sz w:val="27"/>
        </w:rPr>
        <w:t>Объективное исследование пациента с АГ </w:t>
      </w:r>
      <w:r>
        <w:rPr>
          <w:i/>
          <w:w w:val="105"/>
          <w:sz w:val="27"/>
        </w:rPr>
        <w:t>направлено на выявление ФР, признаков вторичных форм АГ и ПОМ. В таблице П3, Приложение Г2 суммированы основные положения</w:t>
      </w:r>
      <w:r>
        <w:rPr>
          <w:i/>
          <w:spacing w:val="-19"/>
          <w:w w:val="105"/>
          <w:sz w:val="27"/>
        </w:rPr>
        <w:t> </w:t>
      </w:r>
      <w:r>
        <w:rPr>
          <w:i/>
          <w:w w:val="105"/>
          <w:sz w:val="27"/>
        </w:rPr>
        <w:t>и</w:t>
      </w:r>
      <w:r>
        <w:rPr>
          <w:i/>
          <w:spacing w:val="-18"/>
          <w:w w:val="105"/>
          <w:sz w:val="27"/>
        </w:rPr>
        <w:t> </w:t>
      </w:r>
      <w:r>
        <w:rPr>
          <w:i/>
          <w:w w:val="105"/>
          <w:sz w:val="27"/>
        </w:rPr>
        <w:t>требования</w:t>
      </w:r>
      <w:r>
        <w:rPr>
          <w:i/>
          <w:spacing w:val="-19"/>
          <w:w w:val="105"/>
          <w:sz w:val="27"/>
        </w:rPr>
        <w:t> </w:t>
      </w:r>
      <w:r>
        <w:rPr>
          <w:i/>
          <w:w w:val="105"/>
          <w:sz w:val="27"/>
        </w:rPr>
        <w:t>к</w:t>
      </w:r>
      <w:r>
        <w:rPr>
          <w:i/>
          <w:spacing w:val="-18"/>
          <w:w w:val="105"/>
          <w:sz w:val="27"/>
        </w:rPr>
        <w:t> </w:t>
      </w:r>
      <w:r>
        <w:rPr>
          <w:i/>
          <w:w w:val="105"/>
          <w:sz w:val="27"/>
        </w:rPr>
        <w:t>клиническому</w:t>
      </w:r>
      <w:r>
        <w:rPr>
          <w:i/>
          <w:spacing w:val="-18"/>
          <w:w w:val="105"/>
          <w:sz w:val="27"/>
        </w:rPr>
        <w:t> </w:t>
      </w:r>
      <w:r>
        <w:rPr>
          <w:i/>
          <w:w w:val="105"/>
          <w:sz w:val="27"/>
        </w:rPr>
        <w:t>обследованию</w:t>
      </w:r>
      <w:r>
        <w:rPr>
          <w:i/>
          <w:spacing w:val="-19"/>
          <w:w w:val="105"/>
          <w:sz w:val="27"/>
        </w:rPr>
        <w:t> </w:t>
      </w:r>
      <w:r>
        <w:rPr>
          <w:i/>
          <w:w w:val="105"/>
          <w:sz w:val="27"/>
        </w:rPr>
        <w:t>пациента.</w:t>
      </w:r>
    </w:p>
    <w:p>
      <w:pPr>
        <w:pStyle w:val="BodyText"/>
        <w:spacing w:line="256" w:lineRule="auto" w:before="271"/>
        <w:ind w:left="695" w:right="136"/>
      </w:pPr>
      <w:r>
        <w:rPr/>
        <w:pict>
          <v:shape style="position:absolute;margin-left:91.538452pt;margin-top:20.969492pt;width:4.55pt;height:4.55pt;mso-position-horizontal-relative:page;mso-position-vertical-relative:paragraph;z-index:15775232"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t>Всем пациентам с АГ рекомендуется пальпировать пульс в покое для измерения его частоты и ритмичности с целью выявления аритмий [21; 32; 43].</w:t>
      </w:r>
    </w:p>
    <w:p>
      <w:pPr>
        <w:spacing w:before="272"/>
        <w:ind w:left="695" w:right="0" w:firstLine="0"/>
        <w:jc w:val="both"/>
        <w:rPr>
          <w:b/>
          <w:sz w:val="27"/>
        </w:rPr>
      </w:pPr>
      <w:r>
        <w:rPr>
          <w:b/>
          <w:w w:val="105"/>
          <w:sz w:val="27"/>
        </w:rPr>
        <w:t>ЕОК/ЕОАГ IС (УУР В, УДД 2)</w:t>
      </w:r>
    </w:p>
    <w:p>
      <w:pPr>
        <w:pStyle w:val="BodyText"/>
        <w:spacing w:before="10"/>
        <w:ind w:left="0"/>
        <w:jc w:val="left"/>
        <w:rPr>
          <w:b/>
          <w:sz w:val="51"/>
        </w:rPr>
      </w:pPr>
    </w:p>
    <w:p>
      <w:pPr>
        <w:pStyle w:val="Heading2"/>
      </w:pPr>
      <w:r>
        <w:rPr/>
        <w:t>2.7 Лабораторная диагностика</w:t>
      </w:r>
    </w:p>
    <w:p>
      <w:pPr>
        <w:pStyle w:val="BodyText"/>
        <w:spacing w:before="8"/>
        <w:ind w:left="0"/>
        <w:jc w:val="left"/>
        <w:rPr>
          <w:b/>
          <w:sz w:val="30"/>
        </w:rPr>
      </w:pPr>
    </w:p>
    <w:p>
      <w:pPr>
        <w:pStyle w:val="BodyText"/>
        <w:spacing w:line="256" w:lineRule="auto" w:before="0"/>
        <w:ind w:left="695" w:right="130"/>
      </w:pPr>
      <w:r>
        <w:rPr/>
        <w:t>Для установления диагноза АГ лабораторная диагностика не требуется, однако, она необходима с целью исключения вторичных форм АГ, выявления ПОМ, оценки </w:t>
      </w:r>
      <w:r>
        <w:rPr>
          <w:spacing w:val="-4"/>
        </w:rPr>
        <w:t>СС</w:t>
      </w:r>
      <w:r>
        <w:rPr>
          <w:spacing w:val="59"/>
        </w:rPr>
        <w:t> </w:t>
      </w:r>
      <w:r>
        <w:rPr/>
        <w:t>риска, и сопутствующей патологии, влияющей на эффективность лечения и качество жизни пациента.</w:t>
      </w:r>
    </w:p>
    <w:p>
      <w:pPr>
        <w:pStyle w:val="BodyText"/>
        <w:tabs>
          <w:tab w:pos="3046" w:val="left" w:leader="none"/>
          <w:tab w:pos="5679" w:val="left" w:leader="none"/>
          <w:tab w:pos="7903" w:val="left" w:leader="none"/>
        </w:tabs>
        <w:spacing w:line="256" w:lineRule="auto" w:before="272"/>
        <w:ind w:left="695" w:right="131"/>
      </w:pPr>
      <w:r>
        <w:rPr/>
        <w:pict>
          <v:shape style="position:absolute;margin-left:91.538452pt;margin-top:21.019491pt;width:4.55pt;height:4.5pt;mso-position-horizontal-relative:page;mso-position-vertical-relative:paragraph;z-index:15775744"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с целью исключения вторичной гипертензии</w:t>
        <w:tab/>
        <w:t>рекомендуется</w:t>
        <w:tab/>
        <w:t>проведение</w:t>
        <w:tab/>
      </w:r>
      <w:r>
        <w:rPr>
          <w:spacing w:val="-4"/>
        </w:rPr>
        <w:t>общего</w:t>
      </w:r>
    </w:p>
    <w:p>
      <w:pPr>
        <w:spacing w:after="0" w:line="256" w:lineRule="auto"/>
        <w:sectPr>
          <w:pgSz w:w="11900" w:h="16840"/>
          <w:pgMar w:top="0" w:bottom="0" w:left="1420" w:right="1520"/>
        </w:sectPr>
      </w:pPr>
    </w:p>
    <w:p>
      <w:pPr>
        <w:pStyle w:val="BodyText"/>
        <w:spacing w:line="256" w:lineRule="auto" w:before="16"/>
        <w:ind w:left="695" w:right="135"/>
      </w:pPr>
      <w:r>
        <w:rPr/>
        <w:t>(клинического) анализа крови (гемоглобин/гематокрит, лейкоциты, тромбоциты) [21, 22].</w:t>
      </w:r>
    </w:p>
    <w:p>
      <w:pPr>
        <w:pStyle w:val="Heading3"/>
        <w:ind w:left="768"/>
        <w:jc w:val="both"/>
      </w:pPr>
      <w:r>
        <w:rPr>
          <w:w w:val="105"/>
        </w:rPr>
        <w:t>ЕОК/ЕОАГ нет (УУР C, УДД 5)</w:t>
      </w:r>
    </w:p>
    <w:p>
      <w:pPr>
        <w:pStyle w:val="BodyText"/>
        <w:spacing w:line="256" w:lineRule="auto" w:before="296"/>
        <w:ind w:left="695" w:right="136"/>
      </w:pPr>
      <w:r>
        <w:rPr/>
        <w:pict>
          <v:shape style="position:absolute;margin-left:91.538452pt;margin-top:22.219461pt;width:4.55pt;height:4.5pt;mso-position-horizontal-relative:page;mso-position-vertical-relative:paragraph;z-index:15776256"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Для выявления предиабета, СД и оценки сердечно-сосудистого </w:t>
      </w:r>
      <w:r>
        <w:rPr>
          <w:w w:val="105"/>
        </w:rPr>
        <w:t>риска всем пациентам с АГ рекомендуется исследование уровня глюкозы в венозной крови [53,54,55,56,57, 302].</w:t>
      </w:r>
    </w:p>
    <w:p>
      <w:pPr>
        <w:pStyle w:val="Heading3"/>
        <w:spacing w:before="272"/>
        <w:jc w:val="both"/>
      </w:pPr>
      <w:r>
        <w:rPr>
          <w:w w:val="105"/>
        </w:rPr>
        <w:t>ЕОК/ЕОАГ нет (УУР C, УДД 5)</w:t>
      </w:r>
    </w:p>
    <w:p>
      <w:pPr>
        <w:tabs>
          <w:tab w:pos="7194" w:val="left" w:leader="none"/>
        </w:tabs>
        <w:spacing w:line="256" w:lineRule="auto" w:before="296"/>
        <w:ind w:left="695" w:right="128" w:firstLine="0"/>
        <w:jc w:val="both"/>
        <w:rPr>
          <w:i/>
          <w:sz w:val="27"/>
        </w:rPr>
      </w:pPr>
      <w:r>
        <w:rPr>
          <w:b/>
          <w:w w:val="105"/>
          <w:sz w:val="27"/>
        </w:rPr>
        <w:t>Комментарии. </w:t>
      </w:r>
      <w:r>
        <w:rPr>
          <w:i/>
          <w:w w:val="105"/>
          <w:sz w:val="27"/>
        </w:rPr>
        <w:t>При значениях глюкозы </w:t>
      </w:r>
      <w:r>
        <w:rPr>
          <w:rFonts w:ascii="Times New Roman" w:hAnsi="Times New Roman"/>
          <w:i/>
          <w:w w:val="105"/>
          <w:sz w:val="27"/>
        </w:rPr>
        <w:t>≥ </w:t>
      </w:r>
      <w:r>
        <w:rPr>
          <w:i/>
          <w:w w:val="105"/>
          <w:sz w:val="27"/>
        </w:rPr>
        <w:t>6,1 ммоль/Л следует </w:t>
      </w:r>
      <w:r>
        <w:rPr>
          <w:i/>
          <w:w w:val="105"/>
          <w:sz w:val="27"/>
        </w:rPr>
        <w:t>повторно определить ее уровень во всех случаях, кроме несомненной гипергликемии с острой метаболической декомпенсацией или очевидными симптомами. В качестве теста, подтверждающего гипергликемию, может быть определение гликированного гемоглобина (НвА1с). Диагноз </w:t>
      </w:r>
      <w:r>
        <w:rPr>
          <w:i/>
          <w:spacing w:val="-4"/>
          <w:w w:val="105"/>
          <w:sz w:val="27"/>
        </w:rPr>
        <w:t>СД </w:t>
      </w:r>
      <w:r>
        <w:rPr>
          <w:i/>
          <w:w w:val="105"/>
          <w:sz w:val="27"/>
        </w:rPr>
        <w:t>устанавливают на основании двух цифр, находящихся в диабетическом диапазоне: дважды определенный HbA1c или однократное определение HbA1c и однократное определение уровня глюкозы крови. Значения перечисленных параметров оценки гликемии выше нормальных, но ниже диабетических, указывают       на     </w:t>
      </w:r>
      <w:r>
        <w:rPr>
          <w:i/>
          <w:spacing w:val="30"/>
          <w:w w:val="105"/>
          <w:sz w:val="27"/>
        </w:rPr>
        <w:t> </w:t>
      </w:r>
      <w:r>
        <w:rPr>
          <w:i/>
          <w:w w:val="105"/>
          <w:sz w:val="27"/>
        </w:rPr>
        <w:t>наличие     </w:t>
      </w:r>
      <w:r>
        <w:rPr>
          <w:i/>
          <w:spacing w:val="51"/>
          <w:w w:val="105"/>
          <w:sz w:val="27"/>
        </w:rPr>
        <w:t> </w:t>
      </w:r>
      <w:r>
        <w:rPr>
          <w:i/>
          <w:w w:val="105"/>
          <w:sz w:val="27"/>
        </w:rPr>
        <w:t>предиабета.</w:t>
        <w:tab/>
      </w:r>
      <w:r>
        <w:rPr>
          <w:i/>
          <w:spacing w:val="-2"/>
          <w:w w:val="105"/>
          <w:sz w:val="27"/>
        </w:rPr>
        <w:t>Пероральный </w:t>
      </w:r>
      <w:r>
        <w:rPr>
          <w:i/>
          <w:w w:val="105"/>
          <w:sz w:val="27"/>
        </w:rPr>
        <w:t>глюкозотолерантный тест (ПГТТ) проводится в сомнительных случаях для уточнения диагноза </w:t>
      </w:r>
      <w:r>
        <w:rPr>
          <w:i/>
          <w:spacing w:val="-3"/>
          <w:w w:val="105"/>
          <w:sz w:val="27"/>
        </w:rPr>
        <w:t>СД, </w:t>
      </w:r>
      <w:r>
        <w:rPr>
          <w:i/>
          <w:w w:val="105"/>
          <w:sz w:val="27"/>
        </w:rPr>
        <w:t>а также для выявления предиабета. Гликированный гемоглобин (НвА1с) может быть использован для диагностики </w:t>
      </w:r>
      <w:r>
        <w:rPr>
          <w:i/>
          <w:spacing w:val="-4"/>
          <w:w w:val="105"/>
          <w:sz w:val="27"/>
        </w:rPr>
        <w:t>СД </w:t>
      </w:r>
      <w:r>
        <w:rPr>
          <w:i/>
          <w:w w:val="105"/>
          <w:sz w:val="27"/>
        </w:rPr>
        <w:t>и предиабета, если метод его определения сертифицирован в соответствии с National Glycohemoglobin Standartization Program (NGSP), или International Federation of Clinical Chemists (IFCC) и стандартизованного в соответствии с референсными значениями, принятыми в Diabetes Control and Complications Trial (DCCT). При наличии </w:t>
      </w:r>
      <w:r>
        <w:rPr>
          <w:i/>
          <w:spacing w:val="-4"/>
          <w:w w:val="105"/>
          <w:sz w:val="27"/>
        </w:rPr>
        <w:t>СД </w:t>
      </w:r>
      <w:r>
        <w:rPr>
          <w:i/>
          <w:w w:val="105"/>
          <w:sz w:val="27"/>
        </w:rPr>
        <w:t>рекомендуется стратификация пациента в категорию высокого или очень высокого сердечно-сосудистого</w:t>
      </w:r>
      <w:r>
        <w:rPr>
          <w:i/>
          <w:spacing w:val="-17"/>
          <w:w w:val="105"/>
          <w:sz w:val="27"/>
        </w:rPr>
        <w:t> </w:t>
      </w:r>
      <w:r>
        <w:rPr>
          <w:i/>
          <w:w w:val="105"/>
          <w:sz w:val="27"/>
        </w:rPr>
        <w:t>риска</w:t>
      </w:r>
    </w:p>
    <w:p>
      <w:pPr>
        <w:pStyle w:val="BodyText"/>
        <w:spacing w:line="390" w:lineRule="atLeast" w:before="253"/>
        <w:ind w:left="695" w:right="130"/>
      </w:pPr>
      <w:r>
        <w:rPr/>
        <w:pict>
          <v:shape style="position:absolute;margin-left:91.538452pt;margin-top:21.356358pt;width:4.55pt;height:4.5pt;mso-position-horizontal-relative:page;mso-position-vertical-relative:paragraph;z-index:15776768" coordorigin="1831,427" coordsize="91,90" path="m1888,517l1863,517,1853,513,1835,495,1831,485,1831,460,1835,449,1853,432,1863,427,1888,427,1899,432,1916,449,1921,460,1921,472,1921,485,1916,495,1899,513,1888,517xe" filled="true" fillcolor="#000000" stroked="false">
            <v:path arrowok="t"/>
            <v:fill type="solid"/>
            <w10:wrap type="none"/>
          </v:shape>
        </w:pict>
      </w:r>
      <w:r>
        <w:rPr>
          <w:w w:val="105"/>
        </w:rPr>
        <w:t>Всем пациентам с АГ для выявления нарушения функции почки оценки сердечно-сосудистого риска рекомендуются исследование уровня креатинина в сыворотке крови и</w:t>
      </w:r>
      <w:r>
        <w:rPr>
          <w:spacing w:val="-6"/>
          <w:w w:val="105"/>
        </w:rPr>
        <w:t> </w:t>
      </w:r>
      <w:r>
        <w:rPr>
          <w:w w:val="105"/>
        </w:rPr>
        <w:t>расчет</w:t>
      </w:r>
    </w:p>
    <w:p>
      <w:pPr>
        <w:pStyle w:val="BodyText"/>
        <w:spacing w:line="391" w:lineRule="exact" w:before="0"/>
        <w:ind w:left="695"/>
        <w:jc w:val="left"/>
      </w:pPr>
      <w:r>
        <w:rPr>
          <w:w w:val="105"/>
        </w:rPr>
        <w:t>скорости</w:t>
      </w:r>
      <w:r>
        <w:rPr>
          <w:spacing w:val="-22"/>
          <w:w w:val="105"/>
        </w:rPr>
        <w:t> </w:t>
      </w:r>
      <w:r>
        <w:rPr>
          <w:w w:val="105"/>
        </w:rPr>
        <w:t>клубочковой</w:t>
      </w:r>
      <w:r>
        <w:rPr>
          <w:spacing w:val="-21"/>
          <w:w w:val="105"/>
        </w:rPr>
        <w:t> </w:t>
      </w:r>
      <w:r>
        <w:rPr>
          <w:w w:val="105"/>
        </w:rPr>
        <w:t>фильтрации</w:t>
      </w:r>
      <w:r>
        <w:rPr>
          <w:spacing w:val="-21"/>
          <w:w w:val="105"/>
        </w:rPr>
        <w:t> </w:t>
      </w:r>
      <w:r>
        <w:rPr>
          <w:w w:val="105"/>
        </w:rPr>
        <w:t>(СКФ)</w:t>
      </w:r>
      <w:r>
        <w:rPr>
          <w:spacing w:val="-21"/>
          <w:w w:val="105"/>
        </w:rPr>
        <w:t> </w:t>
      </w:r>
      <w:r>
        <w:rPr>
          <w:w w:val="105"/>
        </w:rPr>
        <w:t>в</w:t>
      </w:r>
      <w:r>
        <w:rPr>
          <w:spacing w:val="-21"/>
          <w:w w:val="105"/>
        </w:rPr>
        <w:t> </w:t>
      </w:r>
      <w:r>
        <w:rPr>
          <w:w w:val="105"/>
        </w:rPr>
        <w:t>мл/мин/1,73м</w:t>
      </w:r>
      <w:r>
        <w:rPr>
          <w:w w:val="105"/>
          <w:position w:val="14"/>
        </w:rPr>
        <w:t>2</w:t>
      </w:r>
      <w:r>
        <w:rPr>
          <w:spacing w:val="-17"/>
          <w:w w:val="105"/>
          <w:position w:val="14"/>
        </w:rPr>
        <w:t> </w:t>
      </w:r>
      <w:r>
        <w:rPr>
          <w:w w:val="105"/>
        </w:rPr>
        <w:t>по</w:t>
      </w:r>
    </w:p>
    <w:p>
      <w:pPr>
        <w:pStyle w:val="BodyText"/>
        <w:spacing w:line="256" w:lineRule="auto" w:before="26"/>
        <w:ind w:left="695" w:right="132"/>
      </w:pPr>
      <w:r>
        <w:rPr/>
        <w:t>формуле Chronic Kidney Disease Epidemiology (CKD-EPI) [58] в специальных калькуляторах (Таблица П3, Приложение Г3) [21, 22, 58].</w:t>
      </w:r>
    </w:p>
    <w:p>
      <w:pPr>
        <w:pStyle w:val="Heading3"/>
        <w:jc w:val="both"/>
      </w:pPr>
      <w:r>
        <w:rPr>
          <w:w w:val="105"/>
        </w:rPr>
        <w:t>ЕОК/ЕОАГ IВ (УУР B, УДД 2)</w:t>
      </w:r>
    </w:p>
    <w:p>
      <w:pPr>
        <w:spacing w:after="0"/>
        <w:jc w:val="both"/>
        <w:sectPr>
          <w:pgSz w:w="11900" w:h="16840"/>
          <w:pgMar w:top="0" w:bottom="280" w:left="1420" w:right="1520"/>
        </w:sectPr>
      </w:pPr>
    </w:p>
    <w:p>
      <w:pPr>
        <w:spacing w:before="16"/>
        <w:ind w:left="695" w:right="0" w:firstLine="0"/>
        <w:jc w:val="both"/>
        <w:rPr>
          <w:i/>
          <w:sz w:val="27"/>
        </w:rPr>
      </w:pPr>
      <w:r>
        <w:rPr>
          <w:b/>
          <w:sz w:val="27"/>
        </w:rPr>
        <w:t>Комментарии.    </w:t>
      </w:r>
      <w:r>
        <w:rPr>
          <w:i/>
          <w:sz w:val="27"/>
        </w:rPr>
        <w:t>Выполняется    у    всех    пациентов    с    АГ </w:t>
      </w:r>
      <w:r>
        <w:rPr>
          <w:i/>
          <w:spacing w:val="67"/>
          <w:sz w:val="27"/>
        </w:rPr>
        <w:t> </w:t>
      </w:r>
      <w:r>
        <w:rPr>
          <w:i/>
          <w:sz w:val="27"/>
        </w:rPr>
        <w:t>для</w:t>
      </w:r>
    </w:p>
    <w:p>
      <w:pPr>
        <w:spacing w:line="184" w:lineRule="auto" w:before="91"/>
        <w:ind w:left="695" w:right="137" w:firstLine="0"/>
        <w:jc w:val="both"/>
        <w:rPr>
          <w:i/>
          <w:sz w:val="27"/>
        </w:rPr>
      </w:pPr>
      <w:r>
        <w:rPr>
          <w:i/>
          <w:w w:val="105"/>
          <w:sz w:val="27"/>
        </w:rPr>
        <w:t>выявления ХБП в связи с тем, что снижение </w:t>
      </w:r>
      <w:r>
        <w:rPr>
          <w:i/>
          <w:spacing w:val="-4"/>
          <w:w w:val="105"/>
          <w:sz w:val="27"/>
        </w:rPr>
        <w:t>СКФ </w:t>
      </w:r>
      <w:r>
        <w:rPr>
          <w:i/>
          <w:w w:val="105"/>
          <w:sz w:val="27"/>
        </w:rPr>
        <w:t>&lt;60 мл/ </w:t>
      </w:r>
      <w:r>
        <w:rPr>
          <w:i/>
          <w:w w:val="105"/>
          <w:sz w:val="27"/>
        </w:rPr>
        <w:t>мин/1,73м</w:t>
      </w:r>
      <w:r>
        <w:rPr>
          <w:i/>
          <w:w w:val="105"/>
          <w:position w:val="14"/>
          <w:sz w:val="27"/>
        </w:rPr>
        <w:t>2</w:t>
      </w:r>
      <w:r>
        <w:rPr>
          <w:i/>
          <w:spacing w:val="-20"/>
          <w:w w:val="105"/>
          <w:position w:val="14"/>
          <w:sz w:val="27"/>
        </w:rPr>
        <w:t> </w:t>
      </w:r>
      <w:r>
        <w:rPr>
          <w:i/>
          <w:w w:val="105"/>
          <w:sz w:val="27"/>
        </w:rPr>
        <w:t>является</w:t>
      </w:r>
      <w:r>
        <w:rPr>
          <w:i/>
          <w:spacing w:val="-15"/>
          <w:w w:val="105"/>
          <w:sz w:val="27"/>
        </w:rPr>
        <w:t> </w:t>
      </w:r>
      <w:r>
        <w:rPr>
          <w:i/>
          <w:w w:val="105"/>
          <w:sz w:val="27"/>
        </w:rPr>
        <w:t>значимым</w:t>
      </w:r>
      <w:r>
        <w:rPr>
          <w:i/>
          <w:spacing w:val="-15"/>
          <w:w w:val="105"/>
          <w:sz w:val="27"/>
        </w:rPr>
        <w:t> </w:t>
      </w:r>
      <w:r>
        <w:rPr>
          <w:i/>
          <w:w w:val="105"/>
          <w:sz w:val="27"/>
        </w:rPr>
        <w:t>прогностическим</w:t>
      </w:r>
      <w:r>
        <w:rPr>
          <w:i/>
          <w:spacing w:val="-15"/>
          <w:w w:val="105"/>
          <w:sz w:val="27"/>
        </w:rPr>
        <w:t> </w:t>
      </w:r>
      <w:r>
        <w:rPr>
          <w:i/>
          <w:w w:val="105"/>
          <w:sz w:val="27"/>
        </w:rPr>
        <w:t>фактором</w:t>
      </w:r>
      <w:r>
        <w:rPr>
          <w:i/>
          <w:spacing w:val="-15"/>
          <w:w w:val="105"/>
          <w:sz w:val="27"/>
        </w:rPr>
        <w:t> </w:t>
      </w:r>
      <w:r>
        <w:rPr>
          <w:i/>
          <w:w w:val="105"/>
          <w:sz w:val="27"/>
        </w:rPr>
        <w:t>при</w:t>
      </w:r>
    </w:p>
    <w:p>
      <w:pPr>
        <w:spacing w:line="256" w:lineRule="auto" w:before="15"/>
        <w:ind w:left="695" w:right="128" w:firstLine="0"/>
        <w:jc w:val="both"/>
        <w:rPr>
          <w:i/>
          <w:sz w:val="27"/>
        </w:rPr>
      </w:pPr>
      <w:r>
        <w:rPr>
          <w:i/>
          <w:w w:val="105"/>
          <w:sz w:val="27"/>
        </w:rPr>
        <w:t>АГ [60] и в связи с наличием доказанной связи между даже </w:t>
      </w:r>
      <w:r>
        <w:rPr>
          <w:i/>
          <w:w w:val="105"/>
          <w:sz w:val="27"/>
        </w:rPr>
        <w:t>незначительным снижением </w:t>
      </w:r>
      <w:r>
        <w:rPr>
          <w:i/>
          <w:spacing w:val="-4"/>
          <w:w w:val="105"/>
          <w:sz w:val="27"/>
        </w:rPr>
        <w:t>СКФ </w:t>
      </w:r>
      <w:r>
        <w:rPr>
          <w:i/>
          <w:w w:val="105"/>
          <w:sz w:val="27"/>
        </w:rPr>
        <w:t>и повышением сердечно- сосудистой</w:t>
      </w:r>
      <w:r>
        <w:rPr>
          <w:i/>
          <w:spacing w:val="-9"/>
          <w:w w:val="105"/>
          <w:sz w:val="27"/>
        </w:rPr>
        <w:t> </w:t>
      </w:r>
      <w:r>
        <w:rPr>
          <w:i/>
          <w:w w:val="105"/>
          <w:sz w:val="27"/>
        </w:rPr>
        <w:t>смертности</w:t>
      </w:r>
      <w:r>
        <w:rPr>
          <w:i/>
          <w:spacing w:val="-9"/>
          <w:w w:val="105"/>
          <w:sz w:val="27"/>
        </w:rPr>
        <w:t> </w:t>
      </w:r>
      <w:r>
        <w:rPr>
          <w:i/>
          <w:w w:val="105"/>
          <w:sz w:val="27"/>
        </w:rPr>
        <w:t>[61,</w:t>
      </w:r>
      <w:r>
        <w:rPr>
          <w:i/>
          <w:spacing w:val="-9"/>
          <w:w w:val="105"/>
          <w:sz w:val="27"/>
        </w:rPr>
        <w:t> </w:t>
      </w:r>
      <w:r>
        <w:rPr>
          <w:i/>
          <w:w w:val="105"/>
          <w:sz w:val="27"/>
        </w:rPr>
        <w:t>62].</w:t>
      </w:r>
      <w:r>
        <w:rPr>
          <w:i/>
          <w:spacing w:val="-9"/>
          <w:w w:val="105"/>
          <w:sz w:val="27"/>
        </w:rPr>
        <w:t> </w:t>
      </w:r>
      <w:r>
        <w:rPr>
          <w:i/>
          <w:w w:val="105"/>
          <w:sz w:val="27"/>
        </w:rPr>
        <w:t>Формула</w:t>
      </w:r>
      <w:r>
        <w:rPr>
          <w:i/>
          <w:spacing w:val="-8"/>
          <w:w w:val="105"/>
          <w:sz w:val="27"/>
        </w:rPr>
        <w:t> </w:t>
      </w:r>
      <w:r>
        <w:rPr>
          <w:i/>
          <w:w w:val="105"/>
          <w:sz w:val="27"/>
        </w:rPr>
        <w:t>CKD-EPI</w:t>
      </w:r>
      <w:r>
        <w:rPr>
          <w:i/>
          <w:spacing w:val="-9"/>
          <w:w w:val="105"/>
          <w:sz w:val="27"/>
        </w:rPr>
        <w:t> </w:t>
      </w:r>
      <w:r>
        <w:rPr>
          <w:i/>
          <w:w w:val="105"/>
          <w:sz w:val="27"/>
        </w:rPr>
        <w:t>включает</w:t>
      </w:r>
      <w:r>
        <w:rPr>
          <w:i/>
          <w:spacing w:val="-9"/>
          <w:w w:val="105"/>
          <w:sz w:val="27"/>
        </w:rPr>
        <w:t> </w:t>
      </w:r>
      <w:r>
        <w:rPr>
          <w:i/>
          <w:w w:val="105"/>
          <w:sz w:val="27"/>
        </w:rPr>
        <w:t>те же 4 переменные, что и формула MDRD. Формула CKD-EPI</w:t>
      </w:r>
      <w:r>
        <w:rPr>
          <w:i/>
          <w:spacing w:val="-34"/>
          <w:w w:val="105"/>
          <w:sz w:val="27"/>
        </w:rPr>
        <w:t> </w:t>
      </w:r>
      <w:r>
        <w:rPr>
          <w:i/>
          <w:w w:val="105"/>
          <w:sz w:val="27"/>
        </w:rPr>
        <w:t>дает</w:t>
      </w:r>
    </w:p>
    <w:p>
      <w:pPr>
        <w:spacing w:line="184" w:lineRule="auto" w:before="66"/>
        <w:ind w:left="695" w:right="135" w:firstLine="0"/>
        <w:jc w:val="both"/>
        <w:rPr>
          <w:i/>
          <w:sz w:val="27"/>
        </w:rPr>
      </w:pPr>
      <w:r>
        <w:rPr>
          <w:i/>
          <w:w w:val="105"/>
          <w:sz w:val="27"/>
        </w:rPr>
        <w:t>меньше</w:t>
      </w:r>
      <w:r>
        <w:rPr>
          <w:i/>
          <w:spacing w:val="-32"/>
          <w:w w:val="105"/>
          <w:sz w:val="27"/>
        </w:rPr>
        <w:t> </w:t>
      </w:r>
      <w:r>
        <w:rPr>
          <w:i/>
          <w:w w:val="105"/>
          <w:sz w:val="27"/>
        </w:rPr>
        <w:t>погрешностей,</w:t>
      </w:r>
      <w:r>
        <w:rPr>
          <w:i/>
          <w:spacing w:val="-31"/>
          <w:w w:val="105"/>
          <w:sz w:val="27"/>
        </w:rPr>
        <w:t> </w:t>
      </w:r>
      <w:r>
        <w:rPr>
          <w:i/>
          <w:w w:val="105"/>
          <w:sz w:val="27"/>
        </w:rPr>
        <w:t>чем</w:t>
      </w:r>
      <w:r>
        <w:rPr>
          <w:i/>
          <w:spacing w:val="-32"/>
          <w:w w:val="105"/>
          <w:sz w:val="27"/>
        </w:rPr>
        <w:t> </w:t>
      </w:r>
      <w:r>
        <w:rPr>
          <w:i/>
          <w:w w:val="105"/>
          <w:sz w:val="27"/>
        </w:rPr>
        <w:t>формула</w:t>
      </w:r>
      <w:r>
        <w:rPr>
          <w:i/>
          <w:spacing w:val="-31"/>
          <w:w w:val="105"/>
          <w:sz w:val="27"/>
        </w:rPr>
        <w:t> </w:t>
      </w:r>
      <w:r>
        <w:rPr>
          <w:i/>
          <w:w w:val="105"/>
          <w:sz w:val="27"/>
        </w:rPr>
        <w:t>MDRD,</w:t>
      </w:r>
      <w:r>
        <w:rPr>
          <w:i/>
          <w:spacing w:val="-31"/>
          <w:w w:val="105"/>
          <w:sz w:val="27"/>
        </w:rPr>
        <w:t> </w:t>
      </w:r>
      <w:r>
        <w:rPr>
          <w:i/>
          <w:w w:val="105"/>
          <w:sz w:val="27"/>
        </w:rPr>
        <w:t>особенно</w:t>
      </w:r>
      <w:r>
        <w:rPr>
          <w:i/>
          <w:spacing w:val="-32"/>
          <w:w w:val="105"/>
          <w:sz w:val="27"/>
        </w:rPr>
        <w:t> </w:t>
      </w:r>
      <w:r>
        <w:rPr>
          <w:i/>
          <w:w w:val="105"/>
          <w:sz w:val="27"/>
        </w:rPr>
        <w:t>при</w:t>
      </w:r>
      <w:r>
        <w:rPr>
          <w:i/>
          <w:spacing w:val="-31"/>
          <w:w w:val="105"/>
          <w:sz w:val="27"/>
        </w:rPr>
        <w:t> </w:t>
      </w:r>
      <w:r>
        <w:rPr>
          <w:i/>
          <w:w w:val="105"/>
          <w:sz w:val="27"/>
        </w:rPr>
        <w:t>СКФ</w:t>
      </w:r>
      <w:r>
        <w:rPr>
          <w:rFonts w:ascii="Times New Roman" w:hAnsi="Times New Roman"/>
          <w:i/>
          <w:w w:val="105"/>
          <w:sz w:val="27"/>
        </w:rPr>
        <w:t>≥</w:t>
      </w:r>
      <w:r>
        <w:rPr>
          <w:i/>
          <w:w w:val="105"/>
          <w:sz w:val="27"/>
        </w:rPr>
        <w:t>60 </w:t>
      </w:r>
      <w:r>
        <w:rPr>
          <w:i/>
          <w:w w:val="105"/>
          <w:sz w:val="27"/>
        </w:rPr>
        <w:t>мл/мин/1,73    м</w:t>
      </w:r>
      <w:r>
        <w:rPr>
          <w:i/>
          <w:w w:val="105"/>
          <w:position w:val="14"/>
          <w:sz w:val="27"/>
        </w:rPr>
        <w:t>2</w:t>
      </w:r>
      <w:r>
        <w:rPr>
          <w:i/>
          <w:w w:val="105"/>
          <w:sz w:val="27"/>
        </w:rPr>
        <w:t>,    и    характеризуется    несколько  </w:t>
      </w:r>
      <w:r>
        <w:rPr>
          <w:i/>
          <w:spacing w:val="1"/>
          <w:w w:val="105"/>
          <w:sz w:val="27"/>
        </w:rPr>
        <w:t> </w:t>
      </w:r>
      <w:r>
        <w:rPr>
          <w:i/>
          <w:w w:val="105"/>
          <w:sz w:val="27"/>
        </w:rPr>
        <w:t>меньшим</w:t>
      </w:r>
    </w:p>
    <w:p>
      <w:pPr>
        <w:spacing w:line="256" w:lineRule="auto" w:before="15"/>
        <w:ind w:left="695" w:right="128" w:firstLine="0"/>
        <w:jc w:val="both"/>
        <w:rPr>
          <w:i/>
          <w:sz w:val="27"/>
        </w:rPr>
      </w:pPr>
      <w:r>
        <w:rPr>
          <w:i/>
          <w:w w:val="105"/>
          <w:sz w:val="27"/>
        </w:rPr>
        <w:t>разбросом</w:t>
      </w:r>
      <w:r>
        <w:rPr>
          <w:i/>
          <w:spacing w:val="-21"/>
          <w:w w:val="105"/>
          <w:sz w:val="27"/>
        </w:rPr>
        <w:t> </w:t>
      </w:r>
      <w:r>
        <w:rPr>
          <w:i/>
          <w:w w:val="105"/>
          <w:sz w:val="27"/>
        </w:rPr>
        <w:t>данных</w:t>
      </w:r>
      <w:r>
        <w:rPr>
          <w:i/>
          <w:spacing w:val="-20"/>
          <w:w w:val="105"/>
          <w:sz w:val="27"/>
        </w:rPr>
        <w:t> </w:t>
      </w:r>
      <w:r>
        <w:rPr>
          <w:i/>
          <w:w w:val="105"/>
          <w:sz w:val="27"/>
        </w:rPr>
        <w:t>и</w:t>
      </w:r>
      <w:r>
        <w:rPr>
          <w:i/>
          <w:spacing w:val="-20"/>
          <w:w w:val="105"/>
          <w:sz w:val="27"/>
        </w:rPr>
        <w:t> </w:t>
      </w:r>
      <w:r>
        <w:rPr>
          <w:i/>
          <w:w w:val="105"/>
          <w:sz w:val="27"/>
        </w:rPr>
        <w:t>б</w:t>
      </w:r>
      <w:r>
        <w:rPr>
          <w:rFonts w:ascii="Times New Roman" w:hAnsi="Times New Roman"/>
          <w:i/>
          <w:w w:val="105"/>
          <w:sz w:val="27"/>
        </w:rPr>
        <w:t>ό</w:t>
      </w:r>
      <w:r>
        <w:rPr>
          <w:i/>
          <w:w w:val="105"/>
          <w:sz w:val="27"/>
        </w:rPr>
        <w:t>льшей</w:t>
      </w:r>
      <w:r>
        <w:rPr>
          <w:i/>
          <w:spacing w:val="-20"/>
          <w:w w:val="105"/>
          <w:sz w:val="27"/>
        </w:rPr>
        <w:t> </w:t>
      </w:r>
      <w:r>
        <w:rPr>
          <w:i/>
          <w:w w:val="105"/>
          <w:sz w:val="27"/>
        </w:rPr>
        <w:t>точностью.</w:t>
      </w:r>
      <w:r>
        <w:rPr>
          <w:i/>
          <w:spacing w:val="-20"/>
          <w:w w:val="105"/>
          <w:sz w:val="27"/>
        </w:rPr>
        <w:t> </w:t>
      </w:r>
      <w:r>
        <w:rPr>
          <w:i/>
          <w:w w:val="105"/>
          <w:sz w:val="27"/>
        </w:rPr>
        <w:t>Значительная</w:t>
      </w:r>
      <w:r>
        <w:rPr>
          <w:i/>
          <w:spacing w:val="-20"/>
          <w:w w:val="105"/>
          <w:sz w:val="27"/>
        </w:rPr>
        <w:t> </w:t>
      </w:r>
      <w:r>
        <w:rPr>
          <w:i/>
          <w:w w:val="105"/>
          <w:sz w:val="27"/>
        </w:rPr>
        <w:t>часть</w:t>
      </w:r>
      <w:r>
        <w:rPr>
          <w:i/>
          <w:spacing w:val="-20"/>
          <w:w w:val="105"/>
          <w:sz w:val="27"/>
        </w:rPr>
        <w:t> </w:t>
      </w:r>
      <w:r>
        <w:rPr>
          <w:i/>
          <w:w w:val="105"/>
          <w:sz w:val="27"/>
        </w:rPr>
        <w:t>(но </w:t>
      </w:r>
      <w:r>
        <w:rPr>
          <w:i/>
          <w:w w:val="110"/>
          <w:sz w:val="27"/>
        </w:rPr>
        <w:t>не все) исследований в Северной Америке, Европе показали, что формула</w:t>
      </w:r>
      <w:r>
        <w:rPr>
          <w:i/>
          <w:spacing w:val="-33"/>
          <w:w w:val="110"/>
          <w:sz w:val="27"/>
        </w:rPr>
        <w:t> </w:t>
      </w:r>
      <w:r>
        <w:rPr>
          <w:i/>
          <w:w w:val="110"/>
          <w:sz w:val="27"/>
        </w:rPr>
        <w:t>CKD-EPI</w:t>
      </w:r>
      <w:r>
        <w:rPr>
          <w:i/>
          <w:spacing w:val="-33"/>
          <w:w w:val="110"/>
          <w:sz w:val="27"/>
        </w:rPr>
        <w:t> </w:t>
      </w:r>
      <w:r>
        <w:rPr>
          <w:i/>
          <w:w w:val="110"/>
          <w:sz w:val="27"/>
        </w:rPr>
        <w:t>дает</w:t>
      </w:r>
      <w:r>
        <w:rPr>
          <w:i/>
          <w:spacing w:val="-33"/>
          <w:w w:val="110"/>
          <w:sz w:val="27"/>
        </w:rPr>
        <w:t> </w:t>
      </w:r>
      <w:r>
        <w:rPr>
          <w:i/>
          <w:w w:val="110"/>
          <w:sz w:val="27"/>
        </w:rPr>
        <w:t>более</w:t>
      </w:r>
      <w:r>
        <w:rPr>
          <w:i/>
          <w:spacing w:val="-33"/>
          <w:w w:val="110"/>
          <w:sz w:val="27"/>
        </w:rPr>
        <w:t> </w:t>
      </w:r>
      <w:r>
        <w:rPr>
          <w:i/>
          <w:w w:val="110"/>
          <w:sz w:val="27"/>
        </w:rPr>
        <w:t>точные</w:t>
      </w:r>
      <w:r>
        <w:rPr>
          <w:i/>
          <w:spacing w:val="-33"/>
          <w:w w:val="110"/>
          <w:sz w:val="27"/>
        </w:rPr>
        <w:t> </w:t>
      </w:r>
      <w:r>
        <w:rPr>
          <w:i/>
          <w:w w:val="110"/>
          <w:sz w:val="27"/>
        </w:rPr>
        <w:t>результаты,</w:t>
      </w:r>
      <w:r>
        <w:rPr>
          <w:i/>
          <w:spacing w:val="-33"/>
          <w:w w:val="110"/>
          <w:sz w:val="27"/>
        </w:rPr>
        <w:t> </w:t>
      </w:r>
      <w:r>
        <w:rPr>
          <w:i/>
          <w:w w:val="110"/>
          <w:sz w:val="27"/>
        </w:rPr>
        <w:t>чем</w:t>
      </w:r>
      <w:r>
        <w:rPr>
          <w:i/>
          <w:spacing w:val="-33"/>
          <w:w w:val="110"/>
          <w:sz w:val="27"/>
        </w:rPr>
        <w:t> </w:t>
      </w:r>
      <w:r>
        <w:rPr>
          <w:i/>
          <w:w w:val="110"/>
          <w:sz w:val="27"/>
        </w:rPr>
        <w:t>формула MDRD,</w:t>
      </w:r>
      <w:r>
        <w:rPr>
          <w:i/>
          <w:spacing w:val="-23"/>
          <w:w w:val="110"/>
          <w:sz w:val="27"/>
        </w:rPr>
        <w:t> </w:t>
      </w:r>
      <w:r>
        <w:rPr>
          <w:i/>
          <w:w w:val="110"/>
          <w:sz w:val="27"/>
        </w:rPr>
        <w:t>особенно</w:t>
      </w:r>
      <w:r>
        <w:rPr>
          <w:i/>
          <w:spacing w:val="-23"/>
          <w:w w:val="110"/>
          <w:sz w:val="27"/>
        </w:rPr>
        <w:t> </w:t>
      </w:r>
      <w:r>
        <w:rPr>
          <w:i/>
          <w:w w:val="110"/>
          <w:sz w:val="27"/>
        </w:rPr>
        <w:t>при</w:t>
      </w:r>
      <w:r>
        <w:rPr>
          <w:i/>
          <w:spacing w:val="-23"/>
          <w:w w:val="110"/>
          <w:sz w:val="27"/>
        </w:rPr>
        <w:t> </w:t>
      </w:r>
      <w:r>
        <w:rPr>
          <w:i/>
          <w:w w:val="110"/>
          <w:sz w:val="27"/>
        </w:rPr>
        <w:t>высокой</w:t>
      </w:r>
      <w:r>
        <w:rPr>
          <w:i/>
          <w:spacing w:val="-22"/>
          <w:w w:val="110"/>
          <w:sz w:val="27"/>
        </w:rPr>
        <w:t> </w:t>
      </w:r>
      <w:r>
        <w:rPr>
          <w:i/>
          <w:spacing w:val="-4"/>
          <w:w w:val="110"/>
          <w:sz w:val="27"/>
        </w:rPr>
        <w:t>СКФ</w:t>
      </w:r>
      <w:r>
        <w:rPr>
          <w:i/>
          <w:spacing w:val="-23"/>
          <w:w w:val="110"/>
          <w:sz w:val="27"/>
        </w:rPr>
        <w:t> </w:t>
      </w:r>
      <w:r>
        <w:rPr>
          <w:i/>
          <w:w w:val="110"/>
          <w:sz w:val="27"/>
        </w:rPr>
        <w:t>[63].</w:t>
      </w:r>
      <w:r>
        <w:rPr>
          <w:i/>
          <w:spacing w:val="-23"/>
          <w:w w:val="110"/>
          <w:sz w:val="27"/>
        </w:rPr>
        <w:t> </w:t>
      </w:r>
      <w:r>
        <w:rPr>
          <w:i/>
          <w:w w:val="110"/>
          <w:sz w:val="27"/>
        </w:rPr>
        <w:t>Меньшая</w:t>
      </w:r>
      <w:r>
        <w:rPr>
          <w:i/>
          <w:spacing w:val="-23"/>
          <w:w w:val="110"/>
          <w:sz w:val="27"/>
        </w:rPr>
        <w:t> </w:t>
      </w:r>
      <w:r>
        <w:rPr>
          <w:i/>
          <w:w w:val="110"/>
          <w:sz w:val="27"/>
        </w:rPr>
        <w:t>погрешность формулы CKD-EPIпо сравнению с формулой MDRD</w:t>
      </w:r>
      <w:r>
        <w:rPr>
          <w:i/>
          <w:spacing w:val="-33"/>
          <w:w w:val="110"/>
          <w:sz w:val="27"/>
        </w:rPr>
        <w:t> </w:t>
      </w:r>
      <w:r>
        <w:rPr>
          <w:i/>
          <w:w w:val="110"/>
          <w:sz w:val="27"/>
        </w:rPr>
        <w:t>отражает более высокую </w:t>
      </w:r>
      <w:r>
        <w:rPr>
          <w:i/>
          <w:spacing w:val="-3"/>
          <w:w w:val="110"/>
          <w:sz w:val="27"/>
        </w:rPr>
        <w:t>рСКФ </w:t>
      </w:r>
      <w:r>
        <w:rPr>
          <w:i/>
          <w:w w:val="110"/>
          <w:sz w:val="27"/>
        </w:rPr>
        <w:t>в большей части возрастного диапазона и </w:t>
      </w:r>
      <w:r>
        <w:rPr>
          <w:i/>
          <w:w w:val="105"/>
          <w:sz w:val="27"/>
        </w:rPr>
        <w:t>значений креатинина, особенно у лиц молодого возраста, женщин </w:t>
      </w:r>
      <w:r>
        <w:rPr>
          <w:i/>
          <w:w w:val="110"/>
          <w:sz w:val="27"/>
        </w:rPr>
        <w:t>и представителей европеоидной расы</w:t>
      </w:r>
      <w:r>
        <w:rPr>
          <w:i/>
          <w:spacing w:val="-49"/>
          <w:w w:val="110"/>
          <w:sz w:val="27"/>
        </w:rPr>
        <w:t> </w:t>
      </w:r>
      <w:r>
        <w:rPr>
          <w:i/>
          <w:w w:val="110"/>
          <w:sz w:val="27"/>
        </w:rPr>
        <w:t>[64].</w:t>
      </w:r>
    </w:p>
    <w:p>
      <w:pPr>
        <w:pStyle w:val="BodyText"/>
        <w:spacing w:line="256" w:lineRule="auto" w:before="273"/>
        <w:ind w:left="695" w:right="129"/>
      </w:pPr>
      <w:r>
        <w:rPr/>
        <w:pict>
          <v:shape style="position:absolute;margin-left:91.538452pt;margin-top:21.069475pt;width:4.55pt;height:4.5pt;mso-position-horizontal-relative:page;mso-position-vertical-relative:paragraph;z-index:15777280" coordorigin="1831,421" coordsize="91,90" path="m1888,511l1863,511,1853,507,1835,489,1831,479,1831,454,1835,443,1853,426,1863,421,1888,421,1899,426,1916,443,1921,454,1921,466,1921,479,1916,489,1899,507,1888,511xe" filled="true" fillcolor="#000000" stroked="false">
            <v:path arrowok="t"/>
            <v:fill type="solid"/>
            <w10:wrap type="none"/>
          </v:shape>
        </w:pict>
      </w:r>
      <w:r>
        <w:rPr/>
        <w:t>Всем пациентам с АГ для выявления заболеваний почек и оценки </w:t>
      </w:r>
      <w:r>
        <w:rPr>
          <w:spacing w:val="-4"/>
        </w:rPr>
        <w:t>СС</w:t>
      </w:r>
      <w:r>
        <w:rPr>
          <w:spacing w:val="59"/>
        </w:rPr>
        <w:t> </w:t>
      </w:r>
      <w:r>
        <w:rPr/>
        <w:t>риска рекомендуется проводить общий (клинический) анализ мочи с микроскопическим исследованием осадка мочи, количественной оценкой альбуминурии или отношения альбумин/креатинин (оптимально) [64, 65].</w:t>
      </w:r>
    </w:p>
    <w:p>
      <w:pPr>
        <w:pStyle w:val="Heading3"/>
        <w:spacing w:before="272"/>
        <w:jc w:val="both"/>
      </w:pPr>
      <w:r>
        <w:rPr>
          <w:w w:val="105"/>
        </w:rPr>
        <w:t>ЕОК/ЕОАГ IВ (УУР В, УДД 2)</w:t>
      </w:r>
    </w:p>
    <w:p>
      <w:pPr>
        <w:spacing w:line="256" w:lineRule="auto" w:before="297"/>
        <w:ind w:left="695" w:right="129" w:firstLine="0"/>
        <w:jc w:val="both"/>
        <w:rPr>
          <w:i/>
          <w:sz w:val="27"/>
        </w:rPr>
      </w:pPr>
      <w:r>
        <w:rPr>
          <w:b/>
          <w:w w:val="105"/>
          <w:sz w:val="27"/>
        </w:rPr>
        <w:t>Комментарии. </w:t>
      </w:r>
      <w:r>
        <w:rPr>
          <w:i/>
          <w:w w:val="105"/>
          <w:sz w:val="27"/>
        </w:rPr>
        <w:t>Выполняется у всех пациентов с АГ в связи с </w:t>
      </w:r>
      <w:r>
        <w:rPr>
          <w:i/>
          <w:w w:val="105"/>
          <w:sz w:val="27"/>
        </w:rPr>
        <w:t>тем, что повреждение почек является значимым прогностическим фактором при АГ, наличием доказанной связи между выявлением альбуминурии и повышением середечно- сосудистой смертности [60, 61, 64, 66]. Суточная экскреция альбумина с мочой </w:t>
      </w:r>
      <w:r>
        <w:rPr>
          <w:rFonts w:ascii="Times New Roman" w:hAnsi="Times New Roman"/>
          <w:i/>
          <w:w w:val="105"/>
          <w:sz w:val="27"/>
        </w:rPr>
        <w:t>≥</w:t>
      </w:r>
      <w:r>
        <w:rPr>
          <w:i/>
          <w:w w:val="105"/>
          <w:sz w:val="27"/>
        </w:rPr>
        <w:t>30 мг/сут ассоциирована с повышенным </w:t>
      </w:r>
      <w:r>
        <w:rPr>
          <w:i/>
          <w:w w:val="105"/>
          <w:sz w:val="27"/>
        </w:rPr>
        <w:t>риском осложнений ХБП [64]. В мета-анализе Консорциума по прогнозу</w:t>
      </w:r>
      <w:r>
        <w:rPr>
          <w:i/>
          <w:spacing w:val="-21"/>
          <w:w w:val="105"/>
          <w:sz w:val="27"/>
        </w:rPr>
        <w:t> </w:t>
      </w:r>
      <w:r>
        <w:rPr>
          <w:i/>
          <w:w w:val="105"/>
          <w:sz w:val="27"/>
        </w:rPr>
        <w:t>ХБП</w:t>
      </w:r>
      <w:r>
        <w:rPr>
          <w:i/>
          <w:spacing w:val="-21"/>
          <w:w w:val="105"/>
          <w:sz w:val="27"/>
        </w:rPr>
        <w:t> </w:t>
      </w:r>
      <w:r>
        <w:rPr>
          <w:i/>
          <w:w w:val="105"/>
          <w:sz w:val="27"/>
        </w:rPr>
        <w:t>обнаружены</w:t>
      </w:r>
      <w:r>
        <w:rPr>
          <w:i/>
          <w:spacing w:val="-21"/>
          <w:w w:val="105"/>
          <w:sz w:val="27"/>
        </w:rPr>
        <w:t> </w:t>
      </w:r>
      <w:r>
        <w:rPr>
          <w:i/>
          <w:w w:val="105"/>
          <w:sz w:val="27"/>
        </w:rPr>
        <w:t>ассоциации</w:t>
      </w:r>
      <w:r>
        <w:rPr>
          <w:i/>
          <w:spacing w:val="-21"/>
          <w:w w:val="105"/>
          <w:sz w:val="27"/>
        </w:rPr>
        <w:t> </w:t>
      </w:r>
      <w:r>
        <w:rPr>
          <w:i/>
          <w:w w:val="105"/>
          <w:sz w:val="27"/>
        </w:rPr>
        <w:t>между</w:t>
      </w:r>
      <w:r>
        <w:rPr>
          <w:i/>
          <w:spacing w:val="-21"/>
          <w:w w:val="105"/>
          <w:sz w:val="27"/>
        </w:rPr>
        <w:t> </w:t>
      </w:r>
      <w:r>
        <w:rPr>
          <w:i/>
          <w:spacing w:val="-8"/>
          <w:w w:val="105"/>
          <w:sz w:val="27"/>
        </w:rPr>
        <w:t>СЭА</w:t>
      </w:r>
      <w:r>
        <w:rPr>
          <w:i/>
          <w:spacing w:val="-21"/>
          <w:w w:val="105"/>
          <w:sz w:val="27"/>
        </w:rPr>
        <w:t> </w:t>
      </w:r>
      <w:r>
        <w:rPr>
          <w:rFonts w:ascii="Times New Roman" w:hAnsi="Times New Roman"/>
          <w:i/>
          <w:w w:val="105"/>
          <w:sz w:val="27"/>
        </w:rPr>
        <w:t>≥</w:t>
      </w:r>
      <w:r>
        <w:rPr>
          <w:i/>
          <w:w w:val="105"/>
          <w:sz w:val="27"/>
        </w:rPr>
        <w:t>30</w:t>
      </w:r>
      <w:r>
        <w:rPr>
          <w:i/>
          <w:spacing w:val="-21"/>
          <w:w w:val="105"/>
          <w:sz w:val="27"/>
        </w:rPr>
        <w:t> </w:t>
      </w:r>
      <w:r>
        <w:rPr>
          <w:i/>
          <w:w w:val="105"/>
          <w:sz w:val="27"/>
        </w:rPr>
        <w:t>мг/сут</w:t>
      </w:r>
      <w:r>
        <w:rPr>
          <w:i/>
          <w:spacing w:val="-20"/>
          <w:w w:val="105"/>
          <w:sz w:val="27"/>
        </w:rPr>
        <w:t> </w:t>
      </w:r>
      <w:r>
        <w:rPr>
          <w:i/>
          <w:w w:val="105"/>
          <w:sz w:val="27"/>
        </w:rPr>
        <w:t>при </w:t>
      </w:r>
      <w:r>
        <w:rPr>
          <w:i/>
          <w:w w:val="105"/>
          <w:sz w:val="27"/>
        </w:rPr>
        <w:t>исследовании тест-полосками, с риском общей смертности и смертности от ССЗ, почечной недостаточности прогрессирования ХБП в общей популяции и в популяциях с повышенным риском развития ССЗ. Соотношение </w:t>
      </w:r>
      <w:r>
        <w:rPr>
          <w:i/>
          <w:spacing w:val="-3"/>
          <w:w w:val="105"/>
          <w:sz w:val="27"/>
        </w:rPr>
        <w:t>альбумин/ </w:t>
      </w:r>
      <w:r>
        <w:rPr>
          <w:i/>
          <w:w w:val="105"/>
          <w:sz w:val="27"/>
        </w:rPr>
        <w:t>креатинин в моче (предпочтительно в утренней порции) 30–300 мг/г; 3,4–34 мг/ммоль является маркером повреждения почек [64].</w:t>
      </w:r>
    </w:p>
    <w:p>
      <w:pPr>
        <w:spacing w:after="0" w:line="256" w:lineRule="auto"/>
        <w:jc w:val="both"/>
        <w:rPr>
          <w:sz w:val="27"/>
        </w:rPr>
        <w:sectPr>
          <w:pgSz w:w="11900" w:h="16840"/>
          <w:pgMar w:top="0" w:bottom="280" w:left="1420" w:right="1520"/>
        </w:sectPr>
      </w:pPr>
    </w:p>
    <w:p>
      <w:pPr>
        <w:pStyle w:val="BodyText"/>
        <w:spacing w:line="256" w:lineRule="auto" w:before="16"/>
        <w:ind w:left="695" w:right="128"/>
      </w:pPr>
      <w:r>
        <w:rPr/>
        <w:pict>
          <v:shape style="position:absolute;margin-left:91.538452pt;margin-top:8.219464pt;width:4.55pt;height:4.5pt;mso-position-horizontal-relative:page;mso-position-vertical-relative:paragraph;z-index:15777792" coordorigin="1831,164" coordsize="91,90" path="m1888,254l1863,254,1853,250,1835,232,1831,222,1831,197,1835,186,1853,169,1863,164,1888,164,1899,169,1916,186,1921,197,1921,209,1921,222,1916,232,1899,250,1888,254xe" filled="true" fillcolor="#000000" stroked="false">
            <v:path arrowok="t"/>
            <v:fill type="solid"/>
            <w10:wrap type="none"/>
          </v:shape>
        </w:pict>
      </w:r>
      <w:r>
        <w:rPr/>
        <w:t>Всем пациентам с АГ для стратификации риска и выявления нарушений липидного обмена рекомендуется исследование уровня общего холестерина (ОХС), холестерина липопротеинов высокой плотности (ХС-ЛВП), холестерина липопротеинов низкой плотности (ХС-ЛНП) (прямое измерение или расчетно) и триглицеридов (ТГ) в крови [21, 67, 68].</w:t>
      </w:r>
    </w:p>
    <w:p>
      <w:pPr>
        <w:pStyle w:val="Heading3"/>
        <w:spacing w:before="273"/>
      </w:pPr>
      <w:r>
        <w:rPr>
          <w:w w:val="105"/>
        </w:rPr>
        <w:t>ЕОК/ЕОАГ нет (УУР В, УДД 2)</w:t>
      </w:r>
    </w:p>
    <w:p>
      <w:pPr>
        <w:spacing w:line="256" w:lineRule="auto" w:before="296"/>
        <w:ind w:left="695" w:right="130" w:firstLine="0"/>
        <w:jc w:val="both"/>
        <w:rPr>
          <w:i/>
          <w:sz w:val="27"/>
        </w:rPr>
      </w:pPr>
      <w:r>
        <w:rPr>
          <w:b/>
          <w:w w:val="105"/>
          <w:sz w:val="27"/>
        </w:rPr>
        <w:t>Комментарии. </w:t>
      </w:r>
      <w:r>
        <w:rPr>
          <w:i/>
          <w:w w:val="105"/>
          <w:sz w:val="27"/>
        </w:rPr>
        <w:t>Выполняется у всех пациентов с АГ для </w:t>
      </w:r>
      <w:r>
        <w:rPr>
          <w:i/>
          <w:w w:val="105"/>
          <w:sz w:val="27"/>
        </w:rPr>
        <w:t>стратификации риска </w:t>
      </w:r>
      <w:r>
        <w:rPr>
          <w:i/>
          <w:spacing w:val="-8"/>
          <w:w w:val="105"/>
          <w:sz w:val="27"/>
        </w:rPr>
        <w:t>[67, </w:t>
      </w:r>
      <w:r>
        <w:rPr>
          <w:i/>
          <w:w w:val="105"/>
          <w:sz w:val="27"/>
        </w:rPr>
        <w:t>68], а также в связи с высокой распространенностью</w:t>
      </w:r>
      <w:r>
        <w:rPr>
          <w:i/>
          <w:spacing w:val="-27"/>
          <w:w w:val="105"/>
          <w:sz w:val="27"/>
        </w:rPr>
        <w:t> </w:t>
      </w:r>
      <w:r>
        <w:rPr>
          <w:i/>
          <w:w w:val="105"/>
          <w:sz w:val="27"/>
        </w:rPr>
        <w:t>дислипидемии</w:t>
      </w:r>
      <w:r>
        <w:rPr>
          <w:i/>
          <w:spacing w:val="-26"/>
          <w:w w:val="105"/>
          <w:sz w:val="27"/>
        </w:rPr>
        <w:t> </w:t>
      </w:r>
      <w:r>
        <w:rPr>
          <w:i/>
          <w:w w:val="105"/>
          <w:sz w:val="27"/>
        </w:rPr>
        <w:t>в</w:t>
      </w:r>
      <w:r>
        <w:rPr>
          <w:i/>
          <w:spacing w:val="-27"/>
          <w:w w:val="105"/>
          <w:sz w:val="27"/>
        </w:rPr>
        <w:t> </w:t>
      </w:r>
      <w:r>
        <w:rPr>
          <w:i/>
          <w:w w:val="105"/>
          <w:sz w:val="27"/>
        </w:rPr>
        <w:t>популяции</w:t>
      </w:r>
      <w:r>
        <w:rPr>
          <w:i/>
          <w:spacing w:val="-27"/>
          <w:w w:val="105"/>
          <w:sz w:val="27"/>
        </w:rPr>
        <w:t> </w:t>
      </w:r>
      <w:r>
        <w:rPr>
          <w:i/>
          <w:w w:val="105"/>
          <w:sz w:val="27"/>
        </w:rPr>
        <w:t>пациентов</w:t>
      </w:r>
      <w:r>
        <w:rPr>
          <w:i/>
          <w:spacing w:val="-26"/>
          <w:w w:val="105"/>
          <w:sz w:val="27"/>
        </w:rPr>
        <w:t> </w:t>
      </w:r>
      <w:r>
        <w:rPr>
          <w:i/>
          <w:w w:val="105"/>
          <w:sz w:val="27"/>
        </w:rPr>
        <w:t>с</w:t>
      </w:r>
      <w:r>
        <w:rPr>
          <w:i/>
          <w:spacing w:val="-27"/>
          <w:w w:val="105"/>
          <w:sz w:val="27"/>
        </w:rPr>
        <w:t> </w:t>
      </w:r>
      <w:r>
        <w:rPr>
          <w:i/>
          <w:w w:val="105"/>
          <w:sz w:val="27"/>
        </w:rPr>
        <w:t>АГ и</w:t>
      </w:r>
      <w:r>
        <w:rPr>
          <w:i/>
          <w:spacing w:val="-40"/>
          <w:w w:val="105"/>
          <w:sz w:val="27"/>
        </w:rPr>
        <w:t> </w:t>
      </w:r>
      <w:r>
        <w:rPr>
          <w:i/>
          <w:w w:val="105"/>
          <w:sz w:val="27"/>
        </w:rPr>
        <w:t>положительным</w:t>
      </w:r>
      <w:r>
        <w:rPr>
          <w:i/>
          <w:spacing w:val="-40"/>
          <w:w w:val="105"/>
          <w:sz w:val="27"/>
        </w:rPr>
        <w:t> </w:t>
      </w:r>
      <w:r>
        <w:rPr>
          <w:i/>
          <w:w w:val="105"/>
          <w:sz w:val="27"/>
        </w:rPr>
        <w:t>эффектом</w:t>
      </w:r>
      <w:r>
        <w:rPr>
          <w:i/>
          <w:spacing w:val="-40"/>
          <w:w w:val="105"/>
          <w:sz w:val="27"/>
        </w:rPr>
        <w:t> </w:t>
      </w:r>
      <w:r>
        <w:rPr>
          <w:i/>
          <w:w w:val="105"/>
          <w:sz w:val="27"/>
        </w:rPr>
        <w:t>коррекции</w:t>
      </w:r>
      <w:r>
        <w:rPr>
          <w:i/>
          <w:spacing w:val="-40"/>
          <w:w w:val="105"/>
          <w:sz w:val="27"/>
        </w:rPr>
        <w:t> </w:t>
      </w:r>
      <w:r>
        <w:rPr>
          <w:i/>
          <w:w w:val="105"/>
          <w:sz w:val="27"/>
        </w:rPr>
        <w:t>дислипидемии</w:t>
      </w:r>
      <w:r>
        <w:rPr>
          <w:i/>
          <w:spacing w:val="-40"/>
          <w:w w:val="105"/>
          <w:sz w:val="27"/>
        </w:rPr>
        <w:t> </w:t>
      </w:r>
      <w:r>
        <w:rPr>
          <w:i/>
          <w:w w:val="105"/>
          <w:sz w:val="27"/>
        </w:rPr>
        <w:t>на</w:t>
      </w:r>
      <w:r>
        <w:rPr>
          <w:i/>
          <w:spacing w:val="-40"/>
          <w:w w:val="105"/>
          <w:sz w:val="27"/>
        </w:rPr>
        <w:t> </w:t>
      </w:r>
      <w:r>
        <w:rPr>
          <w:i/>
          <w:spacing w:val="-4"/>
          <w:w w:val="105"/>
          <w:sz w:val="27"/>
        </w:rPr>
        <w:t>СС</w:t>
      </w:r>
      <w:r>
        <w:rPr>
          <w:i/>
          <w:spacing w:val="-40"/>
          <w:w w:val="105"/>
          <w:sz w:val="27"/>
        </w:rPr>
        <w:t> </w:t>
      </w:r>
      <w:r>
        <w:rPr>
          <w:i/>
          <w:w w:val="105"/>
          <w:sz w:val="27"/>
        </w:rPr>
        <w:t>риск у пациентов с АГ [21,</w:t>
      </w:r>
      <w:r>
        <w:rPr>
          <w:i/>
          <w:spacing w:val="-31"/>
          <w:w w:val="105"/>
          <w:sz w:val="27"/>
        </w:rPr>
        <w:t> </w:t>
      </w:r>
      <w:r>
        <w:rPr>
          <w:i/>
          <w:w w:val="105"/>
          <w:sz w:val="27"/>
        </w:rPr>
        <w:t>22].</w:t>
      </w:r>
    </w:p>
    <w:p>
      <w:pPr>
        <w:pStyle w:val="BodyText"/>
        <w:spacing w:line="256" w:lineRule="auto" w:before="272"/>
        <w:ind w:left="695" w:right="130"/>
      </w:pPr>
      <w:r>
        <w:rPr/>
        <w:pict>
          <v:shape style="position:absolute;margin-left:91.538452pt;margin-top:21.019489pt;width:4.55pt;height:4.5pt;mso-position-horizontal-relative:page;mso-position-vertical-relative:paragraph;z-index:15778304"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для выявления </w:t>
      </w:r>
      <w:r>
        <w:rPr>
          <w:spacing w:val="-3"/>
        </w:rPr>
        <w:t>электролитных  </w:t>
      </w:r>
      <w:r>
        <w:rPr/>
        <w:t>нарушений и дифференциального диагноза с вторичной АГ рекомендуется исследование уровня калия и натрия в крови [21,</w:t>
      </w:r>
      <w:r>
        <w:rPr>
          <w:spacing w:val="-2"/>
        </w:rPr>
        <w:t> </w:t>
      </w:r>
      <w:r>
        <w:rPr/>
        <w:t>22].</w:t>
      </w:r>
    </w:p>
    <w:p>
      <w:pPr>
        <w:pStyle w:val="Heading3"/>
        <w:spacing w:before="272"/>
      </w:pPr>
      <w:r>
        <w:rPr>
          <w:w w:val="105"/>
        </w:rPr>
        <w:t>ЕОК/ЕОАГ нет (УУР C, УДД 5)</w:t>
      </w:r>
    </w:p>
    <w:p>
      <w:pPr>
        <w:spacing w:line="256" w:lineRule="auto" w:before="296"/>
        <w:ind w:left="695" w:right="128" w:firstLine="0"/>
        <w:jc w:val="both"/>
        <w:rPr>
          <w:i/>
          <w:sz w:val="27"/>
        </w:rPr>
      </w:pPr>
      <w:r>
        <w:rPr>
          <w:b/>
          <w:w w:val="105"/>
          <w:sz w:val="27"/>
        </w:rPr>
        <w:t>Комментарии. </w:t>
      </w:r>
      <w:r>
        <w:rPr>
          <w:i/>
          <w:w w:val="105"/>
          <w:sz w:val="27"/>
        </w:rPr>
        <w:t>Выполняется у всех пациентов с АГ для </w:t>
      </w:r>
      <w:r>
        <w:rPr>
          <w:i/>
          <w:w w:val="105"/>
          <w:sz w:val="27"/>
        </w:rPr>
        <w:t>выявления электролитных нарушений в связи с доказанной взаимосвязью между уровнем калия и натрия сыворотки крови и уровнем АД [69, 70].</w:t>
      </w:r>
    </w:p>
    <w:p>
      <w:pPr>
        <w:pStyle w:val="BodyText"/>
        <w:spacing w:line="256" w:lineRule="auto" w:before="272"/>
        <w:ind w:left="695" w:right="130"/>
      </w:pPr>
      <w:r>
        <w:rPr/>
        <w:pict>
          <v:shape style="position:absolute;margin-left:91.538452pt;margin-top:21.019491pt;width:4.55pt;height:4.5pt;mso-position-horizontal-relative:page;mso-position-vertical-relative:paragraph;z-index:15778816"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для выявления гиперурикемии рекомендуется исследование уровня мочевой кислоты в крови [71].</w:t>
      </w:r>
    </w:p>
    <w:p>
      <w:pPr>
        <w:pStyle w:val="Heading3"/>
        <w:ind w:left="768"/>
      </w:pPr>
      <w:r>
        <w:rPr>
          <w:w w:val="105"/>
        </w:rPr>
        <w:t>ЕОК/ЕОАГ</w:t>
      </w:r>
      <w:r>
        <w:rPr>
          <w:spacing w:val="-47"/>
          <w:w w:val="105"/>
        </w:rPr>
        <w:t> </w:t>
      </w:r>
      <w:r>
        <w:rPr>
          <w:w w:val="105"/>
        </w:rPr>
        <w:t>нет</w:t>
      </w:r>
      <w:r>
        <w:rPr>
          <w:spacing w:val="-47"/>
          <w:w w:val="105"/>
        </w:rPr>
        <w:t> </w:t>
      </w:r>
      <w:r>
        <w:rPr>
          <w:w w:val="105"/>
        </w:rPr>
        <w:t>(УУР</w:t>
      </w:r>
      <w:r>
        <w:rPr>
          <w:spacing w:val="-46"/>
          <w:w w:val="105"/>
        </w:rPr>
        <w:t> </w:t>
      </w:r>
      <w:r>
        <w:rPr>
          <w:w w:val="105"/>
        </w:rPr>
        <w:t>А,</w:t>
      </w:r>
      <w:r>
        <w:rPr>
          <w:spacing w:val="-47"/>
          <w:w w:val="105"/>
        </w:rPr>
        <w:t> </w:t>
      </w:r>
      <w:r>
        <w:rPr>
          <w:spacing w:val="-3"/>
          <w:w w:val="105"/>
        </w:rPr>
        <w:t>УДД</w:t>
      </w:r>
      <w:r>
        <w:rPr>
          <w:spacing w:val="-46"/>
          <w:w w:val="105"/>
        </w:rPr>
        <w:t> </w:t>
      </w:r>
      <w:r>
        <w:rPr>
          <w:w w:val="105"/>
        </w:rPr>
        <w:t>2)</w:t>
      </w:r>
    </w:p>
    <w:p>
      <w:pPr>
        <w:spacing w:line="256" w:lineRule="auto" w:before="296"/>
        <w:ind w:left="695" w:right="128" w:firstLine="0"/>
        <w:jc w:val="both"/>
        <w:rPr>
          <w:i/>
          <w:sz w:val="27"/>
        </w:rPr>
      </w:pPr>
      <w:r>
        <w:rPr>
          <w:b/>
          <w:w w:val="105"/>
          <w:sz w:val="27"/>
        </w:rPr>
        <w:t>Комментарии. </w:t>
      </w:r>
      <w:r>
        <w:rPr>
          <w:i/>
          <w:w w:val="105"/>
          <w:sz w:val="27"/>
        </w:rPr>
        <w:t>Выполняется у всех пациентов с АГ в связи с </w:t>
      </w:r>
      <w:r>
        <w:rPr>
          <w:i/>
          <w:w w:val="105"/>
          <w:sz w:val="27"/>
        </w:rPr>
        <w:t>тем, что уровень мочевой кислоты является значимым прогностическим фактором при АГ, а также наличием доказанной связи между гиперурикемией и повышением сердечно- сосудистой смертности</w:t>
      </w:r>
      <w:r>
        <w:rPr>
          <w:i/>
          <w:spacing w:val="-13"/>
          <w:w w:val="105"/>
          <w:sz w:val="27"/>
        </w:rPr>
        <w:t> </w:t>
      </w:r>
      <w:r>
        <w:rPr>
          <w:i/>
          <w:w w:val="105"/>
          <w:sz w:val="27"/>
        </w:rPr>
        <w:t>[71-73].</w:t>
      </w:r>
    </w:p>
    <w:p>
      <w:pPr>
        <w:pStyle w:val="BodyText"/>
        <w:spacing w:before="13"/>
        <w:ind w:left="0"/>
        <w:jc w:val="left"/>
        <w:rPr>
          <w:i/>
          <w:sz w:val="49"/>
        </w:rPr>
      </w:pPr>
    </w:p>
    <w:p>
      <w:pPr>
        <w:pStyle w:val="Heading2"/>
        <w:numPr>
          <w:ilvl w:val="1"/>
          <w:numId w:val="5"/>
        </w:numPr>
        <w:tabs>
          <w:tab w:pos="1039" w:val="left" w:leader="none"/>
        </w:tabs>
        <w:spacing w:line="240" w:lineRule="auto" w:before="0" w:after="0"/>
        <w:ind w:left="1038" w:right="0" w:hanging="659"/>
        <w:jc w:val="left"/>
      </w:pPr>
      <w:r>
        <w:rPr/>
        <w:t>Инструментальная</w:t>
      </w:r>
      <w:r>
        <w:rPr>
          <w:spacing w:val="6"/>
        </w:rPr>
        <w:t> </w:t>
      </w:r>
      <w:r>
        <w:rPr/>
        <w:t>диагностика</w:t>
      </w:r>
    </w:p>
    <w:p>
      <w:pPr>
        <w:pStyle w:val="BodyText"/>
        <w:spacing w:before="8"/>
        <w:ind w:left="0"/>
        <w:jc w:val="left"/>
        <w:rPr>
          <w:b/>
          <w:sz w:val="30"/>
        </w:rPr>
      </w:pPr>
    </w:p>
    <w:p>
      <w:pPr>
        <w:spacing w:line="256" w:lineRule="auto" w:before="1"/>
        <w:ind w:left="695" w:right="128" w:firstLine="0"/>
        <w:jc w:val="both"/>
        <w:rPr>
          <w:i/>
          <w:sz w:val="27"/>
        </w:rPr>
      </w:pPr>
      <w:r>
        <w:rPr>
          <w:i/>
          <w:w w:val="105"/>
          <w:sz w:val="27"/>
        </w:rPr>
        <w:t>Проведение инструментальных методов диагностики является </w:t>
      </w:r>
      <w:r>
        <w:rPr>
          <w:i/>
          <w:w w:val="105"/>
          <w:sz w:val="27"/>
        </w:rPr>
        <w:t>необходимым для исключения вторичных форм АГ, выявления поражения органов-мишеней, оценки сердечно-сосудистого</w:t>
      </w:r>
      <w:r>
        <w:rPr>
          <w:i/>
          <w:spacing w:val="68"/>
          <w:w w:val="105"/>
          <w:sz w:val="27"/>
        </w:rPr>
        <w:t> </w:t>
      </w:r>
      <w:r>
        <w:rPr>
          <w:i/>
          <w:w w:val="105"/>
          <w:sz w:val="27"/>
        </w:rPr>
        <w:t>риска,</w:t>
      </w:r>
    </w:p>
    <w:p>
      <w:pPr>
        <w:spacing w:after="0" w:line="256" w:lineRule="auto"/>
        <w:jc w:val="both"/>
        <w:rPr>
          <w:sz w:val="27"/>
        </w:rPr>
        <w:sectPr>
          <w:pgSz w:w="11900" w:h="16840"/>
          <w:pgMar w:top="0" w:bottom="0" w:left="1420" w:right="1520"/>
        </w:sectPr>
      </w:pPr>
    </w:p>
    <w:p>
      <w:pPr>
        <w:tabs>
          <w:tab w:pos="1054" w:val="left" w:leader="none"/>
          <w:tab w:pos="3268" w:val="left" w:leader="none"/>
          <w:tab w:pos="4873" w:val="left" w:leader="none"/>
          <w:tab w:pos="6312" w:val="left" w:leader="none"/>
          <w:tab w:pos="6818" w:val="left" w:leader="none"/>
        </w:tabs>
        <w:spacing w:line="256" w:lineRule="auto" w:before="16"/>
        <w:ind w:left="695" w:right="141" w:firstLine="0"/>
        <w:jc w:val="left"/>
        <w:rPr>
          <w:i/>
          <w:sz w:val="27"/>
        </w:rPr>
      </w:pPr>
      <w:r>
        <w:rPr>
          <w:i/>
          <w:w w:val="105"/>
          <w:sz w:val="27"/>
        </w:rPr>
        <w:t>и</w:t>
        <w:tab/>
        <w:t>сопутствующей</w:t>
        <w:tab/>
        <w:t>патологии,</w:t>
        <w:tab/>
        <w:t>влияющей</w:t>
        <w:tab/>
        <w:t>на</w:t>
        <w:tab/>
      </w:r>
      <w:r>
        <w:rPr>
          <w:i/>
          <w:spacing w:val="-2"/>
          <w:w w:val="105"/>
          <w:sz w:val="27"/>
        </w:rPr>
        <w:t>эффективность </w:t>
      </w:r>
      <w:r>
        <w:rPr>
          <w:i/>
          <w:w w:val="105"/>
          <w:sz w:val="27"/>
        </w:rPr>
        <w:t>лечения и качество жизни</w:t>
      </w:r>
      <w:r>
        <w:rPr>
          <w:i/>
          <w:spacing w:val="-22"/>
          <w:w w:val="105"/>
          <w:sz w:val="27"/>
        </w:rPr>
        <w:t> </w:t>
      </w:r>
      <w:r>
        <w:rPr>
          <w:i/>
          <w:w w:val="105"/>
          <w:sz w:val="27"/>
        </w:rPr>
        <w:t>пациента.</w:t>
      </w:r>
    </w:p>
    <w:p>
      <w:pPr>
        <w:pStyle w:val="BodyText"/>
        <w:spacing w:line="256" w:lineRule="auto" w:before="271"/>
        <w:ind w:left="695"/>
        <w:jc w:val="left"/>
      </w:pPr>
      <w:r>
        <w:rPr/>
        <w:pict>
          <v:shape style="position:absolute;margin-left:91.538452pt;margin-top:20.969475pt;width:4.55pt;height:4.5pt;mso-position-horizontal-relative:page;mso-position-vertical-relative:paragraph;z-index:15779328"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Всем пациентам с АГ для выявления ГЛЖ и определения СС риска рекомендуется проведение 12-канальной ЭКГ [21, 22, 78,</w:t>
      </w:r>
    </w:p>
    <w:p>
      <w:pPr>
        <w:pStyle w:val="BodyText"/>
        <w:ind w:left="695"/>
        <w:jc w:val="left"/>
      </w:pPr>
      <w:r>
        <w:rPr>
          <w:w w:val="105"/>
        </w:rPr>
        <w:t>297].</w:t>
      </w:r>
    </w:p>
    <w:p>
      <w:pPr>
        <w:pStyle w:val="Heading3"/>
        <w:spacing w:before="296"/>
      </w:pPr>
      <w:r>
        <w:rPr>
          <w:w w:val="105"/>
        </w:rPr>
        <w:t>ЕОК/ЕОАГ IВ (УУР В, УДД 1)</w:t>
      </w:r>
    </w:p>
    <w:p>
      <w:pPr>
        <w:spacing w:line="256" w:lineRule="auto" w:before="296"/>
        <w:ind w:left="695" w:right="129" w:firstLine="0"/>
        <w:jc w:val="both"/>
        <w:rPr>
          <w:i/>
          <w:sz w:val="27"/>
        </w:rPr>
      </w:pPr>
      <w:r>
        <w:rPr>
          <w:b/>
          <w:w w:val="105"/>
          <w:sz w:val="27"/>
        </w:rPr>
        <w:t>Комментарии. </w:t>
      </w:r>
      <w:r>
        <w:rPr>
          <w:i/>
          <w:w w:val="105"/>
          <w:sz w:val="27"/>
        </w:rPr>
        <w:t>Выполняется у всех пациентов с АГ для </w:t>
      </w:r>
      <w:r>
        <w:rPr>
          <w:i/>
          <w:w w:val="105"/>
          <w:sz w:val="27"/>
        </w:rPr>
        <w:t>выявления гипертрофии левого желудочка (ГЛЖ) и определения сердечно-сосудистого риска [74–84]. </w:t>
      </w:r>
      <w:r>
        <w:rPr>
          <w:i/>
          <w:spacing w:val="-3"/>
          <w:w w:val="105"/>
          <w:sz w:val="27"/>
        </w:rPr>
        <w:t>ГЛЖ </w:t>
      </w:r>
      <w:r>
        <w:rPr>
          <w:i/>
          <w:w w:val="105"/>
          <w:sz w:val="27"/>
        </w:rPr>
        <w:t>характеризуют индекс Соколова–Лайона (SV1+RV5-6 &gt;35 мм); амплитуда зубца R в Корнельский показатель (RaVL+SV3) &gt;20 мм для женщин, </w:t>
      </w:r>
      <w:r>
        <w:rPr>
          <w:i/>
          <w:spacing w:val="-3"/>
          <w:w w:val="105"/>
          <w:sz w:val="27"/>
        </w:rPr>
        <w:t>(RAVL+SV3) </w:t>
      </w:r>
      <w:r>
        <w:rPr>
          <w:i/>
          <w:w w:val="105"/>
          <w:sz w:val="27"/>
        </w:rPr>
        <w:t>&gt;28 мм для мужчин; Корнельское произведение </w:t>
      </w:r>
      <w:r>
        <w:rPr>
          <w:i/>
          <w:spacing w:val="-3"/>
          <w:w w:val="105"/>
          <w:sz w:val="27"/>
        </w:rPr>
        <w:t>(RAVL+SV5)</w:t>
      </w:r>
      <w:r>
        <w:rPr>
          <w:i/>
          <w:spacing w:val="-24"/>
          <w:w w:val="105"/>
          <w:sz w:val="27"/>
        </w:rPr>
        <w:t> </w:t>
      </w:r>
      <w:r>
        <w:rPr>
          <w:i/>
          <w:w w:val="105"/>
          <w:sz w:val="27"/>
        </w:rPr>
        <w:t>мм</w:t>
      </w:r>
      <w:r>
        <w:rPr>
          <w:i/>
          <w:spacing w:val="-23"/>
          <w:w w:val="105"/>
          <w:sz w:val="27"/>
        </w:rPr>
        <w:t> </w:t>
      </w:r>
      <w:r>
        <w:rPr>
          <w:i/>
          <w:w w:val="105"/>
          <w:sz w:val="27"/>
        </w:rPr>
        <w:t>х</w:t>
      </w:r>
      <w:r>
        <w:rPr>
          <w:i/>
          <w:spacing w:val="-24"/>
          <w:w w:val="105"/>
          <w:sz w:val="27"/>
        </w:rPr>
        <w:t> </w:t>
      </w:r>
      <w:r>
        <w:rPr>
          <w:i/>
          <w:w w:val="105"/>
          <w:sz w:val="27"/>
        </w:rPr>
        <w:t>QRS</w:t>
      </w:r>
      <w:r>
        <w:rPr>
          <w:i/>
          <w:spacing w:val="-23"/>
          <w:w w:val="105"/>
          <w:sz w:val="27"/>
        </w:rPr>
        <w:t> </w:t>
      </w:r>
      <w:r>
        <w:rPr>
          <w:i/>
          <w:w w:val="105"/>
          <w:sz w:val="27"/>
        </w:rPr>
        <w:t>мс&gt;</w:t>
      </w:r>
      <w:r>
        <w:rPr>
          <w:i/>
          <w:spacing w:val="-24"/>
          <w:w w:val="105"/>
          <w:sz w:val="27"/>
        </w:rPr>
        <w:t> </w:t>
      </w:r>
      <w:r>
        <w:rPr>
          <w:i/>
          <w:w w:val="105"/>
          <w:sz w:val="27"/>
        </w:rPr>
        <w:t>2440</w:t>
      </w:r>
      <w:r>
        <w:rPr>
          <w:i/>
          <w:spacing w:val="-23"/>
          <w:w w:val="105"/>
          <w:sz w:val="27"/>
        </w:rPr>
        <w:t> </w:t>
      </w:r>
      <w:r>
        <w:rPr>
          <w:i/>
          <w:w w:val="105"/>
          <w:sz w:val="27"/>
        </w:rPr>
        <w:t>мм</w:t>
      </w:r>
      <w:r>
        <w:rPr>
          <w:i/>
          <w:spacing w:val="-24"/>
          <w:w w:val="105"/>
          <w:sz w:val="27"/>
        </w:rPr>
        <w:t> </w:t>
      </w:r>
      <w:r>
        <w:rPr>
          <w:i/>
          <w:w w:val="105"/>
          <w:sz w:val="27"/>
        </w:rPr>
        <w:t>х</w:t>
      </w:r>
      <w:r>
        <w:rPr>
          <w:i/>
          <w:spacing w:val="-23"/>
          <w:w w:val="105"/>
          <w:sz w:val="27"/>
        </w:rPr>
        <w:t> </w:t>
      </w:r>
      <w:r>
        <w:rPr>
          <w:i/>
          <w:w w:val="105"/>
          <w:sz w:val="27"/>
        </w:rPr>
        <w:t>мс</w:t>
      </w:r>
      <w:r>
        <w:rPr>
          <w:i/>
          <w:spacing w:val="-24"/>
          <w:w w:val="105"/>
          <w:sz w:val="27"/>
        </w:rPr>
        <w:t> </w:t>
      </w:r>
      <w:r>
        <w:rPr>
          <w:i/>
          <w:w w:val="105"/>
          <w:sz w:val="27"/>
        </w:rPr>
        <w:t>[21,</w:t>
      </w:r>
      <w:r>
        <w:rPr>
          <w:i/>
          <w:spacing w:val="-23"/>
          <w:w w:val="105"/>
          <w:sz w:val="27"/>
        </w:rPr>
        <w:t> </w:t>
      </w:r>
      <w:r>
        <w:rPr>
          <w:i/>
          <w:w w:val="105"/>
          <w:sz w:val="27"/>
        </w:rPr>
        <w:t>22].</w:t>
      </w:r>
      <w:r>
        <w:rPr>
          <w:i/>
          <w:spacing w:val="-24"/>
          <w:w w:val="105"/>
          <w:sz w:val="27"/>
        </w:rPr>
        <w:t> </w:t>
      </w:r>
      <w:r>
        <w:rPr>
          <w:i/>
          <w:w w:val="105"/>
          <w:sz w:val="27"/>
        </w:rPr>
        <w:t>Несмотря</w:t>
      </w:r>
      <w:r>
        <w:rPr>
          <w:i/>
          <w:spacing w:val="-23"/>
          <w:w w:val="105"/>
          <w:sz w:val="27"/>
        </w:rPr>
        <w:t> </w:t>
      </w:r>
      <w:r>
        <w:rPr>
          <w:i/>
          <w:w w:val="105"/>
          <w:sz w:val="27"/>
        </w:rPr>
        <w:t>на</w:t>
      </w:r>
      <w:r>
        <w:rPr>
          <w:i/>
          <w:spacing w:val="-24"/>
          <w:w w:val="105"/>
          <w:sz w:val="27"/>
        </w:rPr>
        <w:t> </w:t>
      </w:r>
      <w:r>
        <w:rPr>
          <w:i/>
          <w:w w:val="105"/>
          <w:sz w:val="27"/>
        </w:rPr>
        <w:t>то, что</w:t>
      </w:r>
      <w:r>
        <w:rPr>
          <w:i/>
          <w:spacing w:val="-13"/>
          <w:w w:val="105"/>
          <w:sz w:val="27"/>
        </w:rPr>
        <w:t> </w:t>
      </w:r>
      <w:r>
        <w:rPr>
          <w:i/>
          <w:w w:val="105"/>
          <w:sz w:val="27"/>
        </w:rPr>
        <w:t>ЭКГ</w:t>
      </w:r>
      <w:r>
        <w:rPr>
          <w:i/>
          <w:spacing w:val="-12"/>
          <w:w w:val="105"/>
          <w:sz w:val="27"/>
        </w:rPr>
        <w:t> </w:t>
      </w:r>
      <w:r>
        <w:rPr>
          <w:i/>
          <w:w w:val="105"/>
          <w:sz w:val="27"/>
        </w:rPr>
        <w:t>является</w:t>
      </w:r>
      <w:r>
        <w:rPr>
          <w:i/>
          <w:spacing w:val="-12"/>
          <w:w w:val="105"/>
          <w:sz w:val="27"/>
        </w:rPr>
        <w:t> </w:t>
      </w:r>
      <w:r>
        <w:rPr>
          <w:i/>
          <w:w w:val="105"/>
          <w:sz w:val="27"/>
        </w:rPr>
        <w:t>менее</w:t>
      </w:r>
      <w:r>
        <w:rPr>
          <w:i/>
          <w:spacing w:val="-12"/>
          <w:w w:val="105"/>
          <w:sz w:val="27"/>
        </w:rPr>
        <w:t> </w:t>
      </w:r>
      <w:r>
        <w:rPr>
          <w:i/>
          <w:w w:val="105"/>
          <w:sz w:val="27"/>
        </w:rPr>
        <w:t>чувствительным</w:t>
      </w:r>
      <w:r>
        <w:rPr>
          <w:i/>
          <w:spacing w:val="-13"/>
          <w:w w:val="105"/>
          <w:sz w:val="27"/>
        </w:rPr>
        <w:t> </w:t>
      </w:r>
      <w:r>
        <w:rPr>
          <w:i/>
          <w:w w:val="105"/>
          <w:sz w:val="27"/>
        </w:rPr>
        <w:t>методом</w:t>
      </w:r>
      <w:r>
        <w:rPr>
          <w:i/>
          <w:spacing w:val="-12"/>
          <w:w w:val="105"/>
          <w:sz w:val="27"/>
        </w:rPr>
        <w:t> </w:t>
      </w:r>
      <w:r>
        <w:rPr>
          <w:i/>
          <w:w w:val="105"/>
          <w:sz w:val="27"/>
        </w:rPr>
        <w:t>диагностики </w:t>
      </w:r>
      <w:r>
        <w:rPr>
          <w:i/>
          <w:spacing w:val="-3"/>
          <w:w w:val="105"/>
          <w:sz w:val="27"/>
        </w:rPr>
        <w:t>ГЛЖ </w:t>
      </w:r>
      <w:r>
        <w:rPr>
          <w:i/>
          <w:w w:val="105"/>
          <w:sz w:val="27"/>
        </w:rPr>
        <w:t>по сравнению с ЭхоКГ [80, 82, 84], она незаменима для документирования</w:t>
      </w:r>
      <w:r>
        <w:rPr>
          <w:i/>
          <w:spacing w:val="-22"/>
          <w:w w:val="105"/>
          <w:sz w:val="27"/>
        </w:rPr>
        <w:t> </w:t>
      </w:r>
      <w:r>
        <w:rPr>
          <w:i/>
          <w:w w:val="105"/>
          <w:sz w:val="27"/>
        </w:rPr>
        <w:t>сердечного</w:t>
      </w:r>
      <w:r>
        <w:rPr>
          <w:i/>
          <w:spacing w:val="-21"/>
          <w:w w:val="105"/>
          <w:sz w:val="27"/>
        </w:rPr>
        <w:t> </w:t>
      </w:r>
      <w:r>
        <w:rPr>
          <w:i/>
          <w:w w:val="105"/>
          <w:sz w:val="27"/>
        </w:rPr>
        <w:t>ритма,</w:t>
      </w:r>
      <w:r>
        <w:rPr>
          <w:i/>
          <w:spacing w:val="-22"/>
          <w:w w:val="105"/>
          <w:sz w:val="27"/>
        </w:rPr>
        <w:t> </w:t>
      </w:r>
      <w:r>
        <w:rPr>
          <w:i/>
          <w:spacing w:val="-3"/>
          <w:w w:val="105"/>
          <w:sz w:val="27"/>
        </w:rPr>
        <w:t>ЧСС</w:t>
      </w:r>
      <w:r>
        <w:rPr>
          <w:i/>
          <w:spacing w:val="-21"/>
          <w:w w:val="105"/>
          <w:sz w:val="27"/>
        </w:rPr>
        <w:t> </w:t>
      </w:r>
      <w:r>
        <w:rPr>
          <w:i/>
          <w:w w:val="105"/>
          <w:sz w:val="27"/>
        </w:rPr>
        <w:t>и</w:t>
      </w:r>
      <w:r>
        <w:rPr>
          <w:i/>
          <w:spacing w:val="-22"/>
          <w:w w:val="105"/>
          <w:sz w:val="27"/>
        </w:rPr>
        <w:t> </w:t>
      </w:r>
      <w:r>
        <w:rPr>
          <w:i/>
          <w:w w:val="105"/>
          <w:sz w:val="27"/>
        </w:rPr>
        <w:t>выявления</w:t>
      </w:r>
      <w:r>
        <w:rPr>
          <w:i/>
          <w:spacing w:val="-21"/>
          <w:w w:val="105"/>
          <w:sz w:val="27"/>
        </w:rPr>
        <w:t> </w:t>
      </w:r>
      <w:r>
        <w:rPr>
          <w:i/>
          <w:w w:val="105"/>
          <w:sz w:val="27"/>
        </w:rPr>
        <w:t>аритмий.</w:t>
      </w:r>
    </w:p>
    <w:p>
      <w:pPr>
        <w:pStyle w:val="BodyText"/>
        <w:spacing w:line="256" w:lineRule="auto" w:before="274"/>
        <w:ind w:left="695" w:right="134"/>
      </w:pPr>
      <w:r>
        <w:rPr/>
        <w:pict>
          <v:shape style="position:absolute;margin-left:91.538452pt;margin-top:21.119474pt;width:4.55pt;height:4.5pt;mso-position-horizontal-relative:page;mso-position-vertical-relative:paragraph;z-index:15779840" coordorigin="1831,422" coordsize="91,90" path="m1888,512l1863,512,1853,508,1835,490,1831,480,1831,455,1835,444,1853,427,1863,422,1888,422,1899,427,1916,444,1921,455,1921,467,1921,480,1916,490,1899,508,1888,512xe" filled="true" fillcolor="#000000" stroked="false">
            <v:path arrowok="t"/>
            <v:fill type="solid"/>
            <w10:wrap type="none"/>
          </v:shape>
        </w:pict>
      </w:r>
      <w:r>
        <w:rPr/>
        <w:t>Пациентам с АГ при наличии изменений на ЭКГ или симптомов/признаков дисфункции левого желудочка рекомендуется проведение ЭхоКГ для выявления степени ГЛЖ [21, 22, 81].</w:t>
      </w:r>
    </w:p>
    <w:p>
      <w:pPr>
        <w:pStyle w:val="Heading3"/>
        <w:spacing w:before="272"/>
      </w:pPr>
      <w:r>
        <w:rPr>
          <w:w w:val="105"/>
        </w:rPr>
        <w:t>ЕОК/ЕОАГ IВ (УУР B, УДД 2)</w:t>
      </w:r>
    </w:p>
    <w:p>
      <w:pPr>
        <w:spacing w:line="256" w:lineRule="auto" w:before="296"/>
        <w:ind w:left="695" w:right="131" w:firstLine="0"/>
        <w:jc w:val="both"/>
        <w:rPr>
          <w:i/>
          <w:sz w:val="27"/>
        </w:rPr>
      </w:pPr>
      <w:r>
        <w:rPr>
          <w:b/>
          <w:w w:val="105"/>
          <w:sz w:val="27"/>
        </w:rPr>
        <w:t>Комментарии. </w:t>
      </w:r>
      <w:r>
        <w:rPr>
          <w:i/>
          <w:w w:val="105"/>
          <w:sz w:val="27"/>
        </w:rPr>
        <w:t>В таблице П6 (Приложение Г2) приведены </w:t>
      </w:r>
      <w:r>
        <w:rPr>
          <w:i/>
          <w:w w:val="105"/>
          <w:sz w:val="27"/>
        </w:rPr>
        <w:t>эхокардиографические критерии для диагностики изменений левых отделов сердца [85].</w:t>
      </w:r>
    </w:p>
    <w:p>
      <w:pPr>
        <w:pStyle w:val="BodyText"/>
        <w:spacing w:line="256" w:lineRule="auto" w:before="271"/>
        <w:ind w:left="695" w:right="128"/>
      </w:pPr>
      <w:r>
        <w:rPr/>
        <w:pict>
          <v:shape style="position:absolute;margin-left:91.538452pt;margin-top:20.969488pt;width:4.55pt;height:4.55pt;mso-position-horizontal-relative:page;mso-position-vertical-relative:paragraph;z-index:15780352"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t>Пациентам с АГ в сочетании с ЦВБ или признаками атеросклеротического поражения сосудов других локализаций, при указании в анамнезе на преходящую слабость в конечностях с одной стороны или онемение половины тела, а также мужчинам старше 40 лет, женщинам старше 50 лет и пациентам с высоким общим сердечно-сосудистым риском (Таблица П12, Приложение Г2) рекомендуется дуплексное сканирование брахиоцефальных артерий для выявления атеросклеротических бляшек/стенозов внутренних сонных артерий [21, 298].</w:t>
      </w:r>
    </w:p>
    <w:p>
      <w:pPr>
        <w:pStyle w:val="Heading3"/>
        <w:spacing w:before="275"/>
      </w:pPr>
      <w:r>
        <w:rPr>
          <w:w w:val="105"/>
        </w:rPr>
        <w:t>ЕОК/ЕОАГ IВ (УУР В, УДД 1)</w:t>
      </w:r>
    </w:p>
    <w:p>
      <w:pPr>
        <w:spacing w:after="0"/>
        <w:sectPr>
          <w:pgSz w:w="11900" w:h="16840"/>
          <w:pgMar w:top="0" w:bottom="280" w:left="1420" w:right="1520"/>
        </w:sectPr>
      </w:pPr>
    </w:p>
    <w:p>
      <w:pPr>
        <w:spacing w:line="256" w:lineRule="auto" w:before="16"/>
        <w:ind w:left="695" w:right="131" w:firstLine="0"/>
        <w:jc w:val="both"/>
        <w:rPr>
          <w:i/>
          <w:sz w:val="27"/>
        </w:rPr>
      </w:pPr>
      <w:r>
        <w:rPr>
          <w:b/>
          <w:w w:val="105"/>
          <w:sz w:val="27"/>
        </w:rPr>
        <w:t>Комментарии.</w:t>
      </w:r>
      <w:r>
        <w:rPr>
          <w:b/>
          <w:spacing w:val="-10"/>
          <w:w w:val="105"/>
          <w:sz w:val="27"/>
        </w:rPr>
        <w:t> </w:t>
      </w:r>
      <w:r>
        <w:rPr>
          <w:i/>
          <w:w w:val="105"/>
          <w:sz w:val="27"/>
        </w:rPr>
        <w:t>О</w:t>
      </w:r>
      <w:r>
        <w:rPr>
          <w:i/>
          <w:spacing w:val="-12"/>
          <w:w w:val="105"/>
          <w:sz w:val="27"/>
        </w:rPr>
        <w:t> </w:t>
      </w:r>
      <w:r>
        <w:rPr>
          <w:i/>
          <w:w w:val="105"/>
          <w:sz w:val="27"/>
        </w:rPr>
        <w:t>наличии</w:t>
      </w:r>
      <w:r>
        <w:rPr>
          <w:i/>
          <w:spacing w:val="-12"/>
          <w:w w:val="105"/>
          <w:sz w:val="27"/>
        </w:rPr>
        <w:t> </w:t>
      </w:r>
      <w:r>
        <w:rPr>
          <w:i/>
          <w:w w:val="105"/>
          <w:sz w:val="27"/>
        </w:rPr>
        <w:t>бляшки</w:t>
      </w:r>
      <w:r>
        <w:rPr>
          <w:i/>
          <w:spacing w:val="-11"/>
          <w:w w:val="105"/>
          <w:sz w:val="27"/>
        </w:rPr>
        <w:t> </w:t>
      </w:r>
      <w:r>
        <w:rPr>
          <w:i/>
          <w:w w:val="105"/>
          <w:sz w:val="27"/>
        </w:rPr>
        <w:t>говорит</w:t>
      </w:r>
      <w:r>
        <w:rPr>
          <w:i/>
          <w:spacing w:val="-12"/>
          <w:w w:val="105"/>
          <w:sz w:val="27"/>
        </w:rPr>
        <w:t> </w:t>
      </w:r>
      <w:r>
        <w:rPr>
          <w:i/>
          <w:w w:val="105"/>
          <w:sz w:val="27"/>
        </w:rPr>
        <w:t>толщина</w:t>
      </w:r>
      <w:r>
        <w:rPr>
          <w:i/>
          <w:spacing w:val="-12"/>
          <w:w w:val="105"/>
          <w:sz w:val="27"/>
        </w:rPr>
        <w:t> </w:t>
      </w:r>
      <w:r>
        <w:rPr>
          <w:i/>
          <w:w w:val="105"/>
          <w:sz w:val="27"/>
        </w:rPr>
        <w:t>комплекса </w:t>
      </w:r>
      <w:r>
        <w:rPr>
          <w:i/>
          <w:w w:val="105"/>
          <w:sz w:val="27"/>
        </w:rPr>
        <w:t>интима-медиа</w:t>
      </w:r>
      <w:r>
        <w:rPr>
          <w:i/>
          <w:spacing w:val="-35"/>
          <w:w w:val="105"/>
          <w:sz w:val="27"/>
        </w:rPr>
        <w:t> </w:t>
      </w:r>
      <w:r>
        <w:rPr>
          <w:i/>
          <w:w w:val="105"/>
          <w:sz w:val="27"/>
        </w:rPr>
        <w:t>(КИМ)&gt;1,5</w:t>
      </w:r>
      <w:r>
        <w:rPr>
          <w:i/>
          <w:spacing w:val="-35"/>
          <w:w w:val="105"/>
          <w:sz w:val="27"/>
        </w:rPr>
        <w:t> </w:t>
      </w:r>
      <w:r>
        <w:rPr>
          <w:i/>
          <w:w w:val="105"/>
          <w:sz w:val="27"/>
        </w:rPr>
        <w:t>мм</w:t>
      </w:r>
      <w:r>
        <w:rPr>
          <w:i/>
          <w:spacing w:val="-35"/>
          <w:w w:val="105"/>
          <w:sz w:val="27"/>
        </w:rPr>
        <w:t> </w:t>
      </w:r>
      <w:r>
        <w:rPr>
          <w:i/>
          <w:w w:val="105"/>
          <w:sz w:val="27"/>
        </w:rPr>
        <w:t>или</w:t>
      </w:r>
      <w:r>
        <w:rPr>
          <w:i/>
          <w:spacing w:val="-35"/>
          <w:w w:val="105"/>
          <w:sz w:val="27"/>
        </w:rPr>
        <w:t> </w:t>
      </w:r>
      <w:r>
        <w:rPr>
          <w:i/>
          <w:w w:val="105"/>
          <w:sz w:val="27"/>
        </w:rPr>
        <w:t>локальное</w:t>
      </w:r>
      <w:r>
        <w:rPr>
          <w:i/>
          <w:spacing w:val="-34"/>
          <w:w w:val="105"/>
          <w:sz w:val="27"/>
        </w:rPr>
        <w:t> </w:t>
      </w:r>
      <w:r>
        <w:rPr>
          <w:i/>
          <w:w w:val="105"/>
          <w:sz w:val="27"/>
        </w:rPr>
        <w:t>увеличение</w:t>
      </w:r>
      <w:r>
        <w:rPr>
          <w:i/>
          <w:spacing w:val="-35"/>
          <w:w w:val="105"/>
          <w:sz w:val="27"/>
        </w:rPr>
        <w:t> </w:t>
      </w:r>
      <w:r>
        <w:rPr>
          <w:i/>
          <w:w w:val="105"/>
          <w:sz w:val="27"/>
        </w:rPr>
        <w:t>толщины на 0,5 мм или на 50%, по сравнению со значением КИМ </w:t>
      </w:r>
      <w:r>
        <w:rPr>
          <w:i/>
          <w:spacing w:val="-14"/>
          <w:w w:val="105"/>
          <w:sz w:val="27"/>
        </w:rPr>
        <w:t>в </w:t>
      </w:r>
      <w:r>
        <w:rPr>
          <w:i/>
          <w:w w:val="105"/>
          <w:sz w:val="27"/>
        </w:rPr>
        <w:t>прилежащих участках сонной артерии</w:t>
      </w:r>
      <w:r>
        <w:rPr>
          <w:i/>
          <w:spacing w:val="-30"/>
          <w:w w:val="105"/>
          <w:sz w:val="27"/>
        </w:rPr>
        <w:t> </w:t>
      </w:r>
      <w:r>
        <w:rPr>
          <w:i/>
          <w:w w:val="105"/>
          <w:sz w:val="27"/>
        </w:rPr>
        <w:t>[21].</w:t>
      </w:r>
    </w:p>
    <w:p>
      <w:pPr>
        <w:pStyle w:val="BodyText"/>
        <w:spacing w:line="256" w:lineRule="auto" w:before="272"/>
        <w:ind w:left="695" w:right="134"/>
      </w:pPr>
      <w:r>
        <w:rPr/>
        <w:pict>
          <v:shape style="position:absolute;margin-left:91.538452pt;margin-top:21.019464pt;width:4.55pt;height:4.55pt;mso-position-horizontal-relative:page;mso-position-vertical-relative:paragraph;z-index:15780864"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t>Рекомендуется определение ЛПИ в целях уточнения категории риска пациентам с симптомами значимого атеросклероза артерий нижних конечностей или пациентам умеренного риска, у которых положительные результаты данного исследованияприведут к изменению категории риска [86, 87].</w:t>
      </w:r>
    </w:p>
    <w:p>
      <w:pPr>
        <w:pStyle w:val="Heading3"/>
        <w:spacing w:before="272"/>
      </w:pPr>
      <w:r>
        <w:rPr>
          <w:w w:val="105"/>
        </w:rPr>
        <w:t>ЕОК/ЕОАГ IIbВ (УУР B, УДД 2)</w:t>
      </w:r>
    </w:p>
    <w:p>
      <w:pPr>
        <w:pStyle w:val="BodyText"/>
        <w:spacing w:line="256" w:lineRule="auto" w:before="296"/>
        <w:ind w:left="695" w:right="132"/>
      </w:pPr>
      <w:r>
        <w:rPr/>
        <w:pict>
          <v:shape style="position:absolute;margin-left:91.538452pt;margin-top:22.219505pt;width:4.55pt;height:4.5pt;mso-position-horizontal-relative:page;mso-position-vertical-relative:paragraph;z-index:15781376"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Всем пациентам с нарушением функции почек,</w:t>
      </w:r>
      <w:r>
        <w:rPr>
          <w:spacing w:val="-16"/>
        </w:rPr>
        <w:t> </w:t>
      </w:r>
      <w:r>
        <w:rPr/>
        <w:t>альбуминурией и при подозрении на вторичную АГ рекомендуется проведение УЗИ (ультразвукового исследования) почек и дуплексного сканирования артерий почек с целью оценки размеров, структуры, а также наличия врожденных аномалий почек или стеноза почечных артерий [60, 61,</w:t>
      </w:r>
      <w:r>
        <w:rPr>
          <w:spacing w:val="-2"/>
        </w:rPr>
        <w:t> </w:t>
      </w:r>
      <w:r>
        <w:rPr/>
        <w:t>64].</w:t>
      </w:r>
    </w:p>
    <w:p>
      <w:pPr>
        <w:pStyle w:val="Heading3"/>
        <w:spacing w:before="273"/>
      </w:pPr>
      <w:r>
        <w:rPr>
          <w:w w:val="105"/>
        </w:rPr>
        <w:t>ЕОК/ЕОАГ IIaC (УУР В, УДД 1)</w:t>
      </w:r>
    </w:p>
    <w:p>
      <w:pPr>
        <w:pStyle w:val="BodyText"/>
        <w:spacing w:line="256" w:lineRule="auto" w:before="296"/>
        <w:ind w:left="695" w:right="132"/>
      </w:pPr>
      <w:r>
        <w:rPr/>
        <w:pict>
          <v:shape style="position:absolute;margin-left:91.538452pt;margin-top:22.219475pt;width:4.55pt;height:4.5pt;mso-position-horizontal-relative:page;mso-position-vertical-relative:paragraph;z-index:15781888"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2–3-й степеней, всем пациентам с сахарным диабетом и АГ рекомендуется проводить исследование глазного дна врачом-офтальмологом (геморрагии, экссудаты, отек соска зрительного нерва) для выявления гипертонической ретинопатии [21,</w:t>
      </w:r>
      <w:r>
        <w:rPr>
          <w:spacing w:val="-4"/>
        </w:rPr>
        <w:t> </w:t>
      </w:r>
      <w:r>
        <w:rPr/>
        <w:t>89].</w:t>
      </w:r>
    </w:p>
    <w:p>
      <w:pPr>
        <w:pStyle w:val="Heading3"/>
        <w:spacing w:before="272"/>
      </w:pPr>
      <w:r>
        <w:rPr>
          <w:w w:val="105"/>
        </w:rPr>
        <w:t>ЕОК/ЕОАГ IС (УУР С, УДД 4)</w:t>
      </w:r>
    </w:p>
    <w:p>
      <w:pPr>
        <w:spacing w:line="256" w:lineRule="auto" w:before="296"/>
        <w:ind w:left="695" w:right="129" w:firstLine="0"/>
        <w:jc w:val="both"/>
        <w:rPr>
          <w:i/>
          <w:sz w:val="27"/>
        </w:rPr>
      </w:pPr>
      <w:r>
        <w:rPr>
          <w:b/>
          <w:w w:val="105"/>
          <w:sz w:val="27"/>
        </w:rPr>
        <w:t>Комментарии. </w:t>
      </w:r>
      <w:r>
        <w:rPr>
          <w:i/>
          <w:w w:val="105"/>
          <w:sz w:val="27"/>
        </w:rPr>
        <w:t>Гипертоническая ретинопатия, выявленная с </w:t>
      </w:r>
      <w:r>
        <w:rPr>
          <w:i/>
          <w:w w:val="105"/>
          <w:sz w:val="27"/>
        </w:rPr>
        <w:t>помощью фундоскопии (осмотра глазного дна), имеет высокую прогностическую значимость при АГ [88–90]. Обнаружение кровоизлияний в сетчатку, микроаневризм, твердых экссудатов, папиллоэдемы указывает на тяжелую гипертоническую ретинопатию и значимо коррелирует с плохим прогнозом. Изменения, характерные для ранних стадий ретинопатии, не имеют существенного прогностического значения и характеризуются низкой воспроизводимостью. Фундоскопия также показана, если диагноз важен для экспертизы трудоспособности или определения годности к военной службе.</w:t>
      </w:r>
    </w:p>
    <w:p>
      <w:pPr>
        <w:pStyle w:val="BodyText"/>
        <w:spacing w:line="256" w:lineRule="auto" w:before="274"/>
        <w:ind w:left="695" w:right="133"/>
      </w:pPr>
      <w:r>
        <w:rPr/>
        <w:pict>
          <v:shape style="position:absolute;margin-left:91.538452pt;margin-top:21.119484pt;width:4.55pt;height:4.5pt;mso-position-horizontal-relative:page;mso-position-vertical-relative:paragraph;z-index:15782400" coordorigin="1831,422" coordsize="91,90" path="m1888,512l1863,512,1853,508,1835,490,1831,480,1831,455,1835,444,1853,427,1863,422,1888,422,1899,427,1916,444,1921,455,1921,467,1921,480,1916,490,1899,508,1888,512xe" filled="true" fillcolor="#000000" stroked="false">
            <v:path arrowok="t"/>
            <v:fill type="solid"/>
            <w10:wrap type="none"/>
          </v:shape>
        </w:pict>
      </w:r>
      <w:r>
        <w:rPr/>
        <w:t>Пациентам с АГ при наличии неврологических симптомов и/ или когнитивных нарушений рекомендуется выполнение КТ или МРТ головного мозга для исключения инфарктов мозга,</w:t>
      </w:r>
    </w:p>
    <w:p>
      <w:pPr>
        <w:spacing w:after="0" w:line="256" w:lineRule="auto"/>
        <w:sectPr>
          <w:pgSz w:w="11900" w:h="16840"/>
          <w:pgMar w:top="0" w:bottom="0" w:left="1420" w:right="1520"/>
        </w:sectPr>
      </w:pPr>
    </w:p>
    <w:p>
      <w:pPr>
        <w:pStyle w:val="BodyText"/>
        <w:spacing w:line="256" w:lineRule="auto" w:before="16"/>
        <w:ind w:left="695" w:right="139"/>
      </w:pPr>
      <w:r>
        <w:rPr/>
        <w:t>микрокровоизлияний и повреждений белого вещества и</w:t>
      </w:r>
      <w:r>
        <w:rPr>
          <w:spacing w:val="-36"/>
        </w:rPr>
        <w:t> </w:t>
      </w:r>
      <w:r>
        <w:rPr/>
        <w:t>других патологических образований [21, 91,</w:t>
      </w:r>
      <w:r>
        <w:rPr>
          <w:spacing w:val="-2"/>
        </w:rPr>
        <w:t> </w:t>
      </w:r>
      <w:r>
        <w:rPr/>
        <w:t>92].</w:t>
      </w:r>
    </w:p>
    <w:p>
      <w:pPr>
        <w:pStyle w:val="Heading3"/>
        <w:jc w:val="both"/>
      </w:pPr>
      <w:r>
        <w:rPr>
          <w:w w:val="105"/>
        </w:rPr>
        <w:t>ЕОК/ЕОАГ IIаВ (УУР А, УДД 1)</w:t>
      </w:r>
    </w:p>
    <w:p>
      <w:pPr>
        <w:spacing w:line="256" w:lineRule="auto" w:before="296"/>
        <w:ind w:left="695" w:right="138" w:firstLine="0"/>
        <w:jc w:val="both"/>
        <w:rPr>
          <w:i/>
          <w:sz w:val="27"/>
        </w:rPr>
      </w:pPr>
      <w:r>
        <w:rPr>
          <w:b/>
          <w:w w:val="110"/>
          <w:sz w:val="27"/>
        </w:rPr>
        <w:t>Комментарии. </w:t>
      </w:r>
      <w:r>
        <w:rPr>
          <w:i/>
          <w:w w:val="110"/>
          <w:sz w:val="27"/>
        </w:rPr>
        <w:t>Гиперинтенсивные очаги в белом веществе </w:t>
      </w:r>
      <w:r>
        <w:rPr>
          <w:i/>
          <w:w w:val="110"/>
          <w:sz w:val="27"/>
        </w:rPr>
        <w:t>головного мозга и бессимптомные инфаркты ассоциированы с </w:t>
      </w:r>
      <w:r>
        <w:rPr>
          <w:i/>
          <w:w w:val="105"/>
          <w:sz w:val="27"/>
        </w:rPr>
        <w:t>прогрессированием</w:t>
      </w:r>
      <w:r>
        <w:rPr>
          <w:i/>
          <w:spacing w:val="-27"/>
          <w:w w:val="105"/>
          <w:sz w:val="27"/>
        </w:rPr>
        <w:t> </w:t>
      </w:r>
      <w:r>
        <w:rPr>
          <w:i/>
          <w:w w:val="105"/>
          <w:sz w:val="27"/>
        </w:rPr>
        <w:t>когнитивной</w:t>
      </w:r>
      <w:r>
        <w:rPr>
          <w:i/>
          <w:spacing w:val="-27"/>
          <w:w w:val="105"/>
          <w:sz w:val="27"/>
        </w:rPr>
        <w:t> </w:t>
      </w:r>
      <w:r>
        <w:rPr>
          <w:i/>
          <w:w w:val="105"/>
          <w:sz w:val="27"/>
        </w:rPr>
        <w:t>дисфункции</w:t>
      </w:r>
      <w:r>
        <w:rPr>
          <w:i/>
          <w:spacing w:val="-26"/>
          <w:w w:val="105"/>
          <w:sz w:val="27"/>
        </w:rPr>
        <w:t> </w:t>
      </w:r>
      <w:r>
        <w:rPr>
          <w:i/>
          <w:w w:val="105"/>
          <w:sz w:val="27"/>
        </w:rPr>
        <w:t>и</w:t>
      </w:r>
      <w:r>
        <w:rPr>
          <w:i/>
          <w:spacing w:val="-27"/>
          <w:w w:val="105"/>
          <w:sz w:val="27"/>
        </w:rPr>
        <w:t> </w:t>
      </w:r>
      <w:r>
        <w:rPr>
          <w:i/>
          <w:w w:val="105"/>
          <w:sz w:val="27"/>
        </w:rPr>
        <w:t>повышением</w:t>
      </w:r>
      <w:r>
        <w:rPr>
          <w:i/>
          <w:spacing w:val="-26"/>
          <w:w w:val="105"/>
          <w:sz w:val="27"/>
        </w:rPr>
        <w:t> </w:t>
      </w:r>
      <w:r>
        <w:rPr>
          <w:i/>
          <w:w w:val="105"/>
          <w:sz w:val="27"/>
        </w:rPr>
        <w:t>риска </w:t>
      </w:r>
      <w:r>
        <w:rPr>
          <w:i/>
          <w:w w:val="110"/>
          <w:sz w:val="27"/>
        </w:rPr>
        <w:t>инсульта</w:t>
      </w:r>
      <w:r>
        <w:rPr>
          <w:i/>
          <w:spacing w:val="-28"/>
          <w:w w:val="110"/>
          <w:sz w:val="27"/>
        </w:rPr>
        <w:t> </w:t>
      </w:r>
      <w:r>
        <w:rPr>
          <w:i/>
          <w:w w:val="110"/>
          <w:sz w:val="27"/>
        </w:rPr>
        <w:t>в</w:t>
      </w:r>
      <w:r>
        <w:rPr>
          <w:i/>
          <w:spacing w:val="-28"/>
          <w:w w:val="110"/>
          <w:sz w:val="27"/>
        </w:rPr>
        <w:t> </w:t>
      </w:r>
      <w:r>
        <w:rPr>
          <w:i/>
          <w:w w:val="110"/>
          <w:sz w:val="27"/>
        </w:rPr>
        <w:t>связи</w:t>
      </w:r>
      <w:r>
        <w:rPr>
          <w:i/>
          <w:spacing w:val="-27"/>
          <w:w w:val="110"/>
          <w:sz w:val="27"/>
        </w:rPr>
        <w:t> </w:t>
      </w:r>
      <w:r>
        <w:rPr>
          <w:i/>
          <w:w w:val="110"/>
          <w:sz w:val="27"/>
        </w:rPr>
        <w:t>с</w:t>
      </w:r>
      <w:r>
        <w:rPr>
          <w:i/>
          <w:spacing w:val="-28"/>
          <w:w w:val="110"/>
          <w:sz w:val="27"/>
        </w:rPr>
        <w:t> </w:t>
      </w:r>
      <w:r>
        <w:rPr>
          <w:i/>
          <w:w w:val="110"/>
          <w:sz w:val="27"/>
        </w:rPr>
        <w:t>дегенеративной</w:t>
      </w:r>
      <w:r>
        <w:rPr>
          <w:i/>
          <w:spacing w:val="-27"/>
          <w:w w:val="110"/>
          <w:sz w:val="27"/>
        </w:rPr>
        <w:t> </w:t>
      </w:r>
      <w:r>
        <w:rPr>
          <w:i/>
          <w:w w:val="110"/>
          <w:sz w:val="27"/>
        </w:rPr>
        <w:t>и</w:t>
      </w:r>
      <w:r>
        <w:rPr>
          <w:i/>
          <w:spacing w:val="-28"/>
          <w:w w:val="110"/>
          <w:sz w:val="27"/>
        </w:rPr>
        <w:t> </w:t>
      </w:r>
      <w:r>
        <w:rPr>
          <w:i/>
          <w:w w:val="110"/>
          <w:sz w:val="27"/>
        </w:rPr>
        <w:t>сосудистой</w:t>
      </w:r>
      <w:r>
        <w:rPr>
          <w:i/>
          <w:spacing w:val="-28"/>
          <w:w w:val="110"/>
          <w:sz w:val="27"/>
        </w:rPr>
        <w:t> </w:t>
      </w:r>
      <w:r>
        <w:rPr>
          <w:i/>
          <w:w w:val="110"/>
          <w:sz w:val="27"/>
        </w:rPr>
        <w:t>деменцией.</w:t>
      </w:r>
    </w:p>
    <w:p>
      <w:pPr>
        <w:pStyle w:val="BodyText"/>
        <w:spacing w:before="13"/>
        <w:ind w:left="0"/>
        <w:jc w:val="left"/>
        <w:rPr>
          <w:i/>
          <w:sz w:val="49"/>
        </w:rPr>
      </w:pPr>
    </w:p>
    <w:p>
      <w:pPr>
        <w:pStyle w:val="Heading2"/>
        <w:numPr>
          <w:ilvl w:val="1"/>
          <w:numId w:val="5"/>
        </w:numPr>
        <w:tabs>
          <w:tab w:pos="1039" w:val="left" w:leader="none"/>
        </w:tabs>
        <w:spacing w:line="240" w:lineRule="auto" w:before="0" w:after="0"/>
        <w:ind w:left="1038" w:right="0" w:hanging="659"/>
        <w:jc w:val="left"/>
      </w:pPr>
      <w:r>
        <w:rPr/>
        <w:t>Иные диагностические</w:t>
      </w:r>
      <w:r>
        <w:rPr>
          <w:spacing w:val="14"/>
        </w:rPr>
        <w:t> </w:t>
      </w:r>
      <w:r>
        <w:rPr/>
        <w:t>исследования</w:t>
      </w:r>
    </w:p>
    <w:p>
      <w:pPr>
        <w:pStyle w:val="BodyText"/>
        <w:spacing w:before="8"/>
        <w:ind w:left="0"/>
        <w:jc w:val="left"/>
        <w:rPr>
          <w:b/>
          <w:sz w:val="30"/>
        </w:rPr>
      </w:pPr>
    </w:p>
    <w:p>
      <w:pPr>
        <w:pStyle w:val="BodyText"/>
        <w:spacing w:line="256" w:lineRule="auto"/>
        <w:ind w:left="695" w:right="130"/>
      </w:pPr>
      <w:r>
        <w:rPr/>
        <w:t>Иные диагностические исследования в рамках диагностики АГ не предусмотрены, возможно расширение диагностических исследований по решению врача в зависимости </w:t>
      </w:r>
      <w:r>
        <w:rPr>
          <w:spacing w:val="-3"/>
        </w:rPr>
        <w:t>от  </w:t>
      </w:r>
      <w:r>
        <w:rPr/>
        <w:t>клинической ситуации и состояния</w:t>
      </w:r>
      <w:r>
        <w:rPr>
          <w:spacing w:val="-9"/>
        </w:rPr>
        <w:t> </w:t>
      </w:r>
      <w:r>
        <w:rPr/>
        <w:t>пациента.</w:t>
      </w:r>
    </w:p>
    <w:p>
      <w:pPr>
        <w:pStyle w:val="BodyText"/>
        <w:spacing w:line="256" w:lineRule="auto" w:before="271"/>
        <w:ind w:left="695" w:right="134"/>
      </w:pPr>
      <w:r>
        <w:rPr/>
        <w:pict>
          <v:shape style="position:absolute;margin-left:91.538452pt;margin-top:20.969475pt;width:4.55pt;height:4.5pt;mso-position-horizontal-relative:page;mso-position-vertical-relative:paragraph;z-index:15782912"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Когнитивные нарушения у пожилых пациентов частично ассоциированы с АГ, в связи с чем у пожилых пациентов с анамнезом, позволяющим предположить ранний когнитивный дефицит, рекомендована оценка когнитивной функции с использованием теста MMSE (MiniMentalStateExamination) [93, 94].</w:t>
      </w:r>
    </w:p>
    <w:p>
      <w:pPr>
        <w:pStyle w:val="BodyText"/>
        <w:spacing w:before="273"/>
        <w:ind w:left="695"/>
      </w:pPr>
      <w:r>
        <w:rPr/>
        <w:t>ЕОК/ЕОАГ нет (УУР A, УДД 1)</w:t>
      </w:r>
    </w:p>
    <w:p>
      <w:pPr>
        <w:spacing w:after="0"/>
        <w:sectPr>
          <w:pgSz w:w="11900" w:h="16840"/>
          <w:pgMar w:top="0" w:bottom="280" w:left="1420" w:right="1520"/>
        </w:sectPr>
      </w:pPr>
    </w:p>
    <w:p>
      <w:pPr>
        <w:pStyle w:val="Heading1"/>
        <w:numPr>
          <w:ilvl w:val="0"/>
          <w:numId w:val="2"/>
        </w:numPr>
        <w:tabs>
          <w:tab w:pos="924" w:val="left" w:leader="none"/>
        </w:tabs>
        <w:spacing w:line="240" w:lineRule="auto" w:before="66" w:after="0"/>
        <w:ind w:left="923" w:right="0" w:hanging="544"/>
        <w:jc w:val="left"/>
      </w:pPr>
      <w:r>
        <w:rPr/>
        <w:t>Лечение</w:t>
      </w:r>
    </w:p>
    <w:p>
      <w:pPr>
        <w:spacing w:line="256" w:lineRule="auto" w:before="383"/>
        <w:ind w:left="695" w:right="130" w:firstLine="0"/>
        <w:jc w:val="both"/>
        <w:rPr>
          <w:i/>
          <w:sz w:val="27"/>
        </w:rPr>
      </w:pPr>
      <w:r>
        <w:rPr>
          <w:i/>
          <w:w w:val="105"/>
          <w:sz w:val="27"/>
        </w:rPr>
        <w:t>Решение о тактике лечения рекомендуется принимать в </w:t>
      </w:r>
      <w:r>
        <w:rPr>
          <w:i/>
          <w:w w:val="105"/>
          <w:sz w:val="27"/>
        </w:rPr>
        <w:t>зависимости от исходного уровня АД и общего сердечно- сосудистого риска. Показания к АГТ суммированы в таблице П1, Приложение Г4.</w:t>
      </w:r>
    </w:p>
    <w:p>
      <w:pPr>
        <w:pStyle w:val="BodyText"/>
        <w:spacing w:line="256" w:lineRule="auto" w:before="272"/>
        <w:ind w:left="695" w:right="131"/>
      </w:pPr>
      <w:r>
        <w:rPr/>
        <w:pict>
          <v:shape style="position:absolute;margin-left:91.538452pt;margin-top:21.019499pt;width:4.55pt;height:4.5pt;mso-position-horizontal-relative:page;mso-position-vertical-relative:paragraph;z-index:15783424"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1-й степени рекомендуется проводить мероприятия по изменению (оздоровлению) образа жизни с целью нормализации АД и коррекции факторов риска [21, 95, 96].</w:t>
      </w:r>
    </w:p>
    <w:p>
      <w:pPr>
        <w:pStyle w:val="Heading3"/>
        <w:spacing w:before="272"/>
      </w:pPr>
      <w:r>
        <w:rPr>
          <w:w w:val="105"/>
        </w:rPr>
        <w:t>ЕОК/ЕОАГ IIаB (УУР B, УДД 1)</w:t>
      </w:r>
    </w:p>
    <w:p>
      <w:pPr>
        <w:spacing w:line="256" w:lineRule="auto" w:before="296"/>
        <w:ind w:left="695" w:right="139" w:firstLine="0"/>
        <w:jc w:val="both"/>
        <w:rPr>
          <w:i/>
          <w:sz w:val="27"/>
        </w:rPr>
      </w:pPr>
      <w:r>
        <w:rPr>
          <w:b/>
          <w:w w:val="105"/>
          <w:sz w:val="27"/>
        </w:rPr>
        <w:t>Комментарии. </w:t>
      </w:r>
      <w:r>
        <w:rPr>
          <w:i/>
          <w:w w:val="105"/>
          <w:sz w:val="27"/>
        </w:rPr>
        <w:t>Подробный подход к изменению образа жизни с </w:t>
      </w:r>
      <w:r>
        <w:rPr>
          <w:i/>
          <w:w w:val="105"/>
          <w:sz w:val="27"/>
        </w:rPr>
        <w:t>целью снижения СС риска представлен в разделе</w:t>
      </w:r>
    </w:p>
    <w:p>
      <w:pPr>
        <w:spacing w:before="1"/>
        <w:ind w:left="695" w:right="0" w:firstLine="0"/>
        <w:jc w:val="both"/>
        <w:rPr>
          <w:i/>
          <w:sz w:val="27"/>
        </w:rPr>
      </w:pPr>
      <w:r>
        <w:rPr>
          <w:i/>
          <w:w w:val="105"/>
          <w:sz w:val="27"/>
        </w:rPr>
        <w:t>«Немедикаментозное лечение АГ».</w:t>
      </w:r>
    </w:p>
    <w:p>
      <w:pPr>
        <w:pStyle w:val="BodyText"/>
        <w:spacing w:before="10"/>
        <w:ind w:left="0"/>
        <w:jc w:val="left"/>
        <w:rPr>
          <w:i/>
          <w:sz w:val="51"/>
        </w:rPr>
      </w:pPr>
    </w:p>
    <w:p>
      <w:pPr>
        <w:pStyle w:val="ListParagraph"/>
        <w:numPr>
          <w:ilvl w:val="1"/>
          <w:numId w:val="2"/>
        </w:numPr>
        <w:tabs>
          <w:tab w:pos="941" w:val="left" w:leader="none"/>
        </w:tabs>
        <w:spacing w:line="240" w:lineRule="auto" w:before="0" w:after="0"/>
        <w:ind w:left="940" w:right="0" w:hanging="561"/>
        <w:jc w:val="left"/>
        <w:rPr>
          <w:b/>
          <w:sz w:val="33"/>
        </w:rPr>
      </w:pPr>
      <w:r>
        <w:rPr>
          <w:b/>
          <w:sz w:val="33"/>
        </w:rPr>
        <w:t>Показания к антигипертензивной</w:t>
      </w:r>
      <w:r>
        <w:rPr>
          <w:b/>
          <w:spacing w:val="24"/>
          <w:sz w:val="33"/>
        </w:rPr>
        <w:t> </w:t>
      </w:r>
      <w:r>
        <w:rPr>
          <w:b/>
          <w:sz w:val="33"/>
        </w:rPr>
        <w:t>терапии</w:t>
      </w:r>
    </w:p>
    <w:p>
      <w:pPr>
        <w:pStyle w:val="BodyText"/>
        <w:spacing w:before="8"/>
        <w:ind w:left="0"/>
        <w:jc w:val="left"/>
        <w:rPr>
          <w:b/>
          <w:sz w:val="30"/>
        </w:rPr>
      </w:pPr>
    </w:p>
    <w:p>
      <w:pPr>
        <w:pStyle w:val="BodyText"/>
        <w:spacing w:before="0"/>
        <w:ind w:left="695"/>
      </w:pPr>
      <w:r>
        <w:rPr/>
        <w:t>(Таблица П2, Приложение Г4)</w:t>
      </w:r>
    </w:p>
    <w:p>
      <w:pPr>
        <w:pStyle w:val="BodyText"/>
        <w:tabs>
          <w:tab w:pos="2173" w:val="left" w:leader="none"/>
          <w:tab w:pos="4831" w:val="left" w:leader="none"/>
          <w:tab w:pos="7943" w:val="left" w:leader="none"/>
        </w:tabs>
        <w:spacing w:line="256" w:lineRule="auto" w:before="296"/>
        <w:ind w:left="695" w:right="128"/>
      </w:pPr>
      <w:r>
        <w:rPr/>
        <w:pict>
          <v:shape style="position:absolute;margin-left:91.538452pt;margin-top:22.21949pt;width:4.55pt;height:4.5pt;mso-position-horizontal-relative:page;mso-position-vertical-relative:paragraph;z-index:15783936"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w w:val="105"/>
        </w:rPr>
        <w:t>Пациентам с АГ 2-й или 3-й степени при любом уровне </w:t>
      </w:r>
      <w:r>
        <w:rPr>
          <w:spacing w:val="-4"/>
          <w:w w:val="105"/>
        </w:rPr>
        <w:t>СС </w:t>
      </w:r>
      <w:r>
        <w:rPr>
          <w:w w:val="105"/>
        </w:rPr>
        <w:t>риска</w:t>
        <w:tab/>
        <w:t>рекомендуется</w:t>
        <w:tab/>
        <w:t>незамедлительное</w:t>
        <w:tab/>
      </w:r>
      <w:r>
        <w:rPr>
          <w:spacing w:val="-3"/>
        </w:rPr>
        <w:t>начало </w:t>
      </w:r>
      <w:r>
        <w:rPr>
          <w:w w:val="105"/>
        </w:rPr>
        <w:t>антигипертензивной лекарственной терапии для снижения риска</w:t>
      </w:r>
      <w:r>
        <w:rPr>
          <w:spacing w:val="-17"/>
          <w:w w:val="105"/>
        </w:rPr>
        <w:t> </w:t>
      </w:r>
      <w:r>
        <w:rPr>
          <w:w w:val="105"/>
        </w:rPr>
        <w:t>развития</w:t>
      </w:r>
      <w:r>
        <w:rPr>
          <w:spacing w:val="-16"/>
          <w:w w:val="105"/>
        </w:rPr>
        <w:t> </w:t>
      </w:r>
      <w:r>
        <w:rPr>
          <w:w w:val="105"/>
        </w:rPr>
        <w:t>сердечно-сосудистых</w:t>
      </w:r>
      <w:r>
        <w:rPr>
          <w:spacing w:val="-17"/>
          <w:w w:val="105"/>
        </w:rPr>
        <w:t> </w:t>
      </w:r>
      <w:r>
        <w:rPr>
          <w:w w:val="105"/>
        </w:rPr>
        <w:t>осложнений,</w:t>
      </w:r>
      <w:r>
        <w:rPr>
          <w:spacing w:val="-16"/>
          <w:w w:val="105"/>
        </w:rPr>
        <w:t> </w:t>
      </w:r>
      <w:r>
        <w:rPr>
          <w:spacing w:val="-4"/>
          <w:w w:val="105"/>
        </w:rPr>
        <w:t>СС</w:t>
      </w:r>
      <w:r>
        <w:rPr>
          <w:spacing w:val="-17"/>
          <w:w w:val="105"/>
        </w:rPr>
        <w:t> </w:t>
      </w:r>
      <w:r>
        <w:rPr>
          <w:w w:val="105"/>
        </w:rPr>
        <w:t>смерти </w:t>
      </w:r>
      <w:r>
        <w:rPr/>
        <w:t>одновременно с рекомендациями по изменению образа жизни </w:t>
      </w:r>
      <w:r>
        <w:rPr>
          <w:w w:val="105"/>
        </w:rPr>
        <w:t>[59,</w:t>
      </w:r>
      <w:r>
        <w:rPr>
          <w:spacing w:val="-6"/>
          <w:w w:val="105"/>
        </w:rPr>
        <w:t> </w:t>
      </w:r>
      <w:r>
        <w:rPr>
          <w:w w:val="105"/>
        </w:rPr>
        <w:t>110].</w:t>
      </w:r>
    </w:p>
    <w:p>
      <w:pPr>
        <w:pStyle w:val="Heading3"/>
        <w:spacing w:before="273"/>
      </w:pPr>
      <w:r>
        <w:rPr>
          <w:w w:val="105"/>
        </w:rPr>
        <w:t>ЕОК/ЕОАГ IА (УУР А, УДД 1)</w:t>
      </w:r>
    </w:p>
    <w:p>
      <w:pPr>
        <w:pStyle w:val="BodyText"/>
        <w:spacing w:line="256" w:lineRule="auto" w:before="296"/>
        <w:ind w:left="695" w:right="129"/>
      </w:pPr>
      <w:r>
        <w:rPr/>
        <w:pict>
          <v:shape style="position:absolute;margin-left:91.538452pt;margin-top:22.21949pt;width:4.55pt;height:4.5pt;mso-position-horizontal-relative:page;mso-position-vertical-relative:paragraph;z-index:15784448"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1-й степени, относящимся к категориям низкого/умеренного риска без признаков ПОМ (оценка риска по шкале SCORE (Таблица П11, Приложение Г2)</w:t>
      </w:r>
      <w:r>
        <w:rPr>
          <w:spacing w:val="-23"/>
        </w:rPr>
        <w:t> </w:t>
      </w:r>
      <w:r>
        <w:rPr/>
        <w:t>рекомендуется начинать антигипертензивную лекарственную терапию в том случае, если у них сохраняется повышенное АД, несмотря на мероприятия по изменению образа жизни в течение 3 месяцев [21, 22,</w:t>
      </w:r>
      <w:r>
        <w:rPr>
          <w:spacing w:val="-3"/>
        </w:rPr>
        <w:t> </w:t>
      </w:r>
      <w:r>
        <w:rPr/>
        <w:t>97].</w:t>
      </w:r>
    </w:p>
    <w:p>
      <w:pPr>
        <w:pStyle w:val="Heading3"/>
        <w:spacing w:before="273"/>
      </w:pPr>
      <w:r>
        <w:rPr>
          <w:w w:val="105"/>
        </w:rPr>
        <w:t>ЕОК/ЕОАГ IА (УУР А, УДД 1)</w:t>
      </w:r>
    </w:p>
    <w:p>
      <w:pPr>
        <w:spacing w:after="0"/>
        <w:sectPr>
          <w:pgSz w:w="11900" w:h="16840"/>
          <w:pgMar w:top="600" w:bottom="280" w:left="1420" w:right="1520"/>
        </w:sectPr>
      </w:pPr>
    </w:p>
    <w:p>
      <w:pPr>
        <w:pStyle w:val="BodyText"/>
        <w:spacing w:line="256" w:lineRule="auto" w:before="16"/>
        <w:ind w:left="695" w:right="129"/>
      </w:pPr>
      <w:r>
        <w:rPr/>
        <w:pict>
          <v:shape style="position:absolute;margin-left:91.538452pt;margin-top:8.2195pt;width:4.55pt;height:4.5pt;mso-position-horizontal-relative:page;mso-position-vertical-relative:paragraph;z-index:15784960" coordorigin="1831,164" coordsize="91,90" path="m1888,254l1863,254,1853,250,1835,232,1831,222,1831,197,1835,186,1853,169,1863,164,1888,164,1899,169,1916,186,1921,197,1921,209,1921,222,1916,232,1899,250,1888,254xe" filled="true" fillcolor="#000000" stroked="false">
            <v:path arrowok="t"/>
            <v:fill type="solid"/>
            <w10:wrap type="none"/>
          </v:shape>
        </w:pict>
      </w:r>
      <w:r>
        <w:rPr/>
        <w:t>Пациентам с АГ 1-й степени, относящимся к категории высокого риска (оценка риска по шкале SCORE (Приложение Г3) при неосложненной АГ или при наличии ПОМ, рекомендуется незамедлительное начало антигипертензивной лекарственной терапии одновременно с рекомендациями по изменению образа жизни [21, 22, 97].</w:t>
      </w:r>
    </w:p>
    <w:p>
      <w:pPr>
        <w:pStyle w:val="Heading3"/>
        <w:spacing w:before="273"/>
      </w:pPr>
      <w:r>
        <w:rPr>
          <w:w w:val="105"/>
        </w:rPr>
        <w:t>ЕОК/ЕОАГ IА (УУР А, УДД 1)</w:t>
      </w:r>
    </w:p>
    <w:p>
      <w:pPr>
        <w:pStyle w:val="BodyText"/>
        <w:spacing w:line="256" w:lineRule="auto" w:before="296"/>
        <w:ind w:left="695" w:right="135"/>
      </w:pPr>
      <w:r>
        <w:rPr/>
        <w:pict>
          <v:shape style="position:absolute;margin-left:91.538452pt;margin-top:22.219498pt;width:4.55pt;height:4.5pt;mso-position-horizontal-relative:page;mso-position-vertical-relative:paragraph;z-index:15785472"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высоким нормальным АД (130–139/85–89 мм рт. </w:t>
      </w:r>
      <w:r>
        <w:rPr>
          <w:spacing w:val="-4"/>
        </w:rPr>
        <w:t>ст.) </w:t>
      </w:r>
      <w:r>
        <w:rPr/>
        <w:t>рекомендуется начало АГТ при очень высоком уровне </w:t>
      </w:r>
      <w:r>
        <w:rPr>
          <w:spacing w:val="-4"/>
        </w:rPr>
        <w:t>СС </w:t>
      </w:r>
      <w:r>
        <w:rPr/>
        <w:t>риска вследствие наличия </w:t>
      </w:r>
      <w:r>
        <w:rPr>
          <w:spacing w:val="-3"/>
        </w:rPr>
        <w:t>ССЗ </w:t>
      </w:r>
      <w:r>
        <w:rPr/>
        <w:t>(особенно ИБС) (Таблица П12, Приложение Г2) [21, 22,</w:t>
      </w:r>
      <w:r>
        <w:rPr>
          <w:spacing w:val="-9"/>
        </w:rPr>
        <w:t> </w:t>
      </w:r>
      <w:r>
        <w:rPr/>
        <w:t>99].</w:t>
      </w:r>
    </w:p>
    <w:p>
      <w:pPr>
        <w:pStyle w:val="Heading3"/>
        <w:spacing w:before="272"/>
      </w:pPr>
      <w:r>
        <w:rPr>
          <w:w w:val="105"/>
        </w:rPr>
        <w:t>ЕОК/ЕОАГ IIbA (УУР А, УДД 1)</w:t>
      </w:r>
    </w:p>
    <w:p>
      <w:pPr>
        <w:pStyle w:val="BodyText"/>
        <w:spacing w:line="256" w:lineRule="auto" w:before="296"/>
        <w:ind w:left="695" w:right="131"/>
      </w:pPr>
      <w:r>
        <w:rPr/>
        <w:pict>
          <v:shape style="position:absolute;margin-left:91.538452pt;margin-top:22.219461pt;width:4.55pt;height:4.5pt;mso-position-horizontal-relative:page;mso-position-vertical-relative:paragraph;z-index:15785984"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Пожилым пациентам с АГ (даже в возрасте &gt;80 лет), находящимся в удовлетворительном физическом состоянии, рекомендуется изменение образа жизни и АГТ при уровне</w:t>
      </w:r>
      <w:r>
        <w:rPr>
          <w:spacing w:val="-18"/>
        </w:rPr>
        <w:t> </w:t>
      </w:r>
      <w:r>
        <w:rPr>
          <w:spacing w:val="-3"/>
        </w:rPr>
        <w:t>САД</w:t>
      </w:r>
    </w:p>
    <w:p>
      <w:pPr>
        <w:pStyle w:val="BodyText"/>
        <w:spacing w:line="256" w:lineRule="auto"/>
        <w:ind w:left="695" w:right="129"/>
      </w:pPr>
      <w:r>
        <w:rPr>
          <w:rFonts w:ascii="Times New Roman" w:hAnsi="Times New Roman"/>
        </w:rPr>
        <w:t>≥</w:t>
      </w:r>
      <w:r>
        <w:rPr/>
        <w:t>160 мм рт. ст. [21, 22, 100]. Пожилым пациентам (&gt;65 лет, но   не &gt;80 лет), находящимся в удовлетворительном физическом состоянии (без синдрома старческой астении), если их </w:t>
      </w:r>
      <w:r>
        <w:rPr>
          <w:spacing w:val="-3"/>
        </w:rPr>
        <w:t>САД </w:t>
      </w:r>
      <w:r>
        <w:rPr/>
        <w:t>соответствует показателям АГ 1-й степени (140–159 мм рт. </w:t>
      </w:r>
      <w:r>
        <w:rPr>
          <w:spacing w:val="-3"/>
        </w:rPr>
        <w:t>ст.), </w:t>
      </w:r>
      <w:r>
        <w:rPr/>
        <w:t>рекомендуются изменение образа жизни и АГТ при хорошей переносимости [21, 22, 100, 101, 102,</w:t>
      </w:r>
      <w:r>
        <w:rPr>
          <w:spacing w:val="10"/>
        </w:rPr>
        <w:t> </w:t>
      </w:r>
      <w:r>
        <w:rPr/>
        <w:t>235].</w:t>
      </w:r>
    </w:p>
    <w:p>
      <w:pPr>
        <w:pStyle w:val="Heading3"/>
        <w:spacing w:before="272"/>
      </w:pPr>
      <w:r>
        <w:rPr>
          <w:w w:val="105"/>
        </w:rPr>
        <w:t>ЕОК/ЕОАГ IА (УУР А, УДД 1)</w:t>
      </w:r>
    </w:p>
    <w:p>
      <w:pPr>
        <w:pStyle w:val="BodyText"/>
        <w:spacing w:line="256" w:lineRule="auto" w:before="296"/>
        <w:ind w:left="695" w:right="130"/>
      </w:pPr>
      <w:r>
        <w:rPr/>
        <w:pict>
          <v:shape style="position:absolute;margin-left:91.538452pt;margin-top:22.219482pt;width:4.55pt;height:4.55pt;mso-position-horizontal-relative:page;mso-position-vertical-relative:paragraph;z-index:15786496"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Рекомендуется рассмотреть возможность назначения АГТ пожилым пациентам с синдромом старческой астении при удовлетворительной переносимости [100, 101, 235].</w:t>
      </w:r>
    </w:p>
    <w:p>
      <w:pPr>
        <w:pStyle w:val="Heading3"/>
        <w:spacing w:before="272"/>
      </w:pPr>
      <w:r>
        <w:rPr>
          <w:w w:val="105"/>
        </w:rPr>
        <w:t>ЕОК/ЕОАГ IIbB (УУР A, УДД 1)</w:t>
      </w:r>
    </w:p>
    <w:p>
      <w:pPr>
        <w:pStyle w:val="BodyText"/>
        <w:spacing w:line="256" w:lineRule="auto" w:before="296"/>
        <w:ind w:left="695" w:right="128"/>
      </w:pPr>
      <w:r>
        <w:rPr/>
        <w:pict>
          <v:shape style="position:absolute;margin-left:91.538452pt;margin-top:22.219473pt;width:4.55pt;height:4.55pt;mso-position-horizontal-relative:page;mso-position-vertical-relative:paragraph;z-index:15787008"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У пациентов старше 80 лет не рекомендуется отменять антигипертензивную лекарственную терапию, при условии, что эта терапия хорошо переносится, не сопровождается ортостатической гипотонией, развитием/усугублением гериатрических синдромов и снижением функционального статуса в связи с доказанными преимуществами в отношении </w:t>
      </w:r>
      <w:r>
        <w:rPr>
          <w:spacing w:val="-4"/>
        </w:rPr>
        <w:t>СС </w:t>
      </w:r>
      <w:r>
        <w:rPr/>
        <w:t>смертности [21, 22, 101, 103,</w:t>
      </w:r>
      <w:r>
        <w:rPr>
          <w:spacing w:val="4"/>
        </w:rPr>
        <w:t> </w:t>
      </w:r>
      <w:r>
        <w:rPr/>
        <w:t>104].</w:t>
      </w:r>
    </w:p>
    <w:p>
      <w:pPr>
        <w:spacing w:before="273"/>
        <w:ind w:left="695" w:right="0" w:firstLine="0"/>
        <w:jc w:val="left"/>
        <w:rPr>
          <w:b/>
          <w:sz w:val="27"/>
        </w:rPr>
      </w:pPr>
      <w:r>
        <w:rPr>
          <w:b/>
          <w:w w:val="105"/>
          <w:sz w:val="27"/>
        </w:rPr>
        <w:t>ЕОК/ЕОАГ IIIA (УУР А, УДД 1)</w:t>
      </w:r>
    </w:p>
    <w:p>
      <w:pPr>
        <w:pStyle w:val="BodyText"/>
        <w:spacing w:before="10"/>
        <w:ind w:left="0"/>
        <w:jc w:val="left"/>
        <w:rPr>
          <w:b/>
          <w:sz w:val="51"/>
        </w:rPr>
      </w:pPr>
    </w:p>
    <w:p>
      <w:pPr>
        <w:pStyle w:val="Heading2"/>
        <w:numPr>
          <w:ilvl w:val="1"/>
          <w:numId w:val="2"/>
        </w:numPr>
        <w:tabs>
          <w:tab w:pos="941" w:val="left" w:leader="none"/>
        </w:tabs>
        <w:spacing w:line="240" w:lineRule="auto" w:before="0" w:after="0"/>
        <w:ind w:left="940" w:right="0" w:hanging="561"/>
        <w:jc w:val="left"/>
      </w:pPr>
      <w:r>
        <w:rPr/>
        <w:t>Целевые уровни артериального</w:t>
      </w:r>
      <w:r>
        <w:rPr>
          <w:spacing w:val="16"/>
        </w:rPr>
        <w:t> </w:t>
      </w:r>
      <w:r>
        <w:rPr/>
        <w:t>давления</w:t>
      </w:r>
    </w:p>
    <w:p>
      <w:pPr>
        <w:spacing w:after="0" w:line="240" w:lineRule="auto"/>
        <w:jc w:val="left"/>
        <w:sectPr>
          <w:pgSz w:w="11900" w:h="16840"/>
          <w:pgMar w:top="0" w:bottom="0" w:left="1420" w:right="1520"/>
        </w:sectPr>
      </w:pPr>
    </w:p>
    <w:p>
      <w:pPr>
        <w:pStyle w:val="BodyText"/>
        <w:spacing w:line="256" w:lineRule="auto" w:before="16"/>
        <w:ind w:left="695" w:right="128"/>
      </w:pPr>
      <w:r>
        <w:rPr/>
        <w:pict>
          <v:shape style="position:absolute;margin-left:91.538452pt;margin-top:8.2195pt;width:4.55pt;height:4.55pt;mso-position-horizontal-relative:page;mso-position-vertical-relative:paragraph;z-index:15787520" coordorigin="1831,164" coordsize="91,91" path="m1888,254l1863,254,1853,250,1835,232,1831,222,1831,197,1835,186,1853,169,1863,164,1888,164,1899,169,1916,186,1921,197,1921,209,1921,222,1916,232,1899,250,1888,254xe" filled="true" fillcolor="#000000" stroked="false">
            <v:path arrowok="t"/>
            <v:fill type="solid"/>
            <w10:wrap type="none"/>
          </v:shape>
        </w:pict>
      </w:r>
      <w:r>
        <w:rPr>
          <w:w w:val="105"/>
        </w:rPr>
        <w:t>Всем пациентам с АГ, получающим лечение, независимо </w:t>
      </w:r>
      <w:r>
        <w:rPr>
          <w:spacing w:val="-3"/>
          <w:w w:val="105"/>
        </w:rPr>
        <w:t>от </w:t>
      </w:r>
      <w:r>
        <w:rPr>
          <w:w w:val="105"/>
        </w:rPr>
        <w:t>возраста и степени риска, рекомендуется в качестве первого целевого</w:t>
      </w:r>
      <w:r>
        <w:rPr>
          <w:spacing w:val="-8"/>
          <w:w w:val="105"/>
        </w:rPr>
        <w:t> </w:t>
      </w:r>
      <w:r>
        <w:rPr>
          <w:w w:val="105"/>
        </w:rPr>
        <w:t>уровня</w:t>
      </w:r>
      <w:r>
        <w:rPr>
          <w:spacing w:val="-7"/>
          <w:w w:val="105"/>
        </w:rPr>
        <w:t> </w:t>
      </w:r>
      <w:r>
        <w:rPr>
          <w:w w:val="105"/>
        </w:rPr>
        <w:t>снижать</w:t>
      </w:r>
      <w:r>
        <w:rPr>
          <w:spacing w:val="-7"/>
          <w:w w:val="105"/>
        </w:rPr>
        <w:t> </w:t>
      </w:r>
      <w:r>
        <w:rPr>
          <w:w w:val="105"/>
        </w:rPr>
        <w:t>АД</w:t>
      </w:r>
      <w:r>
        <w:rPr>
          <w:spacing w:val="-7"/>
          <w:w w:val="105"/>
        </w:rPr>
        <w:t> </w:t>
      </w:r>
      <w:r>
        <w:rPr>
          <w:w w:val="105"/>
        </w:rPr>
        <w:t>до</w:t>
      </w:r>
      <w:r>
        <w:rPr>
          <w:spacing w:val="-7"/>
          <w:w w:val="105"/>
        </w:rPr>
        <w:t> </w:t>
      </w:r>
      <w:r>
        <w:rPr>
          <w:w w:val="105"/>
        </w:rPr>
        <w:t>значений</w:t>
      </w:r>
      <w:r>
        <w:rPr>
          <w:spacing w:val="-8"/>
          <w:w w:val="105"/>
        </w:rPr>
        <w:t> </w:t>
      </w:r>
      <w:r>
        <w:rPr>
          <w:w w:val="105"/>
        </w:rPr>
        <w:t>&lt;140/90</w:t>
      </w:r>
      <w:r>
        <w:rPr>
          <w:spacing w:val="-7"/>
          <w:w w:val="105"/>
        </w:rPr>
        <w:t> </w:t>
      </w:r>
      <w:r>
        <w:rPr>
          <w:w w:val="105"/>
        </w:rPr>
        <w:t>мм</w:t>
      </w:r>
      <w:r>
        <w:rPr>
          <w:spacing w:val="-7"/>
          <w:w w:val="105"/>
        </w:rPr>
        <w:t> </w:t>
      </w:r>
      <w:r>
        <w:rPr>
          <w:w w:val="105"/>
        </w:rPr>
        <w:t>рт.</w:t>
      </w:r>
      <w:r>
        <w:rPr>
          <w:spacing w:val="-7"/>
          <w:w w:val="105"/>
        </w:rPr>
        <w:t> </w:t>
      </w:r>
      <w:r>
        <w:rPr>
          <w:w w:val="105"/>
        </w:rPr>
        <w:t>ст.,</w:t>
      </w:r>
      <w:r>
        <w:rPr>
          <w:spacing w:val="-7"/>
          <w:w w:val="105"/>
        </w:rPr>
        <w:t> </w:t>
      </w:r>
      <w:r>
        <w:rPr>
          <w:w w:val="105"/>
        </w:rPr>
        <w:t>а при условии хорошей переносимости — до целевого уровня 130/80 мм рт. ст. или ниже, в связи с доказанными </w:t>
      </w:r>
      <w:r>
        <w:rPr/>
        <w:t>преимуществами в плане снижения риска сердечно-сосудистых </w:t>
      </w:r>
      <w:r>
        <w:rPr>
          <w:w w:val="105"/>
        </w:rPr>
        <w:t>осложнений [59, 105,</w:t>
      </w:r>
      <w:r>
        <w:rPr>
          <w:spacing w:val="-21"/>
          <w:w w:val="105"/>
        </w:rPr>
        <w:t> </w:t>
      </w:r>
      <w:r>
        <w:rPr>
          <w:w w:val="105"/>
        </w:rPr>
        <w:t>107].</w:t>
      </w:r>
    </w:p>
    <w:p>
      <w:pPr>
        <w:pStyle w:val="Heading3"/>
        <w:spacing w:before="273"/>
      </w:pPr>
      <w:r>
        <w:rPr>
          <w:w w:val="105"/>
        </w:rPr>
        <w:t>ЕОК/ЕОАГ IA (УУР A, УДД 1)</w:t>
      </w:r>
    </w:p>
    <w:p>
      <w:pPr>
        <w:pStyle w:val="BodyText"/>
        <w:spacing w:line="256" w:lineRule="auto" w:before="296"/>
        <w:ind w:left="695" w:right="136"/>
      </w:pPr>
      <w:r>
        <w:rPr/>
        <w:pict>
          <v:shape style="position:absolute;margin-left:91.538452pt;margin-top:22.219456pt;width:4.55pt;height:4.5pt;mso-position-horizontal-relative:page;mso-position-vertical-relative:paragraph;z-index:15788032"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моложе 65 лет и без ХБП, получающих антигипертензивную терапию, рекомендуется снижать САД до значений 120–130 мм рт. ст., в связи с доказанным влиянием вмешательства на СС риск [59, 103, 106, 107, 108].</w:t>
      </w:r>
    </w:p>
    <w:p>
      <w:pPr>
        <w:pStyle w:val="Heading3"/>
        <w:spacing w:before="272"/>
      </w:pPr>
      <w:r>
        <w:rPr>
          <w:w w:val="105"/>
        </w:rPr>
        <w:t>ЕОК/ЕОАГ IA (УУР A, УДД 1)</w:t>
      </w:r>
    </w:p>
    <w:p>
      <w:pPr>
        <w:pStyle w:val="BodyText"/>
        <w:spacing w:line="256" w:lineRule="auto" w:before="296"/>
        <w:ind w:left="695" w:right="130"/>
      </w:pPr>
      <w:r>
        <w:rPr/>
        <w:pict>
          <v:shape style="position:absolute;margin-left:91.538452pt;margin-top:22.219479pt;width:4.55pt;height:4.55pt;mso-position-horizontal-relative:page;mso-position-vertical-relative:paragraph;z-index:15788544"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Пациентам 65 лет и старше без старческой астении, получающим антигипертензивную терапию, вне зависимости </w:t>
      </w:r>
      <w:r>
        <w:rPr>
          <w:spacing w:val="-3"/>
        </w:rPr>
        <w:t>от</w:t>
      </w:r>
      <w:r>
        <w:rPr>
          <w:spacing w:val="-10"/>
        </w:rPr>
        <w:t> </w:t>
      </w:r>
      <w:r>
        <w:rPr/>
        <w:t>уровня</w:t>
      </w:r>
      <w:r>
        <w:rPr>
          <w:spacing w:val="-9"/>
        </w:rPr>
        <w:t> </w:t>
      </w:r>
      <w:r>
        <w:rPr>
          <w:spacing w:val="-4"/>
        </w:rPr>
        <w:t>СС</w:t>
      </w:r>
      <w:r>
        <w:rPr>
          <w:spacing w:val="-9"/>
        </w:rPr>
        <w:t> </w:t>
      </w:r>
      <w:r>
        <w:rPr/>
        <w:t>риска</w:t>
      </w:r>
      <w:r>
        <w:rPr>
          <w:spacing w:val="-9"/>
        </w:rPr>
        <w:t> </w:t>
      </w:r>
      <w:r>
        <w:rPr/>
        <w:t>и</w:t>
      </w:r>
      <w:r>
        <w:rPr>
          <w:spacing w:val="-9"/>
        </w:rPr>
        <w:t> </w:t>
      </w:r>
      <w:r>
        <w:rPr/>
        <w:t>наличия</w:t>
      </w:r>
      <w:r>
        <w:rPr>
          <w:spacing w:val="-10"/>
        </w:rPr>
        <w:t> </w:t>
      </w:r>
      <w:r>
        <w:rPr>
          <w:spacing w:val="-3"/>
        </w:rPr>
        <w:t>ССЗ</w:t>
      </w:r>
      <w:r>
        <w:rPr>
          <w:spacing w:val="-9"/>
        </w:rPr>
        <w:t> </w:t>
      </w:r>
      <w:r>
        <w:rPr/>
        <w:t>рекомендуется</w:t>
      </w:r>
      <w:r>
        <w:rPr>
          <w:spacing w:val="-9"/>
        </w:rPr>
        <w:t> </w:t>
      </w:r>
      <w:r>
        <w:rPr/>
        <w:t>снижать</w:t>
      </w:r>
      <w:r>
        <w:rPr>
          <w:spacing w:val="-9"/>
        </w:rPr>
        <w:t> </w:t>
      </w:r>
      <w:r>
        <w:rPr>
          <w:spacing w:val="-3"/>
        </w:rPr>
        <w:t>САД </w:t>
      </w:r>
      <w:r>
        <w:rPr/>
        <w:t>до целевых значений 130–139 мм рт. ст., при условии хорошей переносимости. [59, 103, </w:t>
      </w:r>
      <w:r>
        <w:rPr>
          <w:spacing w:val="-7"/>
        </w:rPr>
        <w:t>107,</w:t>
      </w:r>
      <w:r>
        <w:rPr/>
        <w:t> 108].</w:t>
      </w:r>
    </w:p>
    <w:p>
      <w:pPr>
        <w:pStyle w:val="Heading3"/>
        <w:spacing w:before="272"/>
      </w:pPr>
      <w:r>
        <w:rPr>
          <w:w w:val="105"/>
        </w:rPr>
        <w:t>ЕОК/ЕОАГ IA (УУР A, УДД 1)</w:t>
      </w:r>
    </w:p>
    <w:p>
      <w:pPr>
        <w:spacing w:line="256" w:lineRule="auto" w:before="296"/>
        <w:ind w:left="695" w:right="129" w:firstLine="0"/>
        <w:jc w:val="both"/>
        <w:rPr>
          <w:i/>
          <w:sz w:val="27"/>
        </w:rPr>
      </w:pPr>
      <w:r>
        <w:rPr>
          <w:b/>
          <w:w w:val="105"/>
          <w:sz w:val="27"/>
        </w:rPr>
        <w:t>Комментарии. </w:t>
      </w:r>
      <w:r>
        <w:rPr>
          <w:i/>
          <w:w w:val="105"/>
          <w:sz w:val="27"/>
        </w:rPr>
        <w:t>Всем пациентам в возрасте </w:t>
      </w:r>
      <w:r>
        <w:rPr>
          <w:rFonts w:ascii="Times New Roman" w:hAnsi="Times New Roman"/>
          <w:i/>
          <w:w w:val="105"/>
          <w:sz w:val="27"/>
        </w:rPr>
        <w:t>≥</w:t>
      </w:r>
      <w:r>
        <w:rPr>
          <w:i/>
          <w:w w:val="105"/>
          <w:sz w:val="27"/>
        </w:rPr>
        <w:t>65 лет, </w:t>
      </w:r>
      <w:r>
        <w:rPr>
          <w:i/>
          <w:w w:val="105"/>
          <w:sz w:val="27"/>
        </w:rPr>
        <w:t>получающим антигипертензивную терапию, при каждом</w:t>
      </w:r>
      <w:r>
        <w:rPr>
          <w:i/>
          <w:spacing w:val="-34"/>
          <w:w w:val="105"/>
          <w:sz w:val="27"/>
        </w:rPr>
        <w:t> </w:t>
      </w:r>
      <w:r>
        <w:rPr>
          <w:i/>
          <w:w w:val="105"/>
          <w:sz w:val="27"/>
        </w:rPr>
        <w:t>визите к врачу рекомендуется проводить оценку возможных нежелательных</w:t>
      </w:r>
      <w:r>
        <w:rPr>
          <w:i/>
          <w:spacing w:val="-6"/>
          <w:w w:val="105"/>
          <w:sz w:val="27"/>
        </w:rPr>
        <w:t> </w:t>
      </w:r>
      <w:r>
        <w:rPr>
          <w:i/>
          <w:w w:val="105"/>
          <w:sz w:val="27"/>
        </w:rPr>
        <w:t>явлений.</w:t>
      </w:r>
    </w:p>
    <w:p>
      <w:pPr>
        <w:pStyle w:val="BodyText"/>
        <w:spacing w:line="256" w:lineRule="auto" w:before="272"/>
        <w:ind w:left="695" w:right="134"/>
      </w:pPr>
      <w:r>
        <w:rPr/>
        <w:pict>
          <v:shape style="position:absolute;margin-left:91.538452pt;margin-top:21.019468pt;width:4.55pt;height:4.55pt;mso-position-horizontal-relative:page;mso-position-vertical-relative:paragraph;z-index:15789056"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вне зависимости </w:t>
      </w:r>
      <w:r>
        <w:rPr>
          <w:spacing w:val="-3"/>
        </w:rPr>
        <w:t>от </w:t>
      </w:r>
      <w:r>
        <w:rPr/>
        <w:t>возраста, уровня риска и наличия сопутствующих заболеваний рекомендуется снижать ДАД до целевых значений 70–79 мм рт. ст. (таблица П3, Приложение Г4) </w:t>
      </w:r>
      <w:r>
        <w:rPr>
          <w:spacing w:val="-6"/>
        </w:rPr>
        <w:t>[107, </w:t>
      </w:r>
      <w:r>
        <w:rPr/>
        <w:t>109,</w:t>
      </w:r>
      <w:r>
        <w:rPr>
          <w:spacing w:val="-3"/>
        </w:rPr>
        <w:t> </w:t>
      </w:r>
      <w:r>
        <w:rPr/>
        <w:t>110].</w:t>
      </w:r>
    </w:p>
    <w:p>
      <w:pPr>
        <w:pStyle w:val="Heading3"/>
        <w:spacing w:before="272"/>
      </w:pPr>
      <w:r>
        <w:rPr>
          <w:w w:val="105"/>
        </w:rPr>
        <w:t>ЕОК/ЕОАГ IIaB (УУР B, УДД 2)</w:t>
      </w:r>
    </w:p>
    <w:p>
      <w:pPr>
        <w:spacing w:line="256" w:lineRule="auto" w:before="296"/>
        <w:ind w:left="695" w:right="132" w:firstLine="0"/>
        <w:jc w:val="both"/>
        <w:rPr>
          <w:i/>
          <w:sz w:val="27"/>
        </w:rPr>
      </w:pPr>
      <w:r>
        <w:rPr>
          <w:b/>
          <w:i/>
          <w:w w:val="105"/>
          <w:sz w:val="27"/>
        </w:rPr>
        <w:t>Комментарии. </w:t>
      </w:r>
      <w:r>
        <w:rPr>
          <w:i/>
          <w:w w:val="105"/>
          <w:sz w:val="27"/>
        </w:rPr>
        <w:t>Следует учитывать, что нижняя граница </w:t>
      </w:r>
      <w:r>
        <w:rPr>
          <w:i/>
          <w:w w:val="105"/>
          <w:sz w:val="27"/>
        </w:rPr>
        <w:t>безопасности установлена в связи с результатами исследований, проведенных преимущественно в группах пациентов высокого и очень высокого риска (пожилые с коморбидностью, установленными ССЗ, в том числе — лица с ИБС, заболеванием периферических артерий. Таким образом, в общей популяции</w:t>
      </w:r>
    </w:p>
    <w:p>
      <w:pPr>
        <w:spacing w:after="0" w:line="256" w:lineRule="auto"/>
        <w:jc w:val="both"/>
        <w:rPr>
          <w:sz w:val="27"/>
        </w:rPr>
        <w:sectPr>
          <w:pgSz w:w="11900" w:h="16840"/>
          <w:pgMar w:top="0" w:bottom="280" w:left="1420" w:right="1520"/>
        </w:sectPr>
      </w:pPr>
    </w:p>
    <w:p>
      <w:pPr>
        <w:spacing w:line="256" w:lineRule="auto" w:before="16"/>
        <w:ind w:left="695" w:right="129" w:firstLine="0"/>
        <w:jc w:val="both"/>
        <w:rPr>
          <w:i/>
          <w:sz w:val="27"/>
        </w:rPr>
      </w:pPr>
      <w:r>
        <w:rPr>
          <w:i/>
          <w:w w:val="105"/>
          <w:sz w:val="27"/>
        </w:rPr>
        <w:t>пациентов с АГ, верятно, нет необходимости в коррекции </w:t>
      </w:r>
      <w:r>
        <w:rPr>
          <w:i/>
          <w:w w:val="105"/>
          <w:sz w:val="27"/>
        </w:rPr>
        <w:t>лечения при уровне САД &lt;120 мм рт. ст. и ДАД &lt;70 мм рт. ст. при его хорошей переносимости.</w:t>
      </w:r>
    </w:p>
    <w:p>
      <w:pPr>
        <w:pStyle w:val="BodyText"/>
        <w:spacing w:before="13"/>
        <w:ind w:left="0"/>
        <w:jc w:val="left"/>
        <w:rPr>
          <w:i/>
          <w:sz w:val="49"/>
        </w:rPr>
      </w:pPr>
    </w:p>
    <w:p>
      <w:pPr>
        <w:pStyle w:val="Heading2"/>
        <w:numPr>
          <w:ilvl w:val="1"/>
          <w:numId w:val="2"/>
        </w:numPr>
        <w:tabs>
          <w:tab w:pos="941" w:val="left" w:leader="none"/>
        </w:tabs>
        <w:spacing w:line="240" w:lineRule="auto" w:before="0" w:after="0"/>
        <w:ind w:left="940" w:right="0" w:hanging="561"/>
        <w:jc w:val="left"/>
      </w:pPr>
      <w:r>
        <w:rPr/>
        <w:t>Немедикаментозное лечение</w:t>
      </w:r>
      <w:r>
        <w:rPr>
          <w:spacing w:val="10"/>
        </w:rPr>
        <w:t> </w:t>
      </w:r>
      <w:r>
        <w:rPr/>
        <w:t>АГ</w:t>
      </w:r>
    </w:p>
    <w:p>
      <w:pPr>
        <w:pStyle w:val="BodyText"/>
        <w:spacing w:before="8"/>
        <w:ind w:left="0"/>
        <w:jc w:val="left"/>
        <w:rPr>
          <w:b/>
          <w:sz w:val="30"/>
        </w:rPr>
      </w:pPr>
    </w:p>
    <w:p>
      <w:pPr>
        <w:spacing w:line="256" w:lineRule="auto" w:before="0"/>
        <w:ind w:left="695" w:right="128" w:firstLine="0"/>
        <w:jc w:val="both"/>
        <w:rPr>
          <w:i/>
          <w:sz w:val="27"/>
        </w:rPr>
      </w:pPr>
      <w:r>
        <w:rPr>
          <w:i/>
          <w:w w:val="105"/>
          <w:sz w:val="27"/>
        </w:rPr>
        <w:t>Мероприятия по изменению образа жизни рекомендуются всем </w:t>
      </w:r>
      <w:r>
        <w:rPr>
          <w:i/>
          <w:w w:val="105"/>
          <w:sz w:val="27"/>
        </w:rPr>
        <w:t>пациентам с АГ. Немедикаментозные методы лечения АГ способствуют снижению АД, уменьшают потребность в антигипертензивных препаратах (АГП) и повышают их эффективность, позволяют осуществлять коррекцию ФР, проводить первичную профилактику АГ у пациентов с высоким нормальным АД и имеющих ФР [114, 115].</w:t>
      </w:r>
    </w:p>
    <w:p>
      <w:pPr>
        <w:pStyle w:val="BodyText"/>
        <w:spacing w:line="256" w:lineRule="auto" w:before="273"/>
        <w:ind w:left="695" w:right="136"/>
      </w:pPr>
      <w:r>
        <w:rPr/>
        <w:pict>
          <v:shape style="position:absolute;margin-left:91.538452pt;margin-top:21.069473pt;width:4.55pt;height:4.5pt;mso-position-horizontal-relative:page;mso-position-vertical-relative:paragraph;z-index:15789568" coordorigin="1831,421" coordsize="91,90" path="m1888,511l1863,511,1853,507,1835,489,1831,479,1831,454,1835,443,1853,426,1863,421,1888,421,1899,426,1916,443,1921,454,1921,466,1921,479,1916,489,1899,507,1888,511xe" filled="true" fillcolor="#000000" stroked="false">
            <v:path arrowok="t"/>
            <v:fill type="solid"/>
            <w10:wrap type="none"/>
          </v:shape>
        </w:pict>
      </w:r>
      <w:r>
        <w:rPr/>
        <w:t>Всем пациентам с АГ для улучшения контроля заболевания рекомендуется ограничение употребления соли до &lt;5 г в сутки [116–119].</w:t>
      </w:r>
    </w:p>
    <w:p>
      <w:pPr>
        <w:pStyle w:val="Heading3"/>
        <w:jc w:val="both"/>
      </w:pPr>
      <w:r>
        <w:rPr>
          <w:w w:val="105"/>
        </w:rPr>
        <w:t>ЕОК/ЕОАГ IA (УУР A, УДД 1)</w:t>
      </w:r>
    </w:p>
    <w:p>
      <w:pPr>
        <w:spacing w:line="256" w:lineRule="auto" w:before="296"/>
        <w:ind w:left="695" w:right="133" w:firstLine="0"/>
        <w:jc w:val="both"/>
        <w:rPr>
          <w:i/>
          <w:sz w:val="27"/>
        </w:rPr>
      </w:pPr>
      <w:r>
        <w:rPr>
          <w:b/>
          <w:w w:val="105"/>
          <w:sz w:val="27"/>
        </w:rPr>
        <w:t>Комментарии. </w:t>
      </w:r>
      <w:r>
        <w:rPr>
          <w:i/>
          <w:w w:val="105"/>
          <w:sz w:val="27"/>
        </w:rPr>
        <w:t>Избыточное потребление соли может играть </w:t>
      </w:r>
      <w:r>
        <w:rPr>
          <w:i/>
          <w:w w:val="105"/>
          <w:sz w:val="27"/>
        </w:rPr>
        <w:t>существенную неблагоприятную роль в развитии рефрактерной АГ. Стандартное потребление соли во многих</w:t>
      </w:r>
      <w:r>
        <w:rPr>
          <w:i/>
          <w:spacing w:val="61"/>
          <w:w w:val="105"/>
          <w:sz w:val="27"/>
        </w:rPr>
        <w:t> </w:t>
      </w:r>
      <w:r>
        <w:rPr>
          <w:i/>
          <w:w w:val="105"/>
          <w:sz w:val="27"/>
        </w:rPr>
        <w:t>странах составляет от 9 до 12 г/сутки (80% потребляемой соли приходится</w:t>
      </w:r>
      <w:r>
        <w:rPr>
          <w:i/>
          <w:spacing w:val="-8"/>
          <w:w w:val="105"/>
          <w:sz w:val="27"/>
        </w:rPr>
        <w:t> </w:t>
      </w:r>
      <w:r>
        <w:rPr>
          <w:i/>
          <w:w w:val="105"/>
          <w:sz w:val="27"/>
        </w:rPr>
        <w:t>на</w:t>
      </w:r>
      <w:r>
        <w:rPr>
          <w:i/>
          <w:spacing w:val="-8"/>
          <w:w w:val="105"/>
          <w:sz w:val="27"/>
        </w:rPr>
        <w:t> </w:t>
      </w:r>
      <w:r>
        <w:rPr>
          <w:i/>
          <w:w w:val="105"/>
          <w:sz w:val="27"/>
        </w:rPr>
        <w:t>так</w:t>
      </w:r>
      <w:r>
        <w:rPr>
          <w:i/>
          <w:spacing w:val="-8"/>
          <w:w w:val="105"/>
          <w:sz w:val="27"/>
        </w:rPr>
        <w:t> </w:t>
      </w:r>
      <w:r>
        <w:rPr>
          <w:i/>
          <w:w w:val="105"/>
          <w:sz w:val="27"/>
        </w:rPr>
        <w:t>называемую</w:t>
      </w:r>
      <w:r>
        <w:rPr>
          <w:i/>
          <w:spacing w:val="-8"/>
          <w:w w:val="105"/>
          <w:sz w:val="27"/>
        </w:rPr>
        <w:t> </w:t>
      </w:r>
      <w:r>
        <w:rPr>
          <w:i/>
          <w:w w:val="105"/>
          <w:sz w:val="27"/>
        </w:rPr>
        <w:t>«скрытую</w:t>
      </w:r>
      <w:r>
        <w:rPr>
          <w:i/>
          <w:spacing w:val="-8"/>
          <w:w w:val="105"/>
          <w:sz w:val="27"/>
        </w:rPr>
        <w:t> </w:t>
      </w:r>
      <w:r>
        <w:rPr>
          <w:i/>
          <w:w w:val="105"/>
          <w:sz w:val="27"/>
        </w:rPr>
        <w:t>соль»),</w:t>
      </w:r>
      <w:r>
        <w:rPr>
          <w:i/>
          <w:spacing w:val="-8"/>
          <w:w w:val="105"/>
          <w:sz w:val="27"/>
        </w:rPr>
        <w:t> </w:t>
      </w:r>
      <w:r>
        <w:rPr>
          <w:i/>
          <w:w w:val="105"/>
          <w:sz w:val="27"/>
        </w:rPr>
        <w:t>уменьшение</w:t>
      </w:r>
      <w:r>
        <w:rPr>
          <w:i/>
          <w:spacing w:val="-8"/>
          <w:w w:val="105"/>
          <w:sz w:val="27"/>
        </w:rPr>
        <w:t> </w:t>
      </w:r>
      <w:r>
        <w:rPr>
          <w:i/>
          <w:w w:val="105"/>
          <w:sz w:val="27"/>
        </w:rPr>
        <w:t>ее потребления</w:t>
      </w:r>
      <w:r>
        <w:rPr>
          <w:i/>
          <w:spacing w:val="-11"/>
          <w:w w:val="105"/>
          <w:sz w:val="27"/>
        </w:rPr>
        <w:t> </w:t>
      </w:r>
      <w:r>
        <w:rPr>
          <w:i/>
          <w:w w:val="105"/>
          <w:sz w:val="27"/>
        </w:rPr>
        <w:t>до</w:t>
      </w:r>
      <w:r>
        <w:rPr>
          <w:i/>
          <w:spacing w:val="-11"/>
          <w:w w:val="105"/>
          <w:sz w:val="27"/>
        </w:rPr>
        <w:t> </w:t>
      </w:r>
      <w:r>
        <w:rPr>
          <w:i/>
          <w:w w:val="105"/>
          <w:sz w:val="27"/>
        </w:rPr>
        <w:t>5</w:t>
      </w:r>
      <w:r>
        <w:rPr>
          <w:i/>
          <w:spacing w:val="-10"/>
          <w:w w:val="105"/>
          <w:sz w:val="27"/>
        </w:rPr>
        <w:t> </w:t>
      </w:r>
      <w:r>
        <w:rPr>
          <w:i/>
          <w:w w:val="105"/>
          <w:sz w:val="27"/>
        </w:rPr>
        <w:t>г/сутки</w:t>
      </w:r>
      <w:r>
        <w:rPr>
          <w:i/>
          <w:spacing w:val="-11"/>
          <w:w w:val="105"/>
          <w:sz w:val="27"/>
        </w:rPr>
        <w:t> </w:t>
      </w:r>
      <w:r>
        <w:rPr>
          <w:i/>
          <w:w w:val="105"/>
          <w:sz w:val="27"/>
        </w:rPr>
        <w:t>у</w:t>
      </w:r>
      <w:r>
        <w:rPr>
          <w:i/>
          <w:spacing w:val="-11"/>
          <w:w w:val="105"/>
          <w:sz w:val="27"/>
        </w:rPr>
        <w:t> </w:t>
      </w:r>
      <w:r>
        <w:rPr>
          <w:i/>
          <w:w w:val="105"/>
          <w:sz w:val="27"/>
        </w:rPr>
        <w:t>пациентов</w:t>
      </w:r>
      <w:r>
        <w:rPr>
          <w:i/>
          <w:spacing w:val="-10"/>
          <w:w w:val="105"/>
          <w:sz w:val="27"/>
        </w:rPr>
        <w:t> </w:t>
      </w:r>
      <w:r>
        <w:rPr>
          <w:i/>
          <w:w w:val="105"/>
          <w:sz w:val="27"/>
        </w:rPr>
        <w:t>АГ</w:t>
      </w:r>
      <w:r>
        <w:rPr>
          <w:i/>
          <w:spacing w:val="-11"/>
          <w:w w:val="105"/>
          <w:sz w:val="27"/>
        </w:rPr>
        <w:t> </w:t>
      </w:r>
      <w:r>
        <w:rPr>
          <w:i/>
          <w:w w:val="105"/>
          <w:sz w:val="27"/>
        </w:rPr>
        <w:t>ведет</w:t>
      </w:r>
      <w:r>
        <w:rPr>
          <w:i/>
          <w:spacing w:val="-11"/>
          <w:w w:val="105"/>
          <w:sz w:val="27"/>
        </w:rPr>
        <w:t> </w:t>
      </w:r>
      <w:r>
        <w:rPr>
          <w:i/>
          <w:w w:val="105"/>
          <w:sz w:val="27"/>
        </w:rPr>
        <w:t>к</w:t>
      </w:r>
      <w:r>
        <w:rPr>
          <w:i/>
          <w:spacing w:val="-10"/>
          <w:w w:val="105"/>
          <w:sz w:val="27"/>
        </w:rPr>
        <w:t> </w:t>
      </w:r>
      <w:r>
        <w:rPr>
          <w:i/>
          <w:w w:val="105"/>
          <w:sz w:val="27"/>
        </w:rPr>
        <w:t>снижению</w:t>
      </w:r>
      <w:r>
        <w:rPr>
          <w:i/>
          <w:spacing w:val="-11"/>
          <w:w w:val="105"/>
          <w:sz w:val="27"/>
        </w:rPr>
        <w:t> </w:t>
      </w:r>
      <w:r>
        <w:rPr>
          <w:i/>
          <w:spacing w:val="-3"/>
          <w:w w:val="105"/>
          <w:sz w:val="27"/>
        </w:rPr>
        <w:t>САД </w:t>
      </w:r>
      <w:r>
        <w:rPr>
          <w:i/>
          <w:w w:val="105"/>
          <w:sz w:val="27"/>
        </w:rPr>
        <w:t>на 4–5 мм рт. ст. Влияние ограничения натрия более выражено</w:t>
      </w:r>
      <w:r>
        <w:rPr>
          <w:i/>
          <w:spacing w:val="-25"/>
          <w:w w:val="105"/>
          <w:sz w:val="27"/>
        </w:rPr>
        <w:t> </w:t>
      </w:r>
      <w:r>
        <w:rPr>
          <w:i/>
          <w:w w:val="105"/>
          <w:sz w:val="27"/>
        </w:rPr>
        <w:t>у пациентов пожилого и старческого возраста, у пациентов с </w:t>
      </w:r>
      <w:r>
        <w:rPr>
          <w:i/>
          <w:spacing w:val="-3"/>
          <w:w w:val="105"/>
          <w:sz w:val="27"/>
        </w:rPr>
        <w:t>СД, </w:t>
      </w:r>
      <w:r>
        <w:rPr>
          <w:i/>
          <w:w w:val="105"/>
          <w:sz w:val="27"/>
        </w:rPr>
        <w:t>МС и</w:t>
      </w:r>
      <w:r>
        <w:rPr>
          <w:i/>
          <w:spacing w:val="-14"/>
          <w:w w:val="105"/>
          <w:sz w:val="27"/>
        </w:rPr>
        <w:t> </w:t>
      </w:r>
      <w:r>
        <w:rPr>
          <w:i/>
          <w:w w:val="105"/>
          <w:sz w:val="27"/>
        </w:rPr>
        <w:t>ХБП.</w:t>
      </w:r>
    </w:p>
    <w:p>
      <w:pPr>
        <w:pStyle w:val="BodyText"/>
        <w:spacing w:line="256" w:lineRule="auto" w:before="274"/>
        <w:ind w:left="695" w:right="129"/>
      </w:pPr>
      <w:r>
        <w:rPr/>
        <w:pict>
          <v:shape style="position:absolute;margin-left:91.538452pt;margin-top:21.119486pt;width:4.55pt;height:4.5pt;mso-position-horizontal-relative:page;mso-position-vertical-relative:paragraph;z-index:15790080" coordorigin="1831,422" coordsize="91,90" path="m1888,512l1863,512,1853,508,1835,490,1831,480,1831,455,1835,444,1853,427,1863,422,1888,422,1899,427,1916,444,1921,455,1921,467,1921,480,1916,490,1899,508,1888,512xe" filled="true" fillcolor="#000000" stroked="false">
            <v:path arrowok="t"/>
            <v:fill type="solid"/>
            <w10:wrap type="none"/>
          </v:shape>
        </w:pict>
      </w:r>
      <w:r>
        <w:rPr/>
        <w:t>Всем пациентам с АГ для улучшения контроля заболевания рекомендуется ограничить употребления алкоголя (менее 14 единиц в неделю для мужчин, менее 8 единиц в неделю для женщин*) и избегать хронического злоупотребления алкоголем [21, 22, 120].</w:t>
      </w:r>
    </w:p>
    <w:p>
      <w:pPr>
        <w:pStyle w:val="Heading3"/>
        <w:spacing w:before="272"/>
        <w:jc w:val="both"/>
      </w:pPr>
      <w:r>
        <w:rPr>
          <w:w w:val="105"/>
        </w:rPr>
        <w:t>ЕОК/ЕОАГ IA (УУР A, УДД 1)</w:t>
      </w:r>
    </w:p>
    <w:p>
      <w:pPr>
        <w:spacing w:line="256" w:lineRule="auto" w:before="296"/>
        <w:ind w:left="695" w:right="136" w:firstLine="0"/>
        <w:jc w:val="both"/>
        <w:rPr>
          <w:i/>
          <w:sz w:val="27"/>
        </w:rPr>
      </w:pPr>
      <w:r>
        <w:rPr>
          <w:b/>
          <w:w w:val="105"/>
          <w:sz w:val="27"/>
        </w:rPr>
        <w:t>Комментарии.</w:t>
      </w:r>
      <w:r>
        <w:rPr>
          <w:b/>
          <w:spacing w:val="-8"/>
          <w:w w:val="105"/>
          <w:sz w:val="27"/>
        </w:rPr>
        <w:t> </w:t>
      </w:r>
      <w:r>
        <w:rPr>
          <w:i/>
          <w:w w:val="105"/>
          <w:sz w:val="27"/>
        </w:rPr>
        <w:t>Одной</w:t>
      </w:r>
      <w:r>
        <w:rPr>
          <w:i/>
          <w:spacing w:val="-11"/>
          <w:w w:val="105"/>
          <w:sz w:val="27"/>
        </w:rPr>
        <w:t> </w:t>
      </w:r>
      <w:r>
        <w:rPr>
          <w:i/>
          <w:w w:val="105"/>
          <w:sz w:val="27"/>
        </w:rPr>
        <w:t>единицей</w:t>
      </w:r>
      <w:r>
        <w:rPr>
          <w:i/>
          <w:spacing w:val="-12"/>
          <w:w w:val="105"/>
          <w:sz w:val="27"/>
        </w:rPr>
        <w:t> </w:t>
      </w:r>
      <w:r>
        <w:rPr>
          <w:i/>
          <w:w w:val="105"/>
          <w:sz w:val="27"/>
        </w:rPr>
        <w:t>употребления</w:t>
      </w:r>
      <w:r>
        <w:rPr>
          <w:i/>
          <w:spacing w:val="-11"/>
          <w:w w:val="105"/>
          <w:sz w:val="27"/>
        </w:rPr>
        <w:t> </w:t>
      </w:r>
      <w:r>
        <w:rPr>
          <w:i/>
          <w:w w:val="105"/>
          <w:sz w:val="27"/>
        </w:rPr>
        <w:t>алкоголя</w:t>
      </w:r>
      <w:r>
        <w:rPr>
          <w:i/>
          <w:spacing w:val="-12"/>
          <w:w w:val="105"/>
          <w:sz w:val="27"/>
        </w:rPr>
        <w:t> </w:t>
      </w:r>
      <w:r>
        <w:rPr>
          <w:i/>
          <w:w w:val="105"/>
          <w:sz w:val="27"/>
        </w:rPr>
        <w:t>следует </w:t>
      </w:r>
      <w:r>
        <w:rPr>
          <w:i/>
          <w:w w:val="105"/>
          <w:sz w:val="27"/>
        </w:rPr>
        <w:t>считать 10 мл или 8 г чистого спирта, что соответствует </w:t>
      </w:r>
      <w:r>
        <w:rPr>
          <w:i/>
          <w:spacing w:val="-4"/>
          <w:w w:val="105"/>
          <w:sz w:val="27"/>
        </w:rPr>
        <w:t>125 </w:t>
      </w:r>
      <w:r>
        <w:rPr>
          <w:i/>
          <w:w w:val="105"/>
          <w:sz w:val="27"/>
        </w:rPr>
        <w:t>мл вина или 250 мл</w:t>
      </w:r>
      <w:r>
        <w:rPr>
          <w:i/>
          <w:spacing w:val="-30"/>
          <w:w w:val="105"/>
          <w:sz w:val="27"/>
        </w:rPr>
        <w:t> </w:t>
      </w:r>
      <w:r>
        <w:rPr>
          <w:i/>
          <w:w w:val="105"/>
          <w:sz w:val="27"/>
        </w:rPr>
        <w:t>пива.</w:t>
      </w:r>
    </w:p>
    <w:p>
      <w:pPr>
        <w:pStyle w:val="BodyText"/>
        <w:spacing w:line="256" w:lineRule="auto" w:before="272"/>
        <w:ind w:left="695" w:right="133"/>
      </w:pPr>
      <w:r>
        <w:rPr/>
        <w:pict>
          <v:shape style="position:absolute;margin-left:91.538452pt;margin-top:21.019478pt;width:4.55pt;height:4.55pt;mso-position-horizontal-relative:page;mso-position-vertical-relative:paragraph;z-index:15790592"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для улучшения метаболических показателей рекомендуется увеличить употребление овощей,</w:t>
      </w:r>
    </w:p>
    <w:p>
      <w:pPr>
        <w:spacing w:after="0" w:line="256" w:lineRule="auto"/>
        <w:sectPr>
          <w:pgSz w:w="11900" w:h="16840"/>
          <w:pgMar w:top="0" w:bottom="0" w:left="1420" w:right="1520"/>
        </w:sectPr>
      </w:pPr>
    </w:p>
    <w:p>
      <w:pPr>
        <w:pStyle w:val="BodyText"/>
        <w:spacing w:line="256" w:lineRule="auto" w:before="16"/>
        <w:ind w:left="695" w:right="133"/>
      </w:pPr>
      <w:r>
        <w:rPr/>
        <w:t>свежих фруктов, рыбы, орехов и ненасыщенных жирных  кислот (оливковое масло), молочных продуктов низкой жирности, уменьшить употребление мяса</w:t>
      </w:r>
      <w:r>
        <w:rPr>
          <w:spacing w:val="-10"/>
        </w:rPr>
        <w:t> </w:t>
      </w:r>
      <w:r>
        <w:rPr/>
        <w:t>[121].</w:t>
      </w:r>
    </w:p>
    <w:p>
      <w:pPr>
        <w:pStyle w:val="Heading3"/>
        <w:spacing w:before="272"/>
      </w:pPr>
      <w:r>
        <w:rPr>
          <w:w w:val="105"/>
        </w:rPr>
        <w:t>ЕОК/ЕОАГ IA (УУР А, УДД 1)</w:t>
      </w:r>
    </w:p>
    <w:p>
      <w:pPr>
        <w:spacing w:line="256" w:lineRule="auto" w:before="296"/>
        <w:ind w:left="695" w:right="129" w:firstLine="0"/>
        <w:jc w:val="both"/>
        <w:rPr>
          <w:i/>
          <w:sz w:val="27"/>
        </w:rPr>
      </w:pPr>
      <w:r>
        <w:rPr>
          <w:b/>
          <w:w w:val="105"/>
          <w:sz w:val="27"/>
        </w:rPr>
        <w:t>Комментарии. </w:t>
      </w:r>
      <w:r>
        <w:rPr>
          <w:i/>
          <w:w w:val="105"/>
          <w:sz w:val="27"/>
        </w:rPr>
        <w:t>Необходимо увеличение потребления </w:t>
      </w:r>
      <w:r>
        <w:rPr>
          <w:i/>
          <w:w w:val="105"/>
          <w:sz w:val="27"/>
        </w:rPr>
        <w:t>растительной пищи, содержания в рационе калия, кальция (в овощах, фруктах, зерновых) и магния (в молочных продуктах), а также уменьшение потребления жиров животного происхождения. Пациентам с АГ следует рекомендовать употребление рыбы не реже двух раз в неделю и 300–400 г в сутки свежих овощей и фруктов.</w:t>
      </w:r>
    </w:p>
    <w:p>
      <w:pPr>
        <w:pStyle w:val="BodyText"/>
        <w:spacing w:line="390" w:lineRule="atLeast" w:before="247"/>
        <w:ind w:left="695" w:right="134"/>
      </w:pPr>
      <w:r>
        <w:rPr/>
        <w:pict>
          <v:shape style="position:absolute;margin-left:91.538452pt;margin-top:21.05633pt;width:4.55pt;height:4.55pt;mso-position-horizontal-relative:page;mso-position-vertical-relative:paragraph;z-index:15791104" coordorigin="1831,421" coordsize="91,91" path="m1888,511l1863,511,1853,507,1835,489,1831,479,1831,454,1835,443,1853,425,1863,421,1888,421,1899,425,1916,443,1921,454,1921,466,1921,479,1916,489,1899,507,1888,511xe" filled="true" fillcolor="#000000" stroked="false">
            <v:path arrowok="t"/>
            <v:fill type="solid"/>
            <w10:wrap type="none"/>
          </v:shape>
        </w:pict>
      </w:r>
      <w:r>
        <w:rPr/>
        <w:t>Всем пациентам с АГ рекомендуется контролировать массу тела  для  предупреждения  развития  ожирения  (индекс</w:t>
      </w:r>
      <w:r>
        <w:rPr>
          <w:spacing w:val="-6"/>
        </w:rPr>
        <w:t> </w:t>
      </w:r>
      <w:r>
        <w:rPr/>
        <w:t>массы</w:t>
      </w:r>
    </w:p>
    <w:p>
      <w:pPr>
        <w:pStyle w:val="BodyText"/>
        <w:spacing w:line="333" w:lineRule="exact" w:before="0"/>
        <w:ind w:left="695"/>
        <w:jc w:val="left"/>
      </w:pPr>
      <w:r>
        <w:rPr/>
        <w:t>тела</w:t>
      </w:r>
      <w:r>
        <w:rPr>
          <w:spacing w:val="-7"/>
        </w:rPr>
        <w:t> </w:t>
      </w:r>
      <w:r>
        <w:rPr/>
        <w:t>(ИМТ)</w:t>
      </w:r>
      <w:r>
        <w:rPr>
          <w:spacing w:val="-6"/>
        </w:rPr>
        <w:t> </w:t>
      </w:r>
      <w:r>
        <w:rPr>
          <w:rFonts w:ascii="Times New Roman" w:hAnsi="Times New Roman"/>
        </w:rPr>
        <w:t>≥</w:t>
      </w:r>
      <w:r>
        <w:rPr/>
        <w:t>30</w:t>
      </w:r>
      <w:r>
        <w:rPr>
          <w:spacing w:val="-6"/>
        </w:rPr>
        <w:t> </w:t>
      </w:r>
      <w:r>
        <w:rPr/>
        <w:t>кг/м</w:t>
      </w:r>
      <w:r>
        <w:rPr>
          <w:position w:val="14"/>
        </w:rPr>
        <w:t>2</w:t>
      </w:r>
      <w:r>
        <w:rPr>
          <w:spacing w:val="-4"/>
          <w:position w:val="14"/>
        </w:rPr>
        <w:t> </w:t>
      </w:r>
      <w:r>
        <w:rPr/>
        <w:t>или</w:t>
      </w:r>
      <w:r>
        <w:rPr>
          <w:spacing w:val="-4"/>
        </w:rPr>
        <w:t> </w:t>
      </w:r>
      <w:r>
        <w:rPr/>
        <w:t>окружность</w:t>
      </w:r>
      <w:r>
        <w:rPr>
          <w:spacing w:val="-4"/>
        </w:rPr>
        <w:t> </w:t>
      </w:r>
      <w:r>
        <w:rPr/>
        <w:t>талии</w:t>
      </w:r>
      <w:r>
        <w:rPr>
          <w:spacing w:val="-4"/>
        </w:rPr>
        <w:t> </w:t>
      </w:r>
      <w:r>
        <w:rPr/>
        <w:t>&gt;102</w:t>
      </w:r>
      <w:r>
        <w:rPr>
          <w:spacing w:val="-4"/>
        </w:rPr>
        <w:t> </w:t>
      </w:r>
      <w:r>
        <w:rPr/>
        <w:t>см</w:t>
      </w:r>
      <w:r>
        <w:rPr>
          <w:spacing w:val="-5"/>
        </w:rPr>
        <w:t> </w:t>
      </w:r>
      <w:r>
        <w:rPr/>
        <w:t>у</w:t>
      </w:r>
      <w:r>
        <w:rPr>
          <w:spacing w:val="-4"/>
        </w:rPr>
        <w:t> </w:t>
      </w:r>
      <w:r>
        <w:rPr/>
        <w:t>мужчин</w:t>
      </w:r>
      <w:r>
        <w:rPr>
          <w:spacing w:val="-4"/>
        </w:rPr>
        <w:t> </w:t>
      </w:r>
      <w:r>
        <w:rPr/>
        <w:t>и</w:t>
      </w:r>
    </w:p>
    <w:p>
      <w:pPr>
        <w:pStyle w:val="BodyText"/>
        <w:spacing w:line="447" w:lineRule="exact" w:before="0"/>
        <w:ind w:left="695"/>
        <w:jc w:val="left"/>
      </w:pPr>
      <w:r>
        <w:rPr/>
        <w:t>&gt;88</w:t>
      </w:r>
      <w:r>
        <w:rPr>
          <w:spacing w:val="35"/>
        </w:rPr>
        <w:t> </w:t>
      </w:r>
      <w:r>
        <w:rPr/>
        <w:t>см</w:t>
      </w:r>
      <w:r>
        <w:rPr>
          <w:spacing w:val="36"/>
        </w:rPr>
        <w:t> </w:t>
      </w:r>
      <w:r>
        <w:rPr/>
        <w:t>у</w:t>
      </w:r>
      <w:r>
        <w:rPr>
          <w:spacing w:val="36"/>
        </w:rPr>
        <w:t> </w:t>
      </w:r>
      <w:r>
        <w:rPr/>
        <w:t>женщин)</w:t>
      </w:r>
      <w:r>
        <w:rPr>
          <w:spacing w:val="35"/>
        </w:rPr>
        <w:t> </w:t>
      </w:r>
      <w:r>
        <w:rPr/>
        <w:t>и</w:t>
      </w:r>
      <w:r>
        <w:rPr>
          <w:spacing w:val="36"/>
        </w:rPr>
        <w:t> </w:t>
      </w:r>
      <w:r>
        <w:rPr/>
        <w:t>достижение</w:t>
      </w:r>
      <w:r>
        <w:rPr>
          <w:spacing w:val="36"/>
        </w:rPr>
        <w:t> </w:t>
      </w:r>
      <w:r>
        <w:rPr/>
        <w:t>ИМТ</w:t>
      </w:r>
      <w:r>
        <w:rPr>
          <w:spacing w:val="36"/>
        </w:rPr>
        <w:t> </w:t>
      </w:r>
      <w:r>
        <w:rPr/>
        <w:t>в</w:t>
      </w:r>
      <w:r>
        <w:rPr>
          <w:spacing w:val="35"/>
        </w:rPr>
        <w:t> </w:t>
      </w:r>
      <w:r>
        <w:rPr/>
        <w:t>пределах</w:t>
      </w:r>
      <w:r>
        <w:rPr>
          <w:spacing w:val="36"/>
        </w:rPr>
        <w:t> </w:t>
      </w:r>
      <w:r>
        <w:rPr/>
        <w:t>20–25</w:t>
      </w:r>
      <w:r>
        <w:rPr>
          <w:spacing w:val="36"/>
        </w:rPr>
        <w:t> </w:t>
      </w:r>
      <w:r>
        <w:rPr/>
        <w:t>кг/м</w:t>
      </w:r>
      <w:r>
        <w:rPr>
          <w:position w:val="14"/>
        </w:rPr>
        <w:t>2</w:t>
      </w:r>
      <w:r>
        <w:rPr/>
        <w:t>;</w:t>
      </w:r>
    </w:p>
    <w:p>
      <w:pPr>
        <w:pStyle w:val="BodyText"/>
        <w:spacing w:line="256" w:lineRule="auto" w:before="26"/>
        <w:ind w:left="695" w:right="137"/>
      </w:pPr>
      <w:r>
        <w:rPr/>
        <w:t>окружности талии &lt;94 см у мужчин и &lt;80 см у женщин с целью снижения АД и уменьшения СС риска [122–124].</w:t>
      </w:r>
    </w:p>
    <w:p>
      <w:pPr>
        <w:pStyle w:val="Heading3"/>
      </w:pPr>
      <w:r>
        <w:rPr>
          <w:w w:val="105"/>
        </w:rPr>
        <w:t>ЕОК/ЕОАГ IA (УУР А, УДД 1)</w:t>
      </w:r>
    </w:p>
    <w:p>
      <w:pPr>
        <w:spacing w:line="256" w:lineRule="auto" w:before="296"/>
        <w:ind w:left="695" w:right="138" w:firstLine="0"/>
        <w:jc w:val="both"/>
        <w:rPr>
          <w:i/>
          <w:sz w:val="27"/>
        </w:rPr>
      </w:pPr>
      <w:r>
        <w:rPr>
          <w:b/>
          <w:sz w:val="27"/>
        </w:rPr>
        <w:t>Комментарии. </w:t>
      </w:r>
      <w:r>
        <w:rPr>
          <w:i/>
          <w:sz w:val="27"/>
        </w:rPr>
        <w:t>У лиц с ожирением уменьшение массы тела на 5– </w:t>
      </w:r>
      <w:r>
        <w:rPr>
          <w:i/>
          <w:sz w:val="27"/>
        </w:rPr>
        <w:t>10% от исходной приводит к достоверному снижению риска развития ССО.</w:t>
      </w:r>
    </w:p>
    <w:p>
      <w:pPr>
        <w:pStyle w:val="BodyText"/>
        <w:spacing w:line="256" w:lineRule="auto" w:before="271"/>
        <w:ind w:left="695" w:right="129"/>
      </w:pPr>
      <w:r>
        <w:rPr/>
        <w:pict>
          <v:shape style="position:absolute;margin-left:91.538452pt;margin-top:20.969484pt;width:4.55pt;height:4.55pt;mso-position-horizontal-relative:page;mso-position-vertical-relative:paragraph;z-index:15791616"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w w:val="105"/>
        </w:rPr>
        <w:t>Всем пациентам с АГ в связи с доказанным положительным эффектом на уровень </w:t>
      </w:r>
      <w:r>
        <w:rPr>
          <w:spacing w:val="-4"/>
          <w:w w:val="105"/>
        </w:rPr>
        <w:t>СС </w:t>
      </w:r>
      <w:r>
        <w:rPr>
          <w:w w:val="105"/>
        </w:rPr>
        <w:t>смертности рекомендуются регулярные аэробные физические упражнения (не менее 30 минут динамических упражнений умеренной</w:t>
      </w:r>
      <w:r>
        <w:rPr>
          <w:spacing w:val="-53"/>
          <w:w w:val="105"/>
        </w:rPr>
        <w:t> </w:t>
      </w:r>
      <w:r>
        <w:rPr>
          <w:w w:val="105"/>
        </w:rPr>
        <w:t>интенсивности 5–7 дней в неделю) [125,</w:t>
      </w:r>
      <w:r>
        <w:rPr>
          <w:spacing w:val="-29"/>
          <w:w w:val="105"/>
        </w:rPr>
        <w:t> </w:t>
      </w:r>
      <w:r>
        <w:rPr>
          <w:w w:val="105"/>
        </w:rPr>
        <w:t>126].</w:t>
      </w:r>
    </w:p>
    <w:p>
      <w:pPr>
        <w:pStyle w:val="Heading3"/>
        <w:spacing w:before="272"/>
      </w:pPr>
      <w:r>
        <w:rPr/>
        <w:t>ЕОК/ЕОАГ IA (УУР А, </w:t>
      </w:r>
      <w:r>
        <w:rPr>
          <w:spacing w:val="-3"/>
        </w:rPr>
        <w:t>УДД</w:t>
      </w:r>
      <w:r>
        <w:rPr>
          <w:spacing w:val="-48"/>
        </w:rPr>
        <w:t> </w:t>
      </w:r>
      <w:r>
        <w:rPr/>
        <w:t>2)</w:t>
      </w:r>
    </w:p>
    <w:p>
      <w:pPr>
        <w:spacing w:line="256" w:lineRule="auto" w:before="296"/>
        <w:ind w:left="695" w:right="133" w:firstLine="0"/>
        <w:jc w:val="both"/>
        <w:rPr>
          <w:i/>
          <w:sz w:val="27"/>
        </w:rPr>
      </w:pPr>
      <w:r>
        <w:rPr>
          <w:b/>
          <w:w w:val="105"/>
          <w:sz w:val="27"/>
        </w:rPr>
        <w:t>Комментарии. </w:t>
      </w:r>
      <w:r>
        <w:rPr>
          <w:i/>
          <w:w w:val="105"/>
          <w:sz w:val="27"/>
        </w:rPr>
        <w:t>Пациентам с АГ следует рекомендовать </w:t>
      </w:r>
      <w:r>
        <w:rPr>
          <w:i/>
          <w:w w:val="105"/>
          <w:sz w:val="27"/>
        </w:rPr>
        <w:t>умеренные аэробные нагрузки (ходьба, скандинавская ходьба, езда на велосипеде, плавание, фитнес). Влияние изометрической силовой нагрузки на уровень АД и СС риск до конца не ясно.</w:t>
      </w:r>
    </w:p>
    <w:p>
      <w:pPr>
        <w:pStyle w:val="BodyText"/>
        <w:spacing w:line="256" w:lineRule="auto" w:before="272"/>
        <w:ind w:left="695" w:right="129"/>
      </w:pPr>
      <w:r>
        <w:rPr/>
        <w:pict>
          <v:shape style="position:absolute;margin-left:91.538452pt;margin-top:21.019474pt;width:4.55pt;height:4.55pt;mso-position-horizontal-relative:page;mso-position-vertical-relative:paragraph;z-index:15792128"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в связи с доказанным негативным эффектом курения на уровень смертности рекомендуются прекращение курения, психологическая поддержка и выполнение программ по прекращению курения [127–129].</w:t>
      </w:r>
    </w:p>
    <w:p>
      <w:pPr>
        <w:spacing w:before="272"/>
        <w:ind w:left="695" w:right="0" w:firstLine="0"/>
        <w:jc w:val="left"/>
        <w:rPr>
          <w:b/>
          <w:sz w:val="27"/>
        </w:rPr>
      </w:pPr>
      <w:r>
        <w:rPr>
          <w:b/>
          <w:w w:val="105"/>
          <w:sz w:val="27"/>
        </w:rPr>
        <w:t>ЕОК/ЕОАГ IB (УУР А, УДД 2)</w:t>
      </w:r>
    </w:p>
    <w:p>
      <w:pPr>
        <w:spacing w:after="0"/>
        <w:jc w:val="left"/>
        <w:rPr>
          <w:sz w:val="27"/>
        </w:rPr>
        <w:sectPr>
          <w:pgSz w:w="11900" w:h="16840"/>
          <w:pgMar w:top="0" w:bottom="0" w:left="1420" w:right="1520"/>
        </w:sectPr>
      </w:pPr>
    </w:p>
    <w:p>
      <w:pPr>
        <w:pStyle w:val="Heading2"/>
        <w:numPr>
          <w:ilvl w:val="1"/>
          <w:numId w:val="2"/>
        </w:numPr>
        <w:tabs>
          <w:tab w:pos="941" w:val="left" w:leader="none"/>
        </w:tabs>
        <w:spacing w:line="384" w:lineRule="exact" w:before="0" w:after="0"/>
        <w:ind w:left="940" w:right="0" w:hanging="561"/>
        <w:jc w:val="left"/>
      </w:pPr>
      <w:r>
        <w:rPr/>
        <w:t>Медикаментозная терапия</w:t>
      </w:r>
      <w:r>
        <w:rPr>
          <w:spacing w:val="10"/>
        </w:rPr>
        <w:t> </w:t>
      </w:r>
      <w:r>
        <w:rPr/>
        <w:t>АГ</w:t>
      </w:r>
    </w:p>
    <w:p>
      <w:pPr>
        <w:pStyle w:val="BodyText"/>
        <w:spacing w:before="8"/>
        <w:ind w:left="0"/>
        <w:jc w:val="left"/>
        <w:rPr>
          <w:b/>
          <w:sz w:val="30"/>
        </w:rPr>
      </w:pPr>
    </w:p>
    <w:p>
      <w:pPr>
        <w:pStyle w:val="Heading3"/>
        <w:numPr>
          <w:ilvl w:val="2"/>
          <w:numId w:val="2"/>
        </w:numPr>
        <w:tabs>
          <w:tab w:pos="1387" w:val="left" w:leader="none"/>
        </w:tabs>
        <w:spacing w:line="240" w:lineRule="auto" w:before="0" w:after="0"/>
        <w:ind w:left="1386" w:right="0" w:hanging="692"/>
        <w:jc w:val="left"/>
      </w:pPr>
      <w:r>
        <w:rPr/>
        <w:t>Общие принципы медикаментозной</w:t>
      </w:r>
      <w:r>
        <w:rPr>
          <w:spacing w:val="13"/>
        </w:rPr>
        <w:t> </w:t>
      </w:r>
      <w:r>
        <w:rPr/>
        <w:t>терапии</w:t>
      </w:r>
    </w:p>
    <w:p>
      <w:pPr>
        <w:spacing w:line="256" w:lineRule="auto" w:before="296"/>
        <w:ind w:left="695" w:right="130" w:firstLine="0"/>
        <w:jc w:val="both"/>
        <w:rPr>
          <w:i/>
          <w:sz w:val="27"/>
        </w:rPr>
      </w:pPr>
      <w:r>
        <w:rPr>
          <w:i/>
          <w:sz w:val="27"/>
        </w:rPr>
        <w:t>Основой антигипертензивной терапии для снижения АД и </w:t>
      </w:r>
      <w:r>
        <w:rPr>
          <w:i/>
          <w:sz w:val="27"/>
        </w:rPr>
        <w:t>уменьшения числа </w:t>
      </w:r>
      <w:r>
        <w:rPr>
          <w:i/>
          <w:spacing w:val="-4"/>
          <w:sz w:val="27"/>
        </w:rPr>
        <w:t>СС</w:t>
      </w:r>
      <w:r>
        <w:rPr>
          <w:i/>
          <w:spacing w:val="59"/>
          <w:sz w:val="27"/>
        </w:rPr>
        <w:t> </w:t>
      </w:r>
      <w:r>
        <w:rPr>
          <w:i/>
          <w:sz w:val="27"/>
        </w:rPr>
        <w:t>событий являются 5 классов антигипертензивных препаратов: ингибиторы АПФ (ИАПФ), блокаторы рецепторов ангиотензина-II </w:t>
      </w:r>
      <w:r>
        <w:rPr>
          <w:i/>
          <w:spacing w:val="-4"/>
          <w:sz w:val="27"/>
        </w:rPr>
        <w:t>(БРА), </w:t>
      </w:r>
      <w:r>
        <w:rPr>
          <w:i/>
          <w:sz w:val="27"/>
        </w:rPr>
        <w:t>бета- адреноблокаторы (ББ), блокаторы кальциевых каналов (АК) и диуретики (тиазидные — гидрохлортиазид, и тиазидоподобные</w:t>
      </w:r>
    </w:p>
    <w:p>
      <w:pPr>
        <w:spacing w:before="3"/>
        <w:ind w:left="695" w:right="0" w:firstLine="0"/>
        <w:jc w:val="both"/>
        <w:rPr>
          <w:i/>
          <w:sz w:val="27"/>
        </w:rPr>
      </w:pPr>
      <w:r>
        <w:rPr>
          <w:i/>
          <w:w w:val="105"/>
          <w:sz w:val="27"/>
        </w:rPr>
        <w:t>— хлорталидон и индапамид).</w:t>
      </w:r>
    </w:p>
    <w:p>
      <w:pPr>
        <w:spacing w:line="256" w:lineRule="auto" w:before="296"/>
        <w:ind w:left="695" w:right="135" w:firstLine="0"/>
        <w:jc w:val="both"/>
        <w:rPr>
          <w:i/>
          <w:sz w:val="27"/>
        </w:rPr>
      </w:pPr>
      <w:r>
        <w:rPr>
          <w:i/>
          <w:w w:val="105"/>
          <w:sz w:val="27"/>
        </w:rPr>
        <w:t>Противопоказания к назначению основных антигипертензивных </w:t>
      </w:r>
      <w:r>
        <w:rPr>
          <w:i/>
          <w:w w:val="105"/>
          <w:sz w:val="27"/>
        </w:rPr>
        <w:t>препаратов суммированы в таблице П4, Приложение Г4.</w:t>
      </w:r>
    </w:p>
    <w:p>
      <w:pPr>
        <w:pStyle w:val="BodyText"/>
        <w:spacing w:line="256" w:lineRule="auto" w:before="270"/>
        <w:ind w:left="695" w:right="130"/>
      </w:pPr>
      <w:r>
        <w:rPr/>
        <w:pict>
          <v:shape style="position:absolute;margin-left:91.538452pt;margin-top:20.919506pt;width:4.55pt;height:4.5pt;mso-position-horizontal-relative:page;mso-position-vertical-relative:paragraph;z-index:15792640" coordorigin="1831,418" coordsize="91,90" path="m1888,508l1863,508,1853,504,1835,486,1831,476,1831,451,1835,440,1853,423,1863,418,1888,418,1899,423,1916,440,1921,451,1921,463,1921,476,1916,486,1899,504,1888,508xe" filled="true" fillcolor="#000000" stroked="false">
            <v:path arrowok="t"/>
            <v:fill type="solid"/>
            <w10:wrap type="none"/>
          </v:shape>
        </w:pict>
      </w:r>
      <w:r>
        <w:rPr>
          <w:w w:val="105"/>
        </w:rPr>
        <w:t>Всем пациентам с АГ (кроме пациентов низкого риска с АД&lt;150/90 мм рт. ст., пациентов </w:t>
      </w:r>
      <w:r>
        <w:rPr>
          <w:rFonts w:ascii="Times New Roman" w:hAnsi="Times New Roman"/>
          <w:w w:val="105"/>
        </w:rPr>
        <w:t>≥</w:t>
      </w:r>
      <w:r>
        <w:rPr>
          <w:w w:val="105"/>
        </w:rPr>
        <w:t>80 лет, пациентов с синдромом</w:t>
      </w:r>
      <w:r>
        <w:rPr>
          <w:spacing w:val="-26"/>
          <w:w w:val="105"/>
        </w:rPr>
        <w:t> </w:t>
      </w:r>
      <w:r>
        <w:rPr>
          <w:w w:val="105"/>
        </w:rPr>
        <w:t>старческой</w:t>
      </w:r>
      <w:r>
        <w:rPr>
          <w:spacing w:val="-26"/>
          <w:w w:val="105"/>
        </w:rPr>
        <w:t> </w:t>
      </w:r>
      <w:r>
        <w:rPr>
          <w:w w:val="105"/>
        </w:rPr>
        <w:t>астении)</w:t>
      </w:r>
      <w:r>
        <w:rPr>
          <w:spacing w:val="-26"/>
          <w:w w:val="105"/>
        </w:rPr>
        <w:t> </w:t>
      </w:r>
      <w:r>
        <w:rPr>
          <w:w w:val="105"/>
        </w:rPr>
        <w:t>в</w:t>
      </w:r>
      <w:r>
        <w:rPr>
          <w:spacing w:val="-26"/>
          <w:w w:val="105"/>
        </w:rPr>
        <w:t> </w:t>
      </w:r>
      <w:r>
        <w:rPr>
          <w:w w:val="105"/>
        </w:rPr>
        <w:t>качестве</w:t>
      </w:r>
      <w:r>
        <w:rPr>
          <w:spacing w:val="-26"/>
          <w:w w:val="105"/>
        </w:rPr>
        <w:t> </w:t>
      </w:r>
      <w:r>
        <w:rPr>
          <w:w w:val="105"/>
        </w:rPr>
        <w:t>стартовой</w:t>
      </w:r>
      <w:r>
        <w:rPr>
          <w:spacing w:val="-26"/>
          <w:w w:val="105"/>
        </w:rPr>
        <w:t> </w:t>
      </w:r>
      <w:r>
        <w:rPr>
          <w:w w:val="105"/>
        </w:rPr>
        <w:t>терапии </w:t>
      </w:r>
      <w:r>
        <w:rPr/>
        <w:t>рекомендована комбинация антигипертензивных препаратов, </w:t>
      </w:r>
      <w:r>
        <w:rPr>
          <w:w w:val="105"/>
        </w:rPr>
        <w:t>предпочтительно фиксированная, для улучшения приверженности к терапии. Предпочтительные</w:t>
      </w:r>
      <w:r>
        <w:rPr>
          <w:spacing w:val="-33"/>
          <w:w w:val="105"/>
        </w:rPr>
        <w:t> </w:t>
      </w:r>
      <w:r>
        <w:rPr>
          <w:w w:val="105"/>
        </w:rPr>
        <w:t>комбинации должны включать блокатор ренин-ангиотензиновой</w:t>
      </w:r>
      <w:r>
        <w:rPr>
          <w:spacing w:val="-33"/>
          <w:w w:val="105"/>
        </w:rPr>
        <w:t> </w:t>
      </w:r>
      <w:r>
        <w:rPr>
          <w:w w:val="105"/>
        </w:rPr>
        <w:t>системы </w:t>
      </w:r>
      <w:r>
        <w:rPr>
          <w:spacing w:val="-6"/>
        </w:rPr>
        <w:t>(РААС) </w:t>
      </w:r>
      <w:r>
        <w:rPr/>
        <w:t>(ингибитор АПФ или </w:t>
      </w:r>
      <w:r>
        <w:rPr>
          <w:spacing w:val="-5"/>
        </w:rPr>
        <w:t>БРА) </w:t>
      </w:r>
      <w:r>
        <w:rPr/>
        <w:t>и дигидропиридиновый АК </w:t>
      </w:r>
      <w:r>
        <w:rPr>
          <w:w w:val="105"/>
        </w:rPr>
        <w:t>или диуретик (Приложение Б2)</w:t>
      </w:r>
      <w:r>
        <w:rPr>
          <w:spacing w:val="-43"/>
          <w:w w:val="105"/>
        </w:rPr>
        <w:t> </w:t>
      </w:r>
      <w:r>
        <w:rPr>
          <w:w w:val="105"/>
        </w:rPr>
        <w:t>[130–134].</w:t>
      </w:r>
    </w:p>
    <w:p>
      <w:pPr>
        <w:pStyle w:val="Heading3"/>
        <w:spacing w:before="274"/>
        <w:jc w:val="both"/>
      </w:pPr>
      <w:r>
        <w:rPr>
          <w:w w:val="105"/>
        </w:rPr>
        <w:t>ЕОК/ЕОАГ IA (УУР А, УДД 1)</w:t>
      </w:r>
    </w:p>
    <w:p>
      <w:pPr>
        <w:spacing w:line="256" w:lineRule="auto" w:before="296"/>
        <w:ind w:left="695" w:right="130" w:firstLine="0"/>
        <w:jc w:val="both"/>
        <w:rPr>
          <w:i/>
          <w:sz w:val="27"/>
        </w:rPr>
      </w:pPr>
      <w:r>
        <w:rPr>
          <w:b/>
          <w:w w:val="105"/>
          <w:sz w:val="27"/>
        </w:rPr>
        <w:t>Комментарии. </w:t>
      </w:r>
      <w:r>
        <w:rPr>
          <w:i/>
          <w:w w:val="105"/>
          <w:sz w:val="27"/>
        </w:rPr>
        <w:t>Многочисленными РКИ показано, что </w:t>
      </w:r>
      <w:r>
        <w:rPr>
          <w:i/>
          <w:w w:val="105"/>
          <w:sz w:val="27"/>
        </w:rPr>
        <w:t>монотерапия эффективно снижает АД лишь у ограниченного числа пациентов АГ, большинству пациентов для контроля АД требуется комбинация как минимум из двух препаратов. Метаанализ более 40 исследований показал, что комбинация двух препаратов из любых двух классов антигипертензивных средств усиливает</w:t>
      </w:r>
      <w:r>
        <w:rPr>
          <w:i/>
          <w:spacing w:val="-14"/>
          <w:w w:val="105"/>
          <w:sz w:val="27"/>
        </w:rPr>
        <w:t> </w:t>
      </w:r>
      <w:r>
        <w:rPr>
          <w:i/>
          <w:w w:val="105"/>
          <w:sz w:val="27"/>
        </w:rPr>
        <w:t>степень</w:t>
      </w:r>
      <w:r>
        <w:rPr>
          <w:i/>
          <w:spacing w:val="-14"/>
          <w:w w:val="105"/>
          <w:sz w:val="27"/>
        </w:rPr>
        <w:t> </w:t>
      </w:r>
      <w:r>
        <w:rPr>
          <w:i/>
          <w:w w:val="105"/>
          <w:sz w:val="27"/>
        </w:rPr>
        <w:t>снижения</w:t>
      </w:r>
      <w:r>
        <w:rPr>
          <w:i/>
          <w:spacing w:val="-14"/>
          <w:w w:val="105"/>
          <w:sz w:val="27"/>
        </w:rPr>
        <w:t> </w:t>
      </w:r>
      <w:r>
        <w:rPr>
          <w:i/>
          <w:w w:val="105"/>
          <w:sz w:val="27"/>
        </w:rPr>
        <w:t>АД</w:t>
      </w:r>
      <w:r>
        <w:rPr>
          <w:i/>
          <w:spacing w:val="-14"/>
          <w:w w:val="105"/>
          <w:sz w:val="27"/>
        </w:rPr>
        <w:t> </w:t>
      </w:r>
      <w:r>
        <w:rPr>
          <w:i/>
          <w:w w:val="105"/>
          <w:sz w:val="27"/>
        </w:rPr>
        <w:t>намного</w:t>
      </w:r>
      <w:r>
        <w:rPr>
          <w:i/>
          <w:spacing w:val="-14"/>
          <w:w w:val="105"/>
          <w:sz w:val="27"/>
        </w:rPr>
        <w:t> </w:t>
      </w:r>
      <w:r>
        <w:rPr>
          <w:i/>
          <w:w w:val="105"/>
          <w:sz w:val="27"/>
        </w:rPr>
        <w:t>сильнее,</w:t>
      </w:r>
      <w:r>
        <w:rPr>
          <w:i/>
          <w:spacing w:val="-14"/>
          <w:w w:val="105"/>
          <w:sz w:val="27"/>
        </w:rPr>
        <w:t> </w:t>
      </w:r>
      <w:r>
        <w:rPr>
          <w:i/>
          <w:w w:val="105"/>
          <w:sz w:val="27"/>
        </w:rPr>
        <w:t>чем</w:t>
      </w:r>
      <w:r>
        <w:rPr>
          <w:i/>
          <w:spacing w:val="-14"/>
          <w:w w:val="105"/>
          <w:sz w:val="27"/>
        </w:rPr>
        <w:t> </w:t>
      </w:r>
      <w:r>
        <w:rPr>
          <w:i/>
          <w:w w:val="105"/>
          <w:sz w:val="27"/>
        </w:rPr>
        <w:t>повышение дозы одного препарата. Еще одно преимущество комбинированной терапии — возможность физиологического и фармакологического синергизма между препаратами разных классов, что может не только лежать в основе более выраженного снижения АД и лучшей переносимости. Комбинированная терапия позволяет также подавить контррегуляторные механизмы повышения АД. Все преимущества комбинированной терапии присущи только рациональным комбинациям АГП. К ним относятся: ИАПФ + диуретик;</w:t>
      </w:r>
      <w:r>
        <w:rPr>
          <w:i/>
          <w:spacing w:val="36"/>
          <w:w w:val="105"/>
          <w:sz w:val="27"/>
        </w:rPr>
        <w:t> </w:t>
      </w:r>
      <w:r>
        <w:rPr>
          <w:i/>
          <w:spacing w:val="-7"/>
          <w:w w:val="105"/>
          <w:sz w:val="27"/>
        </w:rPr>
        <w:t>БРА</w:t>
      </w:r>
      <w:r>
        <w:rPr>
          <w:i/>
          <w:spacing w:val="50"/>
          <w:w w:val="105"/>
          <w:sz w:val="27"/>
        </w:rPr>
        <w:t> </w:t>
      </w:r>
      <w:r>
        <w:rPr>
          <w:i/>
          <w:w w:val="105"/>
          <w:sz w:val="27"/>
        </w:rPr>
        <w:t>+</w:t>
      </w:r>
      <w:r>
        <w:rPr>
          <w:i/>
          <w:spacing w:val="37"/>
          <w:w w:val="105"/>
          <w:sz w:val="27"/>
        </w:rPr>
        <w:t> </w:t>
      </w:r>
      <w:r>
        <w:rPr>
          <w:i/>
          <w:w w:val="105"/>
          <w:sz w:val="27"/>
        </w:rPr>
        <w:t>диуретик;</w:t>
      </w:r>
      <w:r>
        <w:rPr>
          <w:i/>
          <w:spacing w:val="36"/>
          <w:w w:val="105"/>
          <w:sz w:val="27"/>
        </w:rPr>
        <w:t> </w:t>
      </w:r>
      <w:r>
        <w:rPr>
          <w:i/>
          <w:w w:val="105"/>
          <w:sz w:val="27"/>
        </w:rPr>
        <w:t>ИАПФ</w:t>
      </w:r>
      <w:r>
        <w:rPr>
          <w:i/>
          <w:spacing w:val="36"/>
          <w:w w:val="105"/>
          <w:sz w:val="27"/>
        </w:rPr>
        <w:t> </w:t>
      </w:r>
      <w:r>
        <w:rPr>
          <w:i/>
          <w:w w:val="105"/>
          <w:sz w:val="27"/>
        </w:rPr>
        <w:t>+</w:t>
      </w:r>
      <w:r>
        <w:rPr>
          <w:i/>
          <w:spacing w:val="37"/>
          <w:w w:val="105"/>
          <w:sz w:val="27"/>
        </w:rPr>
        <w:t> </w:t>
      </w:r>
      <w:r>
        <w:rPr>
          <w:i/>
          <w:w w:val="105"/>
          <w:sz w:val="27"/>
        </w:rPr>
        <w:t>АК;</w:t>
      </w:r>
      <w:r>
        <w:rPr>
          <w:i/>
          <w:spacing w:val="36"/>
          <w:w w:val="105"/>
          <w:sz w:val="27"/>
        </w:rPr>
        <w:t> </w:t>
      </w:r>
      <w:r>
        <w:rPr>
          <w:i/>
          <w:spacing w:val="-7"/>
          <w:w w:val="105"/>
          <w:sz w:val="27"/>
        </w:rPr>
        <w:t>БРА</w:t>
      </w:r>
      <w:r>
        <w:rPr>
          <w:i/>
          <w:spacing w:val="50"/>
          <w:w w:val="105"/>
          <w:sz w:val="27"/>
        </w:rPr>
        <w:t> </w:t>
      </w:r>
      <w:r>
        <w:rPr>
          <w:i/>
          <w:w w:val="105"/>
          <w:sz w:val="27"/>
        </w:rPr>
        <w:t>+</w:t>
      </w:r>
      <w:r>
        <w:rPr>
          <w:i/>
          <w:spacing w:val="37"/>
          <w:w w:val="105"/>
          <w:sz w:val="27"/>
        </w:rPr>
        <w:t> </w:t>
      </w:r>
      <w:r>
        <w:rPr>
          <w:i/>
          <w:w w:val="105"/>
          <w:sz w:val="27"/>
        </w:rPr>
        <w:t>АК,</w:t>
      </w:r>
    </w:p>
    <w:p>
      <w:pPr>
        <w:spacing w:after="0" w:line="256" w:lineRule="auto"/>
        <w:jc w:val="both"/>
        <w:rPr>
          <w:sz w:val="27"/>
        </w:rPr>
        <w:sectPr>
          <w:pgSz w:w="11900" w:h="16840"/>
          <w:pgMar w:top="0" w:bottom="0" w:left="1420" w:right="1520"/>
        </w:sectPr>
      </w:pPr>
    </w:p>
    <w:p>
      <w:pPr>
        <w:spacing w:line="256" w:lineRule="auto" w:before="16"/>
        <w:ind w:left="695" w:right="130" w:firstLine="0"/>
        <w:jc w:val="both"/>
        <w:rPr>
          <w:i/>
          <w:sz w:val="27"/>
        </w:rPr>
      </w:pPr>
      <w:r>
        <w:rPr>
          <w:i/>
          <w:w w:val="105"/>
          <w:sz w:val="27"/>
        </w:rPr>
        <w:t>дигидропиридиновый</w:t>
      </w:r>
      <w:r>
        <w:rPr>
          <w:i/>
          <w:spacing w:val="-12"/>
          <w:w w:val="105"/>
          <w:sz w:val="27"/>
        </w:rPr>
        <w:t> </w:t>
      </w:r>
      <w:r>
        <w:rPr>
          <w:i/>
          <w:w w:val="105"/>
          <w:sz w:val="27"/>
        </w:rPr>
        <w:t>АК</w:t>
      </w:r>
      <w:r>
        <w:rPr>
          <w:i/>
          <w:spacing w:val="-12"/>
          <w:w w:val="105"/>
          <w:sz w:val="27"/>
        </w:rPr>
        <w:t> </w:t>
      </w:r>
      <w:r>
        <w:rPr>
          <w:i/>
          <w:w w:val="105"/>
          <w:sz w:val="27"/>
        </w:rPr>
        <w:t>+</w:t>
      </w:r>
      <w:r>
        <w:rPr>
          <w:i/>
          <w:spacing w:val="-12"/>
          <w:w w:val="105"/>
          <w:sz w:val="27"/>
        </w:rPr>
        <w:t> </w:t>
      </w:r>
      <w:r>
        <w:rPr>
          <w:i/>
          <w:w w:val="105"/>
          <w:sz w:val="27"/>
        </w:rPr>
        <w:t>ББ,</w:t>
      </w:r>
      <w:r>
        <w:rPr>
          <w:i/>
          <w:spacing w:val="-12"/>
          <w:w w:val="105"/>
          <w:sz w:val="27"/>
        </w:rPr>
        <w:t> </w:t>
      </w:r>
      <w:r>
        <w:rPr>
          <w:i/>
          <w:w w:val="105"/>
          <w:sz w:val="27"/>
        </w:rPr>
        <w:t>АК</w:t>
      </w:r>
      <w:r>
        <w:rPr>
          <w:i/>
          <w:spacing w:val="-11"/>
          <w:w w:val="105"/>
          <w:sz w:val="27"/>
        </w:rPr>
        <w:t> </w:t>
      </w:r>
      <w:r>
        <w:rPr>
          <w:i/>
          <w:w w:val="105"/>
          <w:sz w:val="27"/>
        </w:rPr>
        <w:t>+</w:t>
      </w:r>
      <w:r>
        <w:rPr>
          <w:i/>
          <w:spacing w:val="-12"/>
          <w:w w:val="105"/>
          <w:sz w:val="27"/>
        </w:rPr>
        <w:t> </w:t>
      </w:r>
      <w:r>
        <w:rPr>
          <w:i/>
          <w:w w:val="105"/>
          <w:sz w:val="27"/>
        </w:rPr>
        <w:t>диуретик,</w:t>
      </w:r>
      <w:r>
        <w:rPr>
          <w:i/>
          <w:spacing w:val="-12"/>
          <w:w w:val="105"/>
          <w:sz w:val="27"/>
        </w:rPr>
        <w:t> </w:t>
      </w:r>
      <w:r>
        <w:rPr>
          <w:i/>
          <w:w w:val="105"/>
          <w:sz w:val="27"/>
        </w:rPr>
        <w:t>ББ</w:t>
      </w:r>
      <w:r>
        <w:rPr>
          <w:i/>
          <w:spacing w:val="-12"/>
          <w:w w:val="105"/>
          <w:sz w:val="27"/>
        </w:rPr>
        <w:t> </w:t>
      </w:r>
      <w:r>
        <w:rPr>
          <w:i/>
          <w:w w:val="105"/>
          <w:sz w:val="27"/>
        </w:rPr>
        <w:t>+</w:t>
      </w:r>
      <w:r>
        <w:rPr>
          <w:i/>
          <w:spacing w:val="-11"/>
          <w:w w:val="105"/>
          <w:sz w:val="27"/>
        </w:rPr>
        <w:t> </w:t>
      </w:r>
      <w:r>
        <w:rPr>
          <w:i/>
          <w:w w:val="105"/>
          <w:sz w:val="27"/>
        </w:rPr>
        <w:t>диуретик.</w:t>
      </w:r>
      <w:r>
        <w:rPr>
          <w:i/>
          <w:spacing w:val="-12"/>
          <w:w w:val="105"/>
          <w:sz w:val="27"/>
        </w:rPr>
        <w:t> </w:t>
      </w:r>
      <w:r>
        <w:rPr>
          <w:i/>
          <w:w w:val="105"/>
          <w:sz w:val="27"/>
        </w:rPr>
        <w:t>На </w:t>
      </w:r>
      <w:r>
        <w:rPr>
          <w:i/>
          <w:w w:val="105"/>
          <w:sz w:val="27"/>
        </w:rPr>
        <w:t>практике могут быть использованы и другие комбинации пяти основных классов антигипертензивных средств при наличии индивидуальных показаний</w:t>
      </w:r>
      <w:r>
        <w:rPr>
          <w:w w:val="105"/>
          <w:sz w:val="27"/>
        </w:rPr>
        <w:t>. </w:t>
      </w:r>
      <w:r>
        <w:rPr>
          <w:i/>
          <w:w w:val="105"/>
          <w:sz w:val="27"/>
        </w:rPr>
        <w:t>При наличии клинической </w:t>
      </w:r>
      <w:r>
        <w:rPr>
          <w:i/>
          <w:w w:val="105"/>
          <w:sz w:val="27"/>
        </w:rPr>
        <w:t>целесообразности, с учетом особенностей клинического течения заболевания, коморбидной патологии, переносимости лечения и профиля побочных эффектов, а также при наличии предпочтений пациента, связанных с его личным позитивным или негативным опытом, и, соответственно с учетом ожидаемой приверженности к лечению врач имеет право назначать любой антигипертензивный препарат, который зарегистрирован для лечения АГ в РФ, как в монотерапии, так и в комбинации. При этом отклонение от стандартных схем терапии требует соответствующего объяснения в истории болезни.</w:t>
      </w:r>
    </w:p>
    <w:p>
      <w:pPr>
        <w:spacing w:line="256" w:lineRule="auto" w:before="277"/>
        <w:ind w:left="695" w:right="133" w:firstLine="0"/>
        <w:jc w:val="both"/>
        <w:rPr>
          <w:i/>
          <w:sz w:val="27"/>
        </w:rPr>
      </w:pPr>
      <w:r>
        <w:rPr>
          <w:i/>
          <w:sz w:val="27"/>
        </w:rPr>
        <w:t>К запрещенным комбинациям относится комбинация двух </w:t>
      </w:r>
      <w:r>
        <w:rPr>
          <w:i/>
          <w:sz w:val="27"/>
        </w:rPr>
        <w:t>блокаторов РААС.</w:t>
      </w:r>
    </w:p>
    <w:p>
      <w:pPr>
        <w:spacing w:line="256" w:lineRule="auto" w:before="270"/>
        <w:ind w:left="695" w:right="131" w:firstLine="0"/>
        <w:jc w:val="both"/>
        <w:rPr>
          <w:i/>
          <w:sz w:val="27"/>
        </w:rPr>
      </w:pPr>
      <w:r>
        <w:rPr>
          <w:i/>
          <w:w w:val="105"/>
          <w:sz w:val="27"/>
        </w:rPr>
        <w:t>Фиксированные комбинации повышают приверженность к </w:t>
      </w:r>
      <w:r>
        <w:rPr>
          <w:i/>
          <w:w w:val="105"/>
          <w:sz w:val="27"/>
        </w:rPr>
        <w:t>лечению. Однако такие лекарственные формы не входят в формуляры многих учреждений и в списки жизненно важных лекарственных препаратов, что делает сложным их назначение пациентам в стационаре и льготным категориям пациентов, поэтому если у пациента достигнут целевой уровень АД в пределах установленных значений и наблюдается хорошая приверженность к лечению, то нет необходимости его перевода со свободной на фиксированные комбинации. Свободные комбинации могут быть использованы также по организационным соображениям, в частности с целью обеспечения доступности препаратов для пациента.</w:t>
      </w:r>
    </w:p>
    <w:p>
      <w:pPr>
        <w:spacing w:line="256" w:lineRule="auto" w:before="275"/>
        <w:ind w:left="695" w:right="130" w:firstLine="0"/>
        <w:jc w:val="both"/>
        <w:rPr>
          <w:i/>
          <w:sz w:val="27"/>
        </w:rPr>
      </w:pPr>
      <w:r>
        <w:rPr>
          <w:i/>
          <w:w w:val="105"/>
          <w:sz w:val="27"/>
        </w:rPr>
        <w:t>Шаги АГТ предполагают возможность или использования более </w:t>
      </w:r>
      <w:r>
        <w:rPr>
          <w:i/>
          <w:w w:val="105"/>
          <w:sz w:val="27"/>
        </w:rPr>
        <w:t>высоких дозировок в комбинации, или сразу переход на 3- компонентную схему лечения. Оба подхода допустимы на этапе 2-компонентной схемы, но они должны обеспечить достижение целевого АД в течение 3 месяцев с шагом титрации дозы приблизительно 4 недели.</w:t>
      </w:r>
    </w:p>
    <w:p>
      <w:pPr>
        <w:spacing w:line="256" w:lineRule="auto" w:before="273"/>
        <w:ind w:left="695" w:right="133" w:firstLine="0"/>
        <w:jc w:val="both"/>
        <w:rPr>
          <w:i/>
          <w:sz w:val="27"/>
        </w:rPr>
      </w:pPr>
      <w:r>
        <w:rPr>
          <w:i/>
          <w:w w:val="105"/>
          <w:sz w:val="27"/>
        </w:rPr>
        <w:t>Следует подчеркнуть, что в реальной практике на 1 шаге </w:t>
      </w:r>
      <w:r>
        <w:rPr>
          <w:i/>
          <w:w w:val="105"/>
          <w:sz w:val="27"/>
        </w:rPr>
        <w:t>терапии необходимо назначать препараты в оптимальных терапевтических дозах, которые могут обеспечить достижение целевого АД в указанные сроки. В этом случае при недостижении целевого АД рациональным будет переход на следующий шаг. До</w:t>
      </w:r>
    </w:p>
    <w:p>
      <w:pPr>
        <w:spacing w:after="0" w:line="256" w:lineRule="auto"/>
        <w:jc w:val="both"/>
        <w:rPr>
          <w:sz w:val="27"/>
        </w:rPr>
        <w:sectPr>
          <w:pgSz w:w="11900" w:h="16840"/>
          <w:pgMar w:top="0" w:bottom="0" w:left="1420" w:right="1520"/>
        </w:sectPr>
      </w:pPr>
    </w:p>
    <w:p>
      <w:pPr>
        <w:spacing w:line="256" w:lineRule="auto" w:before="16"/>
        <w:ind w:left="695" w:right="135" w:firstLine="0"/>
        <w:jc w:val="both"/>
        <w:rPr>
          <w:i/>
          <w:sz w:val="27"/>
        </w:rPr>
      </w:pPr>
      <w:r>
        <w:rPr>
          <w:i/>
          <w:w w:val="105"/>
          <w:sz w:val="27"/>
        </w:rPr>
        <w:t>перехода на 4-компонентную схему необходимо использование </w:t>
      </w:r>
      <w:r>
        <w:rPr>
          <w:i/>
          <w:w w:val="105"/>
          <w:sz w:val="27"/>
        </w:rPr>
        <w:t>трех препаратов в максимальных дозах при хорошей переносимости.</w:t>
      </w:r>
    </w:p>
    <w:p>
      <w:pPr>
        <w:spacing w:line="256" w:lineRule="auto" w:before="272"/>
        <w:ind w:left="695" w:right="128" w:firstLine="0"/>
        <w:jc w:val="both"/>
        <w:rPr>
          <w:i/>
          <w:sz w:val="27"/>
        </w:rPr>
      </w:pPr>
      <w:r>
        <w:rPr>
          <w:i/>
          <w:w w:val="105"/>
          <w:sz w:val="27"/>
        </w:rPr>
        <w:t>У 15–20% пациентов контроль АД может быть не достигнут </w:t>
      </w:r>
      <w:r>
        <w:rPr>
          <w:i/>
          <w:w w:val="105"/>
          <w:sz w:val="27"/>
        </w:rPr>
        <w:t>при использовании 3 препаратов. В этом случае используется комбинация</w:t>
      </w:r>
      <w:r>
        <w:rPr>
          <w:i/>
          <w:spacing w:val="-9"/>
          <w:w w:val="105"/>
          <w:sz w:val="27"/>
        </w:rPr>
        <w:t> </w:t>
      </w:r>
      <w:r>
        <w:rPr>
          <w:i/>
          <w:w w:val="105"/>
          <w:sz w:val="27"/>
        </w:rPr>
        <w:t>из</w:t>
      </w:r>
      <w:r>
        <w:rPr>
          <w:i/>
          <w:spacing w:val="-8"/>
          <w:w w:val="105"/>
          <w:sz w:val="27"/>
        </w:rPr>
        <w:t> </w:t>
      </w:r>
      <w:r>
        <w:rPr>
          <w:i/>
          <w:w w:val="105"/>
          <w:sz w:val="27"/>
        </w:rPr>
        <w:t>4</w:t>
      </w:r>
      <w:r>
        <w:rPr>
          <w:i/>
          <w:spacing w:val="-9"/>
          <w:w w:val="105"/>
          <w:sz w:val="27"/>
        </w:rPr>
        <w:t> </w:t>
      </w:r>
      <w:r>
        <w:rPr>
          <w:i/>
          <w:w w:val="105"/>
          <w:sz w:val="27"/>
        </w:rPr>
        <w:t>и</w:t>
      </w:r>
      <w:r>
        <w:rPr>
          <w:i/>
          <w:spacing w:val="-8"/>
          <w:w w:val="105"/>
          <w:sz w:val="27"/>
        </w:rPr>
        <w:t> </w:t>
      </w:r>
      <w:r>
        <w:rPr>
          <w:i/>
          <w:w w:val="105"/>
          <w:sz w:val="27"/>
        </w:rPr>
        <w:t>более</w:t>
      </w:r>
      <w:r>
        <w:rPr>
          <w:i/>
          <w:spacing w:val="-9"/>
          <w:w w:val="105"/>
          <w:sz w:val="27"/>
        </w:rPr>
        <w:t> </w:t>
      </w:r>
      <w:r>
        <w:rPr>
          <w:i/>
          <w:w w:val="105"/>
          <w:sz w:val="27"/>
        </w:rPr>
        <w:t>АГП.</w:t>
      </w:r>
      <w:r>
        <w:rPr>
          <w:i/>
          <w:spacing w:val="-8"/>
          <w:w w:val="105"/>
          <w:sz w:val="27"/>
        </w:rPr>
        <w:t> </w:t>
      </w:r>
      <w:r>
        <w:rPr>
          <w:i/>
          <w:w w:val="105"/>
          <w:sz w:val="27"/>
        </w:rPr>
        <w:t>Однако</w:t>
      </w:r>
      <w:r>
        <w:rPr>
          <w:i/>
          <w:spacing w:val="-9"/>
          <w:w w:val="105"/>
          <w:sz w:val="27"/>
        </w:rPr>
        <w:t> </w:t>
      </w:r>
      <w:r>
        <w:rPr>
          <w:i/>
          <w:w w:val="105"/>
          <w:sz w:val="27"/>
        </w:rPr>
        <w:t>в</w:t>
      </w:r>
      <w:r>
        <w:rPr>
          <w:i/>
          <w:spacing w:val="-8"/>
          <w:w w:val="105"/>
          <w:sz w:val="27"/>
        </w:rPr>
        <w:t> </w:t>
      </w:r>
      <w:r>
        <w:rPr>
          <w:i/>
          <w:w w:val="105"/>
          <w:sz w:val="27"/>
        </w:rPr>
        <w:t>случаях</w:t>
      </w:r>
      <w:r>
        <w:rPr>
          <w:i/>
          <w:spacing w:val="-8"/>
          <w:w w:val="105"/>
          <w:sz w:val="27"/>
        </w:rPr>
        <w:t> </w:t>
      </w:r>
      <w:r>
        <w:rPr>
          <w:i/>
          <w:w w:val="105"/>
          <w:sz w:val="27"/>
        </w:rPr>
        <w:t>резистентной</w:t>
      </w:r>
      <w:r>
        <w:rPr>
          <w:i/>
          <w:spacing w:val="-9"/>
          <w:w w:val="105"/>
          <w:sz w:val="27"/>
        </w:rPr>
        <w:t> </w:t>
      </w:r>
      <w:r>
        <w:rPr>
          <w:i/>
          <w:w w:val="105"/>
          <w:sz w:val="27"/>
        </w:rPr>
        <w:t>АГ при добавлении каждого нового препарата необходимо контролировать их эффективность, и неэффективные АГП следует отменять, а не сохранять в рамках постепенного усиления многокомпонентной</w:t>
      </w:r>
      <w:r>
        <w:rPr>
          <w:i/>
          <w:spacing w:val="-17"/>
          <w:w w:val="105"/>
          <w:sz w:val="27"/>
        </w:rPr>
        <w:t> </w:t>
      </w:r>
      <w:r>
        <w:rPr>
          <w:i/>
          <w:w w:val="105"/>
          <w:sz w:val="27"/>
        </w:rPr>
        <w:t>АГТ.</w:t>
      </w:r>
    </w:p>
    <w:p>
      <w:pPr>
        <w:spacing w:line="256" w:lineRule="auto" w:before="273"/>
        <w:ind w:left="695" w:right="140" w:firstLine="0"/>
        <w:jc w:val="both"/>
        <w:rPr>
          <w:i/>
          <w:sz w:val="27"/>
        </w:rPr>
      </w:pPr>
      <w:r>
        <w:rPr>
          <w:i/>
          <w:w w:val="105"/>
          <w:sz w:val="27"/>
        </w:rPr>
        <w:t>К рекомендуемым комбинациям трех антигипертензивных </w:t>
      </w:r>
      <w:r>
        <w:rPr>
          <w:i/>
          <w:w w:val="105"/>
          <w:sz w:val="27"/>
        </w:rPr>
        <w:t>препаратов относятся: ИАПФ + АК + диуретик; БРА + АК + диуретик.</w:t>
      </w:r>
    </w:p>
    <w:p>
      <w:pPr>
        <w:spacing w:line="256" w:lineRule="auto" w:before="271"/>
        <w:ind w:left="695" w:right="133" w:firstLine="0"/>
        <w:jc w:val="both"/>
        <w:rPr>
          <w:i/>
          <w:sz w:val="27"/>
        </w:rPr>
      </w:pPr>
      <w:r>
        <w:rPr>
          <w:i/>
          <w:w w:val="105"/>
          <w:sz w:val="27"/>
        </w:rPr>
        <w:t>По показаниям, при наличии особых условий можно</w:t>
      </w:r>
      <w:r>
        <w:rPr>
          <w:i/>
          <w:spacing w:val="-49"/>
          <w:w w:val="105"/>
          <w:sz w:val="27"/>
        </w:rPr>
        <w:t> </w:t>
      </w:r>
      <w:r>
        <w:rPr>
          <w:i/>
          <w:w w:val="105"/>
          <w:sz w:val="27"/>
        </w:rPr>
        <w:t>использовать </w:t>
      </w:r>
      <w:r>
        <w:rPr>
          <w:i/>
          <w:w w:val="105"/>
          <w:sz w:val="27"/>
        </w:rPr>
        <w:t>и</w:t>
      </w:r>
      <w:r>
        <w:rPr>
          <w:i/>
          <w:spacing w:val="-20"/>
          <w:w w:val="105"/>
          <w:sz w:val="27"/>
        </w:rPr>
        <w:t> </w:t>
      </w:r>
      <w:r>
        <w:rPr>
          <w:i/>
          <w:w w:val="105"/>
          <w:sz w:val="27"/>
        </w:rPr>
        <w:t>другие</w:t>
      </w:r>
      <w:r>
        <w:rPr>
          <w:i/>
          <w:spacing w:val="-20"/>
          <w:w w:val="105"/>
          <w:sz w:val="27"/>
        </w:rPr>
        <w:t> </w:t>
      </w:r>
      <w:r>
        <w:rPr>
          <w:i/>
          <w:w w:val="105"/>
          <w:sz w:val="27"/>
        </w:rPr>
        <w:t>комбинации:</w:t>
      </w:r>
      <w:r>
        <w:rPr>
          <w:i/>
          <w:spacing w:val="-20"/>
          <w:w w:val="105"/>
          <w:sz w:val="27"/>
        </w:rPr>
        <w:t> </w:t>
      </w:r>
      <w:r>
        <w:rPr>
          <w:i/>
          <w:w w:val="105"/>
          <w:sz w:val="27"/>
        </w:rPr>
        <w:t>ИАПФ</w:t>
      </w:r>
      <w:r>
        <w:rPr>
          <w:i/>
          <w:spacing w:val="-20"/>
          <w:w w:val="105"/>
          <w:sz w:val="27"/>
        </w:rPr>
        <w:t> </w:t>
      </w:r>
      <w:r>
        <w:rPr>
          <w:i/>
          <w:w w:val="105"/>
          <w:sz w:val="27"/>
        </w:rPr>
        <w:t>+</w:t>
      </w:r>
      <w:r>
        <w:rPr>
          <w:i/>
          <w:spacing w:val="-20"/>
          <w:w w:val="105"/>
          <w:sz w:val="27"/>
        </w:rPr>
        <w:t> </w:t>
      </w:r>
      <w:r>
        <w:rPr>
          <w:i/>
          <w:w w:val="105"/>
          <w:sz w:val="27"/>
        </w:rPr>
        <w:t>дигидропиридиновый</w:t>
      </w:r>
      <w:r>
        <w:rPr>
          <w:i/>
          <w:spacing w:val="-20"/>
          <w:w w:val="105"/>
          <w:sz w:val="27"/>
        </w:rPr>
        <w:t> </w:t>
      </w:r>
      <w:r>
        <w:rPr>
          <w:i/>
          <w:w w:val="105"/>
          <w:sz w:val="27"/>
        </w:rPr>
        <w:t>АК</w:t>
      </w:r>
      <w:r>
        <w:rPr>
          <w:i/>
          <w:spacing w:val="-20"/>
          <w:w w:val="105"/>
          <w:sz w:val="27"/>
        </w:rPr>
        <w:t> </w:t>
      </w:r>
      <w:r>
        <w:rPr>
          <w:i/>
          <w:w w:val="105"/>
          <w:sz w:val="27"/>
        </w:rPr>
        <w:t>+</w:t>
      </w:r>
      <w:r>
        <w:rPr>
          <w:i/>
          <w:spacing w:val="-19"/>
          <w:w w:val="105"/>
          <w:sz w:val="27"/>
        </w:rPr>
        <w:t> </w:t>
      </w:r>
      <w:r>
        <w:rPr>
          <w:i/>
          <w:w w:val="105"/>
          <w:sz w:val="27"/>
        </w:rPr>
        <w:t>ББ;</w:t>
      </w:r>
      <w:r>
        <w:rPr>
          <w:i/>
          <w:spacing w:val="-20"/>
          <w:w w:val="105"/>
          <w:sz w:val="27"/>
        </w:rPr>
        <w:t> </w:t>
      </w:r>
      <w:r>
        <w:rPr>
          <w:i/>
          <w:spacing w:val="-11"/>
          <w:w w:val="105"/>
          <w:sz w:val="27"/>
        </w:rPr>
        <w:t>БРА</w:t>
      </w:r>
    </w:p>
    <w:p>
      <w:pPr>
        <w:spacing w:line="256" w:lineRule="auto" w:before="1"/>
        <w:ind w:left="695" w:right="131" w:firstLine="0"/>
        <w:jc w:val="both"/>
        <w:rPr>
          <w:i/>
          <w:sz w:val="27"/>
        </w:rPr>
      </w:pPr>
      <w:r>
        <w:rPr>
          <w:i/>
          <w:w w:val="105"/>
          <w:sz w:val="27"/>
        </w:rPr>
        <w:t>+ дигидропиридиновый АК + ББ; ИАПФ + диуретик + ББ; БРА + </w:t>
      </w:r>
      <w:r>
        <w:rPr>
          <w:i/>
          <w:w w:val="105"/>
          <w:sz w:val="27"/>
        </w:rPr>
        <w:t>диуретик + ББ; дигидропиридиновый АК + диуретик + ББ.</w:t>
      </w:r>
    </w:p>
    <w:p>
      <w:pPr>
        <w:spacing w:line="256" w:lineRule="auto" w:before="271"/>
        <w:ind w:left="695" w:right="129" w:firstLine="0"/>
        <w:jc w:val="both"/>
        <w:rPr>
          <w:i/>
          <w:sz w:val="27"/>
        </w:rPr>
      </w:pPr>
      <w:r>
        <w:rPr>
          <w:i/>
          <w:w w:val="105"/>
          <w:sz w:val="27"/>
        </w:rPr>
        <w:t>Целевые</w:t>
      </w:r>
      <w:r>
        <w:rPr>
          <w:i/>
          <w:spacing w:val="-17"/>
          <w:w w:val="105"/>
          <w:sz w:val="27"/>
        </w:rPr>
        <w:t> </w:t>
      </w:r>
      <w:r>
        <w:rPr>
          <w:i/>
          <w:w w:val="105"/>
          <w:sz w:val="27"/>
        </w:rPr>
        <w:t>уровни</w:t>
      </w:r>
      <w:r>
        <w:rPr>
          <w:i/>
          <w:spacing w:val="-17"/>
          <w:w w:val="105"/>
          <w:sz w:val="27"/>
        </w:rPr>
        <w:t> </w:t>
      </w:r>
      <w:r>
        <w:rPr>
          <w:i/>
          <w:w w:val="105"/>
          <w:sz w:val="27"/>
        </w:rPr>
        <w:t>АД</w:t>
      </w:r>
      <w:r>
        <w:rPr>
          <w:i/>
          <w:spacing w:val="-16"/>
          <w:w w:val="105"/>
          <w:sz w:val="27"/>
        </w:rPr>
        <w:t> </w:t>
      </w:r>
      <w:r>
        <w:rPr>
          <w:i/>
          <w:w w:val="105"/>
          <w:sz w:val="27"/>
        </w:rPr>
        <w:t>являются</w:t>
      </w:r>
      <w:r>
        <w:rPr>
          <w:i/>
          <w:spacing w:val="-17"/>
          <w:w w:val="105"/>
          <w:sz w:val="27"/>
        </w:rPr>
        <w:t> </w:t>
      </w:r>
      <w:r>
        <w:rPr>
          <w:i/>
          <w:w w:val="105"/>
          <w:sz w:val="27"/>
        </w:rPr>
        <w:t>рекомендованными</w:t>
      </w:r>
      <w:r>
        <w:rPr>
          <w:i/>
          <w:spacing w:val="-16"/>
          <w:w w:val="105"/>
          <w:sz w:val="27"/>
        </w:rPr>
        <w:t> </w:t>
      </w:r>
      <w:r>
        <w:rPr>
          <w:i/>
          <w:w w:val="105"/>
          <w:sz w:val="27"/>
        </w:rPr>
        <w:t>для</w:t>
      </w:r>
      <w:r>
        <w:rPr>
          <w:i/>
          <w:spacing w:val="-17"/>
          <w:w w:val="105"/>
          <w:sz w:val="27"/>
        </w:rPr>
        <w:t> </w:t>
      </w:r>
      <w:r>
        <w:rPr>
          <w:i/>
          <w:w w:val="105"/>
          <w:sz w:val="27"/>
        </w:rPr>
        <w:t>достижения </w:t>
      </w:r>
      <w:r>
        <w:rPr>
          <w:i/>
          <w:w w:val="105"/>
          <w:sz w:val="27"/>
        </w:rPr>
        <w:t>в каждой подгруппе пациентов, но важнейшим принципом их достижения является соблюдение безопасности и сохранения качества жизни пациента. Поэтому скорость достижения целевых значений и степень снижения АД может быть скорректирована у конкретного пациента в зависимости от конкретной клинической ситуации. При этом плохая переносимость снижения АД может быть основанием для более медленной титрации доз и числа назначаемых препаратов,  равно как и при хорошей переносимости АД, может быть снижено до более низких значений, чем рекомендовано в среднем. Недостижение целевого АД в указанные сроки не является ошибочным, если это продиктовано клинической необходимостью. Если врач считает, что препятствием к достижению целевого АД является плохая приверженность пациента, это должно находить отражение в медицинской документации и должны быть предприняты и зафиксированы меры по повышению приверженности. В этих случаях недостижение целевого уровня не должно считаться дефектом оказания</w:t>
      </w:r>
      <w:r>
        <w:rPr>
          <w:i/>
          <w:spacing w:val="-6"/>
          <w:w w:val="105"/>
          <w:sz w:val="27"/>
        </w:rPr>
        <w:t> </w:t>
      </w:r>
      <w:r>
        <w:rPr>
          <w:i/>
          <w:w w:val="105"/>
          <w:sz w:val="27"/>
        </w:rPr>
        <w:t>помощи.</w:t>
      </w:r>
    </w:p>
    <w:p>
      <w:pPr>
        <w:pStyle w:val="BodyText"/>
        <w:spacing w:line="256" w:lineRule="auto" w:before="278"/>
        <w:ind w:left="695" w:right="132"/>
      </w:pPr>
      <w:r>
        <w:rPr/>
        <w:pict>
          <v:shape style="position:absolute;margin-left:91.538452pt;margin-top:21.319473pt;width:4.55pt;height:4.5pt;mso-position-horizontal-relative:page;mso-position-vertical-relative:paragraph;z-index:15793152" coordorigin="1831,426" coordsize="91,90" path="m1888,516l1863,516,1853,512,1835,494,1831,484,1831,459,1835,448,1853,431,1863,426,1888,426,1899,431,1916,448,1921,459,1921,471,1921,484,1916,494,1899,512,1888,516xe" filled="true" fillcolor="#000000" stroked="false">
            <v:path arrowok="t"/>
            <v:fill type="solid"/>
            <w10:wrap type="none"/>
          </v:shape>
        </w:pict>
      </w:r>
      <w:r>
        <w:rPr/>
        <w:t>Пациентам, не достигшим целевого АД на фоне двойной комбинированной терапии, рекомендуется тройная</w:t>
      </w:r>
    </w:p>
    <w:p>
      <w:pPr>
        <w:spacing w:after="0" w:line="256" w:lineRule="auto"/>
        <w:sectPr>
          <w:pgSz w:w="11900" w:h="16840"/>
          <w:pgMar w:top="0" w:bottom="0" w:left="1420" w:right="1520"/>
        </w:sectPr>
      </w:pPr>
    </w:p>
    <w:p>
      <w:pPr>
        <w:pStyle w:val="BodyText"/>
        <w:spacing w:line="256" w:lineRule="auto" w:before="16"/>
        <w:ind w:left="695" w:right="135"/>
      </w:pPr>
      <w:r>
        <w:rPr/>
        <w:t>комбинация, как правило, блокатора </w:t>
      </w:r>
      <w:r>
        <w:rPr>
          <w:spacing w:val="-9"/>
        </w:rPr>
        <w:t>РААС </w:t>
      </w:r>
      <w:r>
        <w:rPr/>
        <w:t>с АК и тиазидовым/ тиазидоподобным диуретиком, предпочтительно в форме фиксированной комбинации [135, 136].</w:t>
      </w:r>
    </w:p>
    <w:p>
      <w:pPr>
        <w:pStyle w:val="Heading3"/>
        <w:spacing w:before="272"/>
      </w:pPr>
      <w:r>
        <w:rPr>
          <w:w w:val="105"/>
        </w:rPr>
        <w:t>ЕОК/ЕОАГ IА (УУР В, УДД 1)</w:t>
      </w:r>
    </w:p>
    <w:p>
      <w:pPr>
        <w:pStyle w:val="BodyText"/>
        <w:spacing w:line="256" w:lineRule="auto" w:before="296"/>
        <w:ind w:left="695" w:right="133"/>
      </w:pPr>
      <w:r>
        <w:rPr/>
        <w:pict>
          <v:shape style="position:absolute;margin-left:91.538452pt;margin-top:22.219448pt;width:4.55pt;height:4.5pt;mso-position-horizontal-relative:page;mso-position-vertical-relative:paragraph;z-index:15793664"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не достигшим целевого АД на фоне тройной комбинированной терапии, рекомендуется добавление спиронолактона (подробнее в разделе 3.6.11.) [106, 137, 138,</w:t>
      </w:r>
    </w:p>
    <w:p>
      <w:pPr>
        <w:pStyle w:val="BodyText"/>
        <w:ind w:left="695"/>
        <w:jc w:val="left"/>
      </w:pPr>
      <w:r>
        <w:rPr>
          <w:w w:val="105"/>
        </w:rPr>
        <w:t>169].</w:t>
      </w:r>
    </w:p>
    <w:p>
      <w:pPr>
        <w:pStyle w:val="Heading3"/>
        <w:spacing w:before="296"/>
      </w:pPr>
      <w:r>
        <w:rPr>
          <w:w w:val="105"/>
        </w:rPr>
        <w:t>ЕОК/ЕОАГ</w:t>
      </w:r>
      <w:r>
        <w:rPr>
          <w:spacing w:val="-46"/>
          <w:w w:val="105"/>
        </w:rPr>
        <w:t> </w:t>
      </w:r>
      <w:r>
        <w:rPr>
          <w:w w:val="105"/>
        </w:rPr>
        <w:t>IB</w:t>
      </w:r>
      <w:r>
        <w:rPr>
          <w:spacing w:val="-45"/>
          <w:w w:val="105"/>
        </w:rPr>
        <w:t> </w:t>
      </w:r>
      <w:r>
        <w:rPr>
          <w:w w:val="105"/>
        </w:rPr>
        <w:t>(УУР</w:t>
      </w:r>
      <w:r>
        <w:rPr>
          <w:spacing w:val="-45"/>
          <w:w w:val="105"/>
        </w:rPr>
        <w:t> </w:t>
      </w:r>
      <w:r>
        <w:rPr>
          <w:w w:val="105"/>
        </w:rPr>
        <w:t>А,</w:t>
      </w:r>
      <w:r>
        <w:rPr>
          <w:spacing w:val="-45"/>
          <w:w w:val="105"/>
        </w:rPr>
        <w:t> </w:t>
      </w:r>
      <w:r>
        <w:rPr>
          <w:spacing w:val="-3"/>
          <w:w w:val="105"/>
        </w:rPr>
        <w:t>УДД</w:t>
      </w:r>
      <w:r>
        <w:rPr>
          <w:spacing w:val="-45"/>
          <w:w w:val="105"/>
        </w:rPr>
        <w:t> </w:t>
      </w:r>
      <w:r>
        <w:rPr>
          <w:w w:val="105"/>
        </w:rPr>
        <w:t>1)</w:t>
      </w:r>
    </w:p>
    <w:p>
      <w:pPr>
        <w:spacing w:line="256" w:lineRule="auto" w:before="296"/>
        <w:ind w:left="695" w:right="129" w:firstLine="0"/>
        <w:jc w:val="both"/>
        <w:rPr>
          <w:i/>
          <w:sz w:val="27"/>
        </w:rPr>
      </w:pPr>
      <w:r>
        <w:rPr>
          <w:b/>
          <w:w w:val="110"/>
          <w:sz w:val="27"/>
        </w:rPr>
        <w:t>Комментарии. </w:t>
      </w:r>
      <w:r>
        <w:rPr>
          <w:i/>
          <w:w w:val="110"/>
          <w:sz w:val="27"/>
        </w:rPr>
        <w:t>При непереносимости спиронолактона </w:t>
      </w:r>
      <w:r>
        <w:rPr>
          <w:i/>
          <w:w w:val="110"/>
          <w:sz w:val="27"/>
        </w:rPr>
        <w:t>рекомендуется назначение других диуретиков (эплеренона, хлорталидона, петлевых диуретиков, в т.ч в более высоких дозах),</w:t>
      </w:r>
      <w:r>
        <w:rPr>
          <w:i/>
          <w:spacing w:val="74"/>
          <w:w w:val="110"/>
          <w:sz w:val="27"/>
        </w:rPr>
        <w:t> </w:t>
      </w:r>
      <w:r>
        <w:rPr>
          <w:i/>
          <w:w w:val="110"/>
          <w:sz w:val="27"/>
        </w:rPr>
        <w:t>ББ,  альфа-адреноблокаторов  или  препаратов центрального действия.</w:t>
      </w:r>
      <w:r>
        <w:rPr>
          <w:i/>
          <w:spacing w:val="-23"/>
          <w:w w:val="110"/>
          <w:sz w:val="27"/>
        </w:rPr>
        <w:t> </w:t>
      </w:r>
      <w:r>
        <w:rPr>
          <w:i/>
          <w:w w:val="110"/>
          <w:sz w:val="27"/>
        </w:rPr>
        <w:t>[139].</w:t>
      </w:r>
    </w:p>
    <w:p>
      <w:pPr>
        <w:pStyle w:val="BodyText"/>
        <w:spacing w:line="256" w:lineRule="auto" w:before="272"/>
        <w:ind w:left="695" w:right="128"/>
      </w:pPr>
      <w:r>
        <w:rPr/>
        <w:pict>
          <v:shape style="position:absolute;margin-left:91.538452pt;margin-top:21.019468pt;width:4.55pt;height:4.5pt;mso-position-horizontal-relative:page;mso-position-vertical-relative:paragraph;z-index:15794176"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АГ не рекомендуется назначение комбинации двух блокаторов </w:t>
      </w:r>
      <w:r>
        <w:rPr>
          <w:spacing w:val="-9"/>
        </w:rPr>
        <w:t>РААС </w:t>
      </w:r>
      <w:r>
        <w:rPr/>
        <w:t>вследствие повышенного риска развития гиперкалиемии, гипотензии и ухудшения функции почек [21, 139, 145,</w:t>
      </w:r>
      <w:r>
        <w:rPr>
          <w:spacing w:val="-3"/>
        </w:rPr>
        <w:t> </w:t>
      </w:r>
      <w:r>
        <w:rPr/>
        <w:t>146].</w:t>
      </w:r>
    </w:p>
    <w:p>
      <w:pPr>
        <w:pStyle w:val="Heading3"/>
        <w:spacing w:before="272"/>
      </w:pPr>
      <w:r>
        <w:rPr>
          <w:w w:val="105"/>
        </w:rPr>
        <w:t>ЕОК/ЕОАГ IIIА (УУР A, УДД 1)</w:t>
      </w:r>
    </w:p>
    <w:p>
      <w:pPr>
        <w:pStyle w:val="ListParagraph"/>
        <w:numPr>
          <w:ilvl w:val="2"/>
          <w:numId w:val="2"/>
        </w:numPr>
        <w:tabs>
          <w:tab w:pos="1707" w:val="left" w:leader="none"/>
          <w:tab w:pos="1708" w:val="left" w:leader="none"/>
          <w:tab w:pos="3479" w:val="left" w:leader="none"/>
          <w:tab w:pos="4827" w:val="left" w:leader="none"/>
          <w:tab w:pos="6812" w:val="left" w:leader="none"/>
          <w:tab w:pos="7692" w:val="left" w:leader="none"/>
        </w:tabs>
        <w:spacing w:line="256" w:lineRule="auto" w:before="296" w:after="0"/>
        <w:ind w:left="695" w:right="141" w:firstLine="0"/>
        <w:jc w:val="left"/>
        <w:rPr>
          <w:b/>
          <w:sz w:val="27"/>
        </w:rPr>
      </w:pPr>
      <w:r>
        <w:rPr>
          <w:b/>
          <w:sz w:val="27"/>
        </w:rPr>
        <w:t>Основные</w:t>
        <w:tab/>
        <w:t>классы</w:t>
        <w:tab/>
        <w:t>препаратов</w:t>
        <w:tab/>
        <w:t>для</w:t>
        <w:tab/>
      </w:r>
      <w:r>
        <w:rPr>
          <w:b/>
          <w:spacing w:val="-4"/>
          <w:sz w:val="27"/>
        </w:rPr>
        <w:t>лечения </w:t>
      </w:r>
      <w:r>
        <w:rPr>
          <w:b/>
          <w:sz w:val="27"/>
        </w:rPr>
        <w:t>артериальной</w:t>
      </w:r>
      <w:r>
        <w:rPr>
          <w:b/>
          <w:spacing w:val="4"/>
          <w:sz w:val="27"/>
        </w:rPr>
        <w:t> </w:t>
      </w:r>
      <w:r>
        <w:rPr>
          <w:b/>
          <w:sz w:val="27"/>
        </w:rPr>
        <w:t>гипертензии</w:t>
      </w:r>
    </w:p>
    <w:p>
      <w:pPr>
        <w:pStyle w:val="Heading4"/>
        <w:spacing w:line="256" w:lineRule="auto"/>
        <w:ind w:right="130"/>
      </w:pPr>
      <w:r>
        <w:rPr>
          <w:i/>
          <w:w w:val="105"/>
        </w:rPr>
        <w:t>Ингибиторы ангиотензинпревращающего фермента и </w:t>
      </w:r>
      <w:r>
        <w:rPr>
          <w:w w:val="105"/>
        </w:rPr>
        <w:t>антагонисты рецепторов ангиотензина II</w:t>
      </w:r>
    </w:p>
    <w:p>
      <w:pPr>
        <w:pStyle w:val="BodyText"/>
        <w:spacing w:line="256" w:lineRule="auto" w:before="271"/>
        <w:ind w:left="695" w:right="128"/>
      </w:pPr>
      <w:r>
        <w:rPr>
          <w:w w:val="105"/>
        </w:rPr>
        <w:t>ИАПФ и </w:t>
      </w:r>
      <w:r>
        <w:rPr>
          <w:spacing w:val="-7"/>
          <w:w w:val="105"/>
        </w:rPr>
        <w:t>БРА </w:t>
      </w:r>
      <w:r>
        <w:rPr>
          <w:w w:val="105"/>
        </w:rPr>
        <w:t>— среди наиболее часто используемых классов антигипертензивных препаратов, обладающие </w:t>
      </w:r>
      <w:r>
        <w:rPr>
          <w:spacing w:val="-3"/>
          <w:w w:val="105"/>
        </w:rPr>
        <w:t>сходной </w:t>
      </w:r>
      <w:r>
        <w:rPr>
          <w:w w:val="105"/>
        </w:rPr>
        <w:t>эффективностью в отношении сердечно-сосудистых осложнений</w:t>
      </w:r>
      <w:r>
        <w:rPr>
          <w:spacing w:val="-32"/>
          <w:w w:val="105"/>
        </w:rPr>
        <w:t> </w:t>
      </w:r>
      <w:r>
        <w:rPr>
          <w:w w:val="105"/>
        </w:rPr>
        <w:t>и</w:t>
      </w:r>
      <w:r>
        <w:rPr>
          <w:spacing w:val="-31"/>
          <w:w w:val="105"/>
        </w:rPr>
        <w:t> </w:t>
      </w:r>
      <w:r>
        <w:rPr>
          <w:w w:val="105"/>
        </w:rPr>
        <w:t>смертности</w:t>
      </w:r>
      <w:r>
        <w:rPr>
          <w:spacing w:val="-31"/>
          <w:w w:val="105"/>
        </w:rPr>
        <w:t> </w:t>
      </w:r>
      <w:r>
        <w:rPr>
          <w:w w:val="105"/>
        </w:rPr>
        <w:t>по</w:t>
      </w:r>
      <w:r>
        <w:rPr>
          <w:spacing w:val="-31"/>
          <w:w w:val="105"/>
        </w:rPr>
        <w:t> </w:t>
      </w:r>
      <w:r>
        <w:rPr>
          <w:w w:val="105"/>
        </w:rPr>
        <w:t>сравнению</w:t>
      </w:r>
      <w:r>
        <w:rPr>
          <w:spacing w:val="-31"/>
          <w:w w:val="105"/>
        </w:rPr>
        <w:t> </w:t>
      </w:r>
      <w:r>
        <w:rPr>
          <w:w w:val="105"/>
        </w:rPr>
        <w:t>как</w:t>
      </w:r>
      <w:r>
        <w:rPr>
          <w:spacing w:val="-31"/>
          <w:w w:val="105"/>
        </w:rPr>
        <w:t> </w:t>
      </w:r>
      <w:r>
        <w:rPr>
          <w:w w:val="105"/>
        </w:rPr>
        <w:t>друг</w:t>
      </w:r>
      <w:r>
        <w:rPr>
          <w:spacing w:val="-32"/>
          <w:w w:val="105"/>
        </w:rPr>
        <w:t> </w:t>
      </w:r>
      <w:r>
        <w:rPr>
          <w:w w:val="105"/>
        </w:rPr>
        <w:t>с</w:t>
      </w:r>
      <w:r>
        <w:rPr>
          <w:spacing w:val="-31"/>
          <w:w w:val="105"/>
        </w:rPr>
        <w:t> </w:t>
      </w:r>
      <w:r>
        <w:rPr>
          <w:w w:val="105"/>
        </w:rPr>
        <w:t>другом,</w:t>
      </w:r>
      <w:r>
        <w:rPr>
          <w:spacing w:val="-31"/>
          <w:w w:val="105"/>
        </w:rPr>
        <w:t> </w:t>
      </w:r>
      <w:r>
        <w:rPr>
          <w:w w:val="105"/>
        </w:rPr>
        <w:t>так и с другими классами АГТ [59, 140–142]. </w:t>
      </w:r>
      <w:r>
        <w:rPr>
          <w:spacing w:val="-7"/>
          <w:w w:val="105"/>
        </w:rPr>
        <w:t>БРА </w:t>
      </w:r>
      <w:r>
        <w:rPr>
          <w:w w:val="105"/>
        </w:rPr>
        <w:t>по сравнению с другими классами характеризуются более низкой частотой отмены из-за побочных эффектов, сопоставимой с плацебо [143,</w:t>
      </w:r>
      <w:r>
        <w:rPr>
          <w:spacing w:val="-6"/>
          <w:w w:val="105"/>
        </w:rPr>
        <w:t> </w:t>
      </w:r>
      <w:r>
        <w:rPr>
          <w:w w:val="105"/>
        </w:rPr>
        <w:t>144].</w:t>
      </w:r>
    </w:p>
    <w:p>
      <w:pPr>
        <w:pStyle w:val="BodyText"/>
        <w:tabs>
          <w:tab w:pos="2857" w:val="left" w:leader="none"/>
          <w:tab w:pos="5970" w:val="left" w:leader="none"/>
          <w:tab w:pos="8659" w:val="left" w:leader="none"/>
        </w:tabs>
        <w:spacing w:line="256" w:lineRule="auto" w:before="273"/>
        <w:ind w:left="695" w:right="129"/>
      </w:pPr>
      <w:r>
        <w:rPr/>
        <w:t>ИАПФ и </w:t>
      </w:r>
      <w:r>
        <w:rPr>
          <w:spacing w:val="-7"/>
        </w:rPr>
        <w:t>БРА </w:t>
      </w:r>
      <w:r>
        <w:rPr/>
        <w:t>снижают альбуминурию в большей степени, чем другие антигипертензивные препараты, и эффективно замедляют</w:t>
        <w:tab/>
        <w:t>прогрессирование</w:t>
        <w:tab/>
        <w:t>диабетической</w:t>
        <w:tab/>
      </w:r>
      <w:r>
        <w:rPr>
          <w:spacing w:val="-14"/>
        </w:rPr>
        <w:t>и</w:t>
      </w:r>
    </w:p>
    <w:p>
      <w:pPr>
        <w:spacing w:after="0" w:line="256" w:lineRule="auto"/>
        <w:sectPr>
          <w:pgSz w:w="11900" w:h="16840"/>
          <w:pgMar w:top="0" w:bottom="280" w:left="1420" w:right="1520"/>
        </w:sectPr>
      </w:pPr>
    </w:p>
    <w:p>
      <w:pPr>
        <w:pStyle w:val="BodyText"/>
        <w:spacing w:line="256" w:lineRule="auto" w:before="16"/>
        <w:ind w:left="695" w:right="142"/>
      </w:pPr>
      <w:r>
        <w:rPr/>
        <w:t>недиабетической ХБП [99]. По данным метаанализов, блокаторы РААС — единственные из всех антигипертензивных препаратов доказанно снижают риск терминальной ХБП.</w:t>
      </w:r>
    </w:p>
    <w:p>
      <w:pPr>
        <w:pStyle w:val="BodyText"/>
        <w:spacing w:line="256" w:lineRule="auto" w:before="272"/>
        <w:ind w:left="695" w:right="130"/>
      </w:pPr>
      <w:r>
        <w:rPr/>
        <w:t>ИАПФ и БРА эффективно предотвращают или приводят к обратному развитию ПОМ (ГЛЖ, ремоделирование мелких артерий) на фоне соответствующего снижения АД [140]. Оба препарата снижают риск пароксизмов ФП, что может быть обусловлено улучшением функции ЛЖ и более эффективным регрессом структурных изменений ЛЖ [140]. ИАПФ и БРА показаны пациентам с перенесенным ИМ, ХСНнФВ.</w:t>
      </w:r>
    </w:p>
    <w:p>
      <w:pPr>
        <w:pStyle w:val="BodyText"/>
        <w:tabs>
          <w:tab w:pos="1752" w:val="left" w:leader="none"/>
          <w:tab w:pos="2481" w:val="left" w:leader="none"/>
          <w:tab w:pos="3439" w:val="left" w:leader="none"/>
          <w:tab w:pos="3883" w:val="left" w:leader="none"/>
          <w:tab w:pos="3991" w:val="left" w:leader="none"/>
          <w:tab w:pos="4384" w:val="left" w:leader="none"/>
          <w:tab w:pos="4870" w:val="left" w:leader="none"/>
          <w:tab w:pos="6140" w:val="left" w:leader="none"/>
          <w:tab w:pos="6496" w:val="left" w:leader="none"/>
          <w:tab w:pos="7716" w:val="left" w:leader="none"/>
          <w:tab w:pos="8091" w:val="left" w:leader="none"/>
        </w:tabs>
        <w:spacing w:line="256" w:lineRule="auto" w:before="273"/>
        <w:ind w:left="695" w:right="130"/>
        <w:jc w:val="left"/>
      </w:pPr>
      <w:r>
        <w:rPr/>
        <w:t>ИАПФ</w:t>
        <w:tab/>
        <w:t>ассоциированы</w:t>
        <w:tab/>
        <w:tab/>
        <w:t>с</w:t>
        <w:tab/>
        <w:t>умеренным</w:t>
        <w:tab/>
        <w:t>повышением</w:t>
        <w:tab/>
        <w:t>риска ангионевротического отека, особенно у представителей негроидной</w:t>
        <w:tab/>
        <w:t>расы.</w:t>
        <w:tab/>
        <w:t>У</w:t>
        <w:tab/>
        <w:t>таких</w:t>
        <w:tab/>
        <w:t>пациентов</w:t>
        <w:tab/>
      </w:r>
      <w:r>
        <w:rPr>
          <w:spacing w:val="-3"/>
        </w:rPr>
        <w:t>следует</w:t>
        <w:tab/>
      </w:r>
      <w:r>
        <w:rPr>
          <w:spacing w:val="-4"/>
        </w:rPr>
        <w:t>отдавать </w:t>
      </w:r>
      <w:r>
        <w:rPr/>
        <w:t>предпочтение</w:t>
      </w:r>
      <w:r>
        <w:rPr>
          <w:spacing w:val="-3"/>
        </w:rPr>
        <w:t> </w:t>
      </w:r>
      <w:r>
        <w:rPr>
          <w:spacing w:val="-5"/>
        </w:rPr>
        <w:t>БРА.</w:t>
      </w:r>
    </w:p>
    <w:p>
      <w:pPr>
        <w:pStyle w:val="BodyText"/>
        <w:spacing w:line="256" w:lineRule="auto" w:before="271"/>
        <w:ind w:left="695" w:right="130"/>
      </w:pPr>
      <w:r>
        <w:rPr/>
        <w:t>Для </w:t>
      </w:r>
      <w:r>
        <w:rPr>
          <w:spacing w:val="-3"/>
        </w:rPr>
        <w:t>всех </w:t>
      </w:r>
      <w:r>
        <w:rPr/>
        <w:t>пациентов с АГ в связи с наличием </w:t>
      </w:r>
      <w:r>
        <w:rPr>
          <w:spacing w:val="-4"/>
        </w:rPr>
        <w:t>абсолютных</w:t>
      </w:r>
      <w:r>
        <w:rPr>
          <w:spacing w:val="59"/>
        </w:rPr>
        <w:t> </w:t>
      </w:r>
      <w:r>
        <w:rPr/>
        <w:t>противопоказаний не рекомендуется назначение ИАПФ и </w:t>
      </w:r>
      <w:r>
        <w:rPr>
          <w:spacing w:val="-7"/>
        </w:rPr>
        <w:t>БРА </w:t>
      </w:r>
      <w:r>
        <w:rPr/>
        <w:t>при беременности, высокой гиперкалиемии (</w:t>
      </w:r>
      <w:r>
        <w:rPr>
          <w:rFonts w:ascii="Times New Roman" w:hAnsi="Times New Roman"/>
        </w:rPr>
        <w:t>≥</w:t>
      </w:r>
      <w:r>
        <w:rPr/>
        <w:t>5,5 ммоль/л), двухстороннем стенозе почечных артерий, стенозе почечной артерии единственной почки, у беременных и кормящих женщин и ангионевротическом отеке в анамнезе.</w:t>
      </w:r>
    </w:p>
    <w:p>
      <w:pPr>
        <w:pStyle w:val="Heading3"/>
        <w:spacing w:before="273"/>
      </w:pPr>
      <w:r>
        <w:rPr/>
        <w:t>Блокаторы кальциевых каналов</w:t>
      </w:r>
    </w:p>
    <w:p>
      <w:pPr>
        <w:pStyle w:val="BodyText"/>
        <w:spacing w:line="256" w:lineRule="auto" w:before="296"/>
        <w:ind w:left="695" w:right="131"/>
      </w:pPr>
      <w:r>
        <w:rPr/>
        <w:t>Все АК метаболически нейтральны и не оказывают отрицательного действия на углеводный, липидный и пуриновый обмен. Помимо антигипертензивного, они оказывают антиангинальное и органопротективное действие, тормозят агрегацию тромбоцитов. В целом их влияние на </w:t>
      </w:r>
      <w:r>
        <w:rPr>
          <w:spacing w:val="-4"/>
        </w:rPr>
        <w:t>СС </w:t>
      </w:r>
      <w:r>
        <w:rPr/>
        <w:t>риск </w:t>
      </w:r>
      <w:r>
        <w:rPr>
          <w:spacing w:val="-4"/>
        </w:rPr>
        <w:t>схоже</w:t>
      </w:r>
      <w:r>
        <w:rPr>
          <w:spacing w:val="59"/>
        </w:rPr>
        <w:t> </w:t>
      </w:r>
      <w:r>
        <w:rPr/>
        <w:t>с другими классами антигипертензивных препаратов [59, 140]. При этом АК обладают большим эффектом в отношении профилактики инсультов, чем этого можно было ожидать только </w:t>
      </w:r>
      <w:r>
        <w:rPr>
          <w:spacing w:val="-3"/>
        </w:rPr>
        <w:t>от </w:t>
      </w:r>
      <w:r>
        <w:rPr/>
        <w:t>антигипертензивного эффекта, однако они менее эффективны в отношении профилактики СНнФВ [59, 140].</w:t>
      </w:r>
    </w:p>
    <w:p>
      <w:pPr>
        <w:pStyle w:val="BodyText"/>
        <w:spacing w:line="256" w:lineRule="auto" w:before="274"/>
        <w:ind w:left="695" w:right="132"/>
      </w:pPr>
      <w:r>
        <w:rPr/>
        <w:t>Не рекомендуется (абсолютное противопоказание) назначение недигидропиридиновых АК при атриовентрикулярной </w:t>
      </w:r>
      <w:r>
        <w:rPr>
          <w:spacing w:val="-3"/>
        </w:rPr>
        <w:t>блокаде </w:t>
      </w:r>
      <w:r>
        <w:rPr/>
        <w:t>2–3-й степени, </w:t>
      </w:r>
      <w:r>
        <w:rPr>
          <w:spacing w:val="-3"/>
        </w:rPr>
        <w:t>ХСН </w:t>
      </w:r>
      <w:r>
        <w:rPr/>
        <w:t>снизкой ФВ ЛЖ. Для дигидропиридиновых АК абсолютных противопоказаний нет.</w:t>
      </w:r>
    </w:p>
    <w:p>
      <w:pPr>
        <w:pStyle w:val="Heading3"/>
        <w:spacing w:before="272"/>
      </w:pPr>
      <w:r>
        <w:rPr/>
        <w:t>Диуретики тиазидные и тиазидоподобные</w:t>
      </w:r>
    </w:p>
    <w:p>
      <w:pPr>
        <w:spacing w:after="0"/>
        <w:sectPr>
          <w:pgSz w:w="11900" w:h="16840"/>
          <w:pgMar w:top="0" w:bottom="280" w:left="1420" w:right="1520"/>
        </w:sectPr>
      </w:pPr>
    </w:p>
    <w:p>
      <w:pPr>
        <w:pStyle w:val="BodyText"/>
        <w:spacing w:line="256" w:lineRule="auto" w:before="16"/>
        <w:ind w:left="695" w:right="128"/>
      </w:pPr>
      <w:r>
        <w:rPr/>
        <w:t>Диуретики оказывают выраженный антигипертензивный эффект и остаются краеугольным камнем антигипертензивной терапии. Их эффективность в предотвращении всех вариантов СС осложнений и смертности подтверждена в РКИ и метаанализах [147]. Диуретики более эффективно предотвращают СН, чем другие классы препаратов [140]. В настоящее время ведутся дискуссии о том, следует ли предпочесть тиазидоподобные диуретики классическим тиазидным диуретикам, хотя их превосходство не было подтверждено в РКИ с прямым сравнением. Недавний метаанализ плацебо-контролируемых РКИ показал сходные эффекты трех типов диуретиков на СС исходы [147]. Таким образом, в отсутствие прямых сравнительных исследований и с учетом того, что гидрохлортиазид является компонентом многих фиксированных комбинаций, можно рекомендовать равноценное использование тиазидов, хлорталидона и индапамида.</w:t>
      </w:r>
    </w:p>
    <w:p>
      <w:pPr>
        <w:pStyle w:val="BodyText"/>
        <w:tabs>
          <w:tab w:pos="3781" w:val="left" w:leader="none"/>
          <w:tab w:pos="6143" w:val="left" w:leader="none"/>
        </w:tabs>
        <w:spacing w:line="256" w:lineRule="auto" w:before="277"/>
        <w:ind w:left="695" w:right="128"/>
      </w:pPr>
      <w:r>
        <w:rPr/>
        <w:t>И тиазидные, и тиазидоподобные диуретики снижают уровень сывороточного калия и имеют менее благоприятный профиль безопасности, чем блокаторы </w:t>
      </w:r>
      <w:r>
        <w:rPr>
          <w:spacing w:val="-9"/>
        </w:rPr>
        <w:t>РААС </w:t>
      </w:r>
      <w:r>
        <w:rPr>
          <w:spacing w:val="-6"/>
        </w:rPr>
        <w:t>[147, </w:t>
      </w:r>
      <w:r>
        <w:rPr/>
        <w:t>148]. Они также могут способствовать повышению инсулинорезистентности и риска развития </w:t>
      </w:r>
      <w:r>
        <w:rPr>
          <w:spacing w:val="-3"/>
        </w:rPr>
        <w:t>СД. </w:t>
      </w:r>
      <w:r>
        <w:rPr/>
        <w:t>Недавно проведенные исследования показали, что снизить негативное влияние тиазидов на метаболизм глюкозы можно добавлением калийсберегающего диуретика [149]. И тиазидные, и тиазидоподобные диуретики характеризуются</w:t>
        <w:tab/>
        <w:t>снижением</w:t>
        <w:tab/>
      </w:r>
      <w:r>
        <w:rPr>
          <w:spacing w:val="-2"/>
        </w:rPr>
        <w:t>антигипертензивной </w:t>
      </w:r>
      <w:r>
        <w:rPr/>
        <w:t>эффективности при </w:t>
      </w:r>
      <w:r>
        <w:rPr>
          <w:spacing w:val="-3"/>
        </w:rPr>
        <w:t>СКФ </w:t>
      </w:r>
      <w:r>
        <w:rPr/>
        <w:t>менее 45 мл/мин, а при </w:t>
      </w:r>
      <w:r>
        <w:rPr>
          <w:spacing w:val="-3"/>
        </w:rPr>
        <w:t>СКФ </w:t>
      </w:r>
      <w:r>
        <w:rPr/>
        <w:t>менее 30 мл/мин препараты становятся неэффективными. В этом случае в качестве альтернативы </w:t>
      </w:r>
      <w:r>
        <w:rPr>
          <w:spacing w:val="-3"/>
        </w:rPr>
        <w:t>следует </w:t>
      </w:r>
      <w:r>
        <w:rPr/>
        <w:t>использовать петлевые диуретики.</w:t>
      </w:r>
    </w:p>
    <w:p>
      <w:pPr>
        <w:pStyle w:val="BodyText"/>
        <w:spacing w:line="256" w:lineRule="auto" w:before="276"/>
        <w:ind w:left="695" w:right="131"/>
      </w:pPr>
      <w:r>
        <w:rPr/>
        <w:pict>
          <v:shape style="position:absolute;margin-left:91.538452pt;margin-top:21.219473pt;width:4.55pt;height:4.55pt;mso-position-horizontal-relative:page;mso-position-vertical-relative:paragraph;z-index:15794688" coordorigin="1831,424" coordsize="91,91" path="m1888,514l1863,514,1853,510,1835,492,1831,482,1831,457,1835,446,1853,429,1863,424,1888,424,1899,429,1916,446,1921,457,1921,469,1921,482,1916,492,1899,510,1888,514xe" filled="true" fillcolor="#000000" stroked="false">
            <v:path arrowok="t"/>
            <v:fill type="solid"/>
            <w10:wrap type="none"/>
          </v:shape>
        </w:pict>
      </w:r>
      <w:r>
        <w:rPr/>
        <w:t>У пациентов, не достигших целевого АД при приеме моно- или комбинированной АГТ, не включавшей диуретики, рекомендуется назначение низких доз тиазидных или тиазидоподобных диуретиков в составе комбинированной терапии с БРА, ИАПФ и АК для усиления АГЭ и достижения целевого АД [150–152].</w:t>
      </w:r>
    </w:p>
    <w:p>
      <w:pPr>
        <w:pStyle w:val="Heading3"/>
        <w:spacing w:before="272"/>
        <w:jc w:val="both"/>
      </w:pPr>
      <w:r>
        <w:rPr>
          <w:w w:val="105"/>
        </w:rPr>
        <w:t>ЕОК/ЕОАГ IB (УУР А, УДД 1)</w:t>
      </w:r>
    </w:p>
    <w:p>
      <w:pPr>
        <w:spacing w:line="256" w:lineRule="auto" w:before="296"/>
        <w:ind w:left="695" w:right="130" w:firstLine="0"/>
        <w:jc w:val="both"/>
        <w:rPr>
          <w:i/>
          <w:sz w:val="27"/>
        </w:rPr>
      </w:pPr>
      <w:r>
        <w:rPr>
          <w:b/>
          <w:w w:val="105"/>
          <w:sz w:val="27"/>
        </w:rPr>
        <w:t>Комментарии. </w:t>
      </w:r>
      <w:r>
        <w:rPr>
          <w:i/>
          <w:w w:val="105"/>
          <w:sz w:val="27"/>
        </w:rPr>
        <w:t>Подагра и бессимптомная гиперурикемия </w:t>
      </w:r>
      <w:r>
        <w:rPr>
          <w:i/>
          <w:w w:val="105"/>
          <w:sz w:val="27"/>
        </w:rPr>
        <w:t>являются абсолютным противопоказанием к назначению гидрохлортиазида и хлорталидона и</w:t>
      </w:r>
      <w:r>
        <w:rPr>
          <w:i/>
          <w:spacing w:val="57"/>
          <w:w w:val="105"/>
          <w:sz w:val="27"/>
        </w:rPr>
        <w:t> </w:t>
      </w:r>
      <w:r>
        <w:rPr>
          <w:i/>
          <w:w w:val="105"/>
          <w:sz w:val="27"/>
        </w:rPr>
        <w:t>относительным</w:t>
      </w:r>
    </w:p>
    <w:p>
      <w:pPr>
        <w:spacing w:after="0" w:line="256" w:lineRule="auto"/>
        <w:jc w:val="both"/>
        <w:rPr>
          <w:sz w:val="27"/>
        </w:rPr>
        <w:sectPr>
          <w:pgSz w:w="11900" w:h="16840"/>
          <w:pgMar w:top="0" w:bottom="0" w:left="1420" w:right="1520"/>
        </w:sectPr>
      </w:pPr>
    </w:p>
    <w:p>
      <w:pPr>
        <w:spacing w:before="16"/>
        <w:ind w:left="695" w:right="0" w:firstLine="0"/>
        <w:jc w:val="both"/>
        <w:rPr>
          <w:i/>
          <w:sz w:val="27"/>
        </w:rPr>
      </w:pPr>
      <w:r>
        <w:rPr>
          <w:i/>
          <w:w w:val="105"/>
          <w:sz w:val="27"/>
        </w:rPr>
        <w:t>противопоказанием для индапамида.</w:t>
      </w:r>
    </w:p>
    <w:p>
      <w:pPr>
        <w:pStyle w:val="Heading4"/>
        <w:spacing w:before="296"/>
        <w:rPr>
          <w:i/>
        </w:rPr>
      </w:pPr>
      <w:r>
        <w:rPr>
          <w:i/>
          <w:w w:val="105"/>
        </w:rPr>
        <w:t>Антагонисты минералокортикоидных рецепторов</w:t>
      </w:r>
    </w:p>
    <w:p>
      <w:pPr>
        <w:spacing w:line="256" w:lineRule="auto" w:before="296"/>
        <w:ind w:left="695" w:right="130" w:firstLine="0"/>
        <w:jc w:val="both"/>
        <w:rPr>
          <w:i/>
          <w:sz w:val="27"/>
        </w:rPr>
      </w:pPr>
      <w:r>
        <w:rPr>
          <w:i/>
          <w:w w:val="105"/>
          <w:sz w:val="27"/>
        </w:rPr>
        <w:t>АГЭ антагонистов минералокортикоидных рецепторов (АМКР) </w:t>
      </w:r>
      <w:r>
        <w:rPr>
          <w:i/>
          <w:w w:val="105"/>
          <w:sz w:val="27"/>
        </w:rPr>
        <w:t>(спиронолактон, эплеренон) связан с тем, что они, имея стероидную структуру, конкурентно по отношению к альдостерону, связываются с его рецепторами, блокируя биологические эффекты альдостерона.</w:t>
      </w:r>
    </w:p>
    <w:p>
      <w:pPr>
        <w:spacing w:line="256" w:lineRule="auto" w:before="273"/>
        <w:ind w:left="695" w:right="128" w:firstLine="0"/>
        <w:jc w:val="both"/>
        <w:rPr>
          <w:i/>
          <w:sz w:val="27"/>
        </w:rPr>
      </w:pPr>
      <w:r>
        <w:rPr>
          <w:i/>
          <w:w w:val="105"/>
          <w:sz w:val="27"/>
        </w:rPr>
        <w:t>Cпиронолактон оказывает положительный эффект при </w:t>
      </w:r>
      <w:r>
        <w:rPr>
          <w:i/>
          <w:w w:val="105"/>
          <w:sz w:val="27"/>
        </w:rPr>
        <w:t>сердечной недостаточности и резистентной АГ. Эплеренон также продемонстрировал положительный эффект при сердечной недостаточности и резистентной АГ и может использоваться как альтернатива спиронолактону. Для лечения АГ используются низкие суточные дозы АМКР (25–50 мг). Не рекомендуется     (абсолютное     противопоказание)  </w:t>
      </w:r>
      <w:r>
        <w:rPr>
          <w:i/>
          <w:spacing w:val="35"/>
          <w:w w:val="105"/>
          <w:sz w:val="27"/>
        </w:rPr>
        <w:t> </w:t>
      </w:r>
      <w:r>
        <w:rPr>
          <w:i/>
          <w:w w:val="105"/>
          <w:sz w:val="27"/>
        </w:rPr>
        <w:t>назначение</w:t>
      </w:r>
    </w:p>
    <w:p>
      <w:pPr>
        <w:spacing w:line="184" w:lineRule="auto" w:before="68"/>
        <w:ind w:left="695" w:right="131" w:firstLine="0"/>
        <w:jc w:val="both"/>
        <w:rPr>
          <w:i/>
          <w:sz w:val="27"/>
        </w:rPr>
      </w:pPr>
      <w:r>
        <w:rPr>
          <w:i/>
          <w:w w:val="105"/>
          <w:sz w:val="27"/>
        </w:rPr>
        <w:t>антагонистов альдостероновых рецепторов при нарушении </w:t>
      </w:r>
      <w:r>
        <w:rPr>
          <w:i/>
          <w:w w:val="105"/>
          <w:sz w:val="27"/>
        </w:rPr>
        <w:t>функции почек с СКФ&lt;30 мл/мин/1,73 м</w:t>
      </w:r>
      <w:r>
        <w:rPr>
          <w:i/>
          <w:w w:val="105"/>
          <w:position w:val="14"/>
          <w:sz w:val="27"/>
        </w:rPr>
        <w:t>2 </w:t>
      </w:r>
      <w:r>
        <w:rPr>
          <w:i/>
          <w:w w:val="105"/>
          <w:sz w:val="27"/>
        </w:rPr>
        <w:t>из-за повышения</w:t>
      </w:r>
      <w:r>
        <w:rPr>
          <w:i/>
          <w:spacing w:val="4"/>
          <w:w w:val="105"/>
          <w:sz w:val="27"/>
        </w:rPr>
        <w:t> </w:t>
      </w:r>
      <w:r>
        <w:rPr>
          <w:i/>
          <w:w w:val="105"/>
          <w:sz w:val="27"/>
        </w:rPr>
        <w:t>риска</w:t>
      </w:r>
    </w:p>
    <w:p>
      <w:pPr>
        <w:spacing w:before="14"/>
        <w:ind w:left="695" w:right="0" w:firstLine="0"/>
        <w:jc w:val="both"/>
        <w:rPr>
          <w:i/>
          <w:sz w:val="27"/>
        </w:rPr>
      </w:pPr>
      <w:r>
        <w:rPr>
          <w:i/>
          <w:sz w:val="27"/>
        </w:rPr>
        <w:t>гиперкалиемии и ухудшения функции почек.</w:t>
      </w:r>
    </w:p>
    <w:p>
      <w:pPr>
        <w:spacing w:line="390" w:lineRule="exact" w:before="267"/>
        <w:ind w:left="695" w:right="130" w:firstLine="0"/>
        <w:jc w:val="both"/>
        <w:rPr>
          <w:i/>
          <w:sz w:val="27"/>
        </w:rPr>
      </w:pPr>
      <w:r>
        <w:rPr>
          <w:b/>
          <w:i/>
          <w:w w:val="105"/>
          <w:sz w:val="27"/>
        </w:rPr>
        <w:t>Бета-адреноблокаторы. </w:t>
      </w:r>
      <w:r>
        <w:rPr>
          <w:i/>
          <w:w w:val="105"/>
          <w:sz w:val="27"/>
        </w:rPr>
        <w:t>АГЭ ББ обусловлена их способностью </w:t>
      </w:r>
      <w:r>
        <w:rPr>
          <w:i/>
          <w:w w:val="105"/>
          <w:sz w:val="27"/>
        </w:rPr>
        <w:t>блокировать </w:t>
      </w:r>
      <w:r>
        <w:rPr>
          <w:rFonts w:ascii="Times New Roman" w:hAnsi="Times New Roman"/>
          <w:i/>
          <w:w w:val="105"/>
          <w:sz w:val="27"/>
        </w:rPr>
        <w:t>β</w:t>
      </w:r>
      <w:r>
        <w:rPr>
          <w:i/>
          <w:w w:val="105"/>
          <w:position w:val="-7"/>
          <w:sz w:val="27"/>
        </w:rPr>
        <w:t>1</w:t>
      </w:r>
      <w:r>
        <w:rPr>
          <w:i/>
          <w:w w:val="105"/>
          <w:sz w:val="27"/>
        </w:rPr>
        <w:t>- и </w:t>
      </w:r>
      <w:r>
        <w:rPr>
          <w:rFonts w:ascii="Times New Roman" w:hAnsi="Times New Roman"/>
          <w:i/>
          <w:w w:val="105"/>
          <w:sz w:val="27"/>
        </w:rPr>
        <w:t>β</w:t>
      </w:r>
      <w:r>
        <w:rPr>
          <w:i/>
          <w:w w:val="105"/>
          <w:position w:val="-7"/>
          <w:sz w:val="27"/>
        </w:rPr>
        <w:t>2</w:t>
      </w:r>
      <w:r>
        <w:rPr>
          <w:i/>
          <w:w w:val="105"/>
          <w:sz w:val="27"/>
        </w:rPr>
        <w:t>-адренорецепторы и уменьшать </w:t>
      </w:r>
      <w:r>
        <w:rPr>
          <w:i/>
          <w:w w:val="105"/>
          <w:sz w:val="27"/>
        </w:rPr>
        <w:t>адренергическое влияние на сердце (снижение частоты и силы сердечных сокращений), а также снижать секрецию ренина (блокада </w:t>
      </w:r>
      <w:r>
        <w:rPr>
          <w:rFonts w:ascii="Times New Roman" w:hAnsi="Times New Roman"/>
          <w:i/>
          <w:w w:val="105"/>
          <w:sz w:val="27"/>
        </w:rPr>
        <w:t>β</w:t>
      </w:r>
      <w:r>
        <w:rPr>
          <w:i/>
          <w:w w:val="105"/>
          <w:position w:val="-7"/>
          <w:sz w:val="27"/>
        </w:rPr>
        <w:t>1</w:t>
      </w:r>
      <w:r>
        <w:rPr>
          <w:i/>
          <w:w w:val="105"/>
          <w:sz w:val="27"/>
        </w:rPr>
        <w:t>-рецепторов юкстагломерулярного аппарата).</w:t>
      </w:r>
    </w:p>
    <w:p>
      <w:pPr>
        <w:pStyle w:val="BodyText"/>
        <w:spacing w:line="256" w:lineRule="auto" w:before="300"/>
        <w:ind w:left="695" w:right="131"/>
      </w:pPr>
      <w:r>
        <w:rPr/>
        <w:pict>
          <v:shape style="position:absolute;margin-left:91.538452pt;margin-top:22.419479pt;width:4.55pt;height:4.5pt;mso-position-horizontal-relative:page;mso-position-vertical-relative:paragraph;z-index:15795200" coordorigin="1831,448" coordsize="91,90" path="m1888,538l1863,538,1853,534,1835,516,1831,506,1831,481,1835,470,1853,453,1863,448,1888,448,1899,453,1916,470,1921,481,1921,493,1921,506,1916,516,1899,534,1888,538xe" filled="true" fillcolor="#000000" stroked="false">
            <v:path arrowok="t"/>
            <v:fill type="solid"/>
            <w10:wrap type="none"/>
          </v:shape>
        </w:pict>
      </w:r>
      <w:r>
        <w:rPr/>
        <w:t>ББ рекомендованы в качестве антигипертензивной терапии  при наличии особых клинических ситуаций: например, стенокардии, перенесенного инфаркта миокарда, сердечной недостаточности [21,</w:t>
      </w:r>
      <w:r>
        <w:rPr>
          <w:spacing w:val="-3"/>
        </w:rPr>
        <w:t> </w:t>
      </w:r>
      <w:r>
        <w:rPr/>
        <w:t>22].</w:t>
      </w:r>
    </w:p>
    <w:p>
      <w:pPr>
        <w:pStyle w:val="Heading3"/>
        <w:jc w:val="both"/>
      </w:pPr>
      <w:r>
        <w:rPr/>
        <w:t>ЕОК ЕОАГ IA (УУР С, УДД 5)</w:t>
      </w:r>
    </w:p>
    <w:p>
      <w:pPr>
        <w:spacing w:line="256" w:lineRule="auto" w:before="296"/>
        <w:ind w:left="695" w:right="129" w:firstLine="0"/>
        <w:jc w:val="both"/>
        <w:rPr>
          <w:i/>
          <w:sz w:val="27"/>
        </w:rPr>
      </w:pPr>
      <w:r>
        <w:rPr>
          <w:b/>
          <w:w w:val="105"/>
          <w:sz w:val="27"/>
        </w:rPr>
        <w:t>Комментарии. </w:t>
      </w:r>
      <w:r>
        <w:rPr>
          <w:i/>
          <w:w w:val="105"/>
          <w:sz w:val="27"/>
        </w:rPr>
        <w:t>ББ — один из пяти основных классов АГП. </w:t>
      </w:r>
      <w:r>
        <w:rPr>
          <w:i/>
          <w:w w:val="105"/>
          <w:sz w:val="27"/>
        </w:rPr>
        <w:t>Предпочтительными ситуациями для их назначения являются симптомная</w:t>
      </w:r>
      <w:r>
        <w:rPr>
          <w:i/>
          <w:spacing w:val="-16"/>
          <w:w w:val="105"/>
          <w:sz w:val="27"/>
        </w:rPr>
        <w:t> </w:t>
      </w:r>
      <w:r>
        <w:rPr>
          <w:i/>
          <w:w w:val="105"/>
          <w:sz w:val="27"/>
        </w:rPr>
        <w:t>стенокардия</w:t>
      </w:r>
      <w:r>
        <w:rPr>
          <w:i/>
          <w:spacing w:val="-16"/>
          <w:w w:val="105"/>
          <w:sz w:val="27"/>
        </w:rPr>
        <w:t> </w:t>
      </w:r>
      <w:r>
        <w:rPr>
          <w:i/>
          <w:w w:val="105"/>
          <w:sz w:val="27"/>
        </w:rPr>
        <w:t>напряжения,</w:t>
      </w:r>
      <w:r>
        <w:rPr>
          <w:i/>
          <w:spacing w:val="-16"/>
          <w:w w:val="105"/>
          <w:sz w:val="27"/>
        </w:rPr>
        <w:t> </w:t>
      </w:r>
      <w:r>
        <w:rPr>
          <w:i/>
          <w:w w:val="105"/>
          <w:sz w:val="27"/>
        </w:rPr>
        <w:t>перенесенный</w:t>
      </w:r>
      <w:r>
        <w:rPr>
          <w:i/>
          <w:spacing w:val="-15"/>
          <w:w w:val="105"/>
          <w:sz w:val="27"/>
        </w:rPr>
        <w:t> </w:t>
      </w:r>
      <w:r>
        <w:rPr>
          <w:i/>
          <w:w w:val="105"/>
          <w:sz w:val="27"/>
        </w:rPr>
        <w:t>ИМ,</w:t>
      </w:r>
      <w:r>
        <w:rPr>
          <w:i/>
          <w:spacing w:val="-16"/>
          <w:w w:val="105"/>
          <w:sz w:val="27"/>
        </w:rPr>
        <w:t> </w:t>
      </w:r>
      <w:r>
        <w:rPr>
          <w:i/>
          <w:spacing w:val="-4"/>
          <w:w w:val="105"/>
          <w:sz w:val="27"/>
        </w:rPr>
        <w:t>ХСН</w:t>
      </w:r>
      <w:r>
        <w:rPr>
          <w:i/>
          <w:spacing w:val="-16"/>
          <w:w w:val="105"/>
          <w:sz w:val="27"/>
        </w:rPr>
        <w:t> </w:t>
      </w:r>
      <w:r>
        <w:rPr>
          <w:i/>
          <w:w w:val="105"/>
          <w:sz w:val="27"/>
        </w:rPr>
        <w:t>с низкой фракцией выброса, ФП, аневризма аорты, контроль ЧСС, а также лечение АГ у женщин детородного возраста, особенно планирующих беременность. ББ — гетерогенный класс препаратов. В отдельных исследованиях продемонстрированы неодинаковые эффекты классических и вазодилатирующих ББ в отношении центрального АД, артериальной ригидности, риска развития </w:t>
      </w:r>
      <w:r>
        <w:rPr>
          <w:i/>
          <w:spacing w:val="-3"/>
          <w:w w:val="105"/>
          <w:sz w:val="27"/>
        </w:rPr>
        <w:t>СД, </w:t>
      </w:r>
      <w:r>
        <w:rPr>
          <w:i/>
          <w:w w:val="105"/>
          <w:sz w:val="27"/>
        </w:rPr>
        <w:t>исходов при </w:t>
      </w:r>
      <w:r>
        <w:rPr>
          <w:i/>
          <w:spacing w:val="-3"/>
          <w:w w:val="105"/>
          <w:sz w:val="27"/>
        </w:rPr>
        <w:t>ХСН. </w:t>
      </w:r>
      <w:r>
        <w:rPr>
          <w:i/>
          <w:w w:val="105"/>
          <w:sz w:val="27"/>
        </w:rPr>
        <w:t>РКИ по сопоставлению эффективности</w:t>
      </w:r>
      <w:r>
        <w:rPr>
          <w:i/>
          <w:spacing w:val="25"/>
          <w:w w:val="105"/>
          <w:sz w:val="27"/>
        </w:rPr>
        <w:t> </w:t>
      </w:r>
      <w:r>
        <w:rPr>
          <w:i/>
          <w:w w:val="105"/>
          <w:sz w:val="27"/>
        </w:rPr>
        <w:t>ББ</w:t>
      </w:r>
      <w:r>
        <w:rPr>
          <w:i/>
          <w:spacing w:val="25"/>
          <w:w w:val="105"/>
          <w:sz w:val="27"/>
        </w:rPr>
        <w:t> </w:t>
      </w:r>
      <w:r>
        <w:rPr>
          <w:i/>
          <w:w w:val="105"/>
          <w:sz w:val="27"/>
        </w:rPr>
        <w:t>с</w:t>
      </w:r>
      <w:r>
        <w:rPr>
          <w:i/>
          <w:spacing w:val="25"/>
          <w:w w:val="105"/>
          <w:sz w:val="27"/>
        </w:rPr>
        <w:t> </w:t>
      </w:r>
      <w:r>
        <w:rPr>
          <w:i/>
          <w:w w:val="105"/>
          <w:sz w:val="27"/>
        </w:rPr>
        <w:t>разными</w:t>
      </w:r>
      <w:r>
        <w:rPr>
          <w:i/>
          <w:spacing w:val="26"/>
          <w:w w:val="105"/>
          <w:sz w:val="27"/>
        </w:rPr>
        <w:t> </w:t>
      </w:r>
      <w:r>
        <w:rPr>
          <w:i/>
          <w:w w:val="105"/>
          <w:sz w:val="27"/>
        </w:rPr>
        <w:t>свойствами</w:t>
      </w:r>
      <w:r>
        <w:rPr>
          <w:i/>
          <w:spacing w:val="25"/>
          <w:w w:val="105"/>
          <w:sz w:val="27"/>
        </w:rPr>
        <w:t> </w:t>
      </w:r>
      <w:r>
        <w:rPr>
          <w:i/>
          <w:w w:val="105"/>
          <w:sz w:val="27"/>
        </w:rPr>
        <w:t>у</w:t>
      </w:r>
      <w:r>
        <w:rPr>
          <w:i/>
          <w:spacing w:val="25"/>
          <w:w w:val="105"/>
          <w:sz w:val="27"/>
        </w:rPr>
        <w:t> </w:t>
      </w:r>
      <w:r>
        <w:rPr>
          <w:i/>
          <w:w w:val="105"/>
          <w:sz w:val="27"/>
        </w:rPr>
        <w:t>пациентов</w:t>
      </w:r>
      <w:r>
        <w:rPr>
          <w:i/>
          <w:spacing w:val="26"/>
          <w:w w:val="105"/>
          <w:sz w:val="27"/>
        </w:rPr>
        <w:t> </w:t>
      </w:r>
      <w:r>
        <w:rPr>
          <w:i/>
          <w:w w:val="105"/>
          <w:sz w:val="27"/>
        </w:rPr>
        <w:t>с</w:t>
      </w:r>
      <w:r>
        <w:rPr>
          <w:i/>
          <w:spacing w:val="25"/>
          <w:w w:val="105"/>
          <w:sz w:val="27"/>
        </w:rPr>
        <w:t> </w:t>
      </w:r>
      <w:r>
        <w:rPr>
          <w:i/>
          <w:w w:val="105"/>
          <w:sz w:val="27"/>
        </w:rPr>
        <w:t>АГ</w:t>
      </w:r>
      <w:r>
        <w:rPr>
          <w:i/>
          <w:spacing w:val="25"/>
          <w:w w:val="105"/>
          <w:sz w:val="27"/>
        </w:rPr>
        <w:t> </w:t>
      </w:r>
      <w:r>
        <w:rPr>
          <w:i/>
          <w:w w:val="105"/>
          <w:sz w:val="27"/>
        </w:rPr>
        <w:t>не</w:t>
      </w:r>
    </w:p>
    <w:p>
      <w:pPr>
        <w:spacing w:after="0" w:line="256" w:lineRule="auto"/>
        <w:jc w:val="both"/>
        <w:rPr>
          <w:sz w:val="27"/>
        </w:rPr>
        <w:sectPr>
          <w:pgSz w:w="11900" w:h="16840"/>
          <w:pgMar w:top="0" w:bottom="0" w:left="1420" w:right="1520"/>
        </w:sectPr>
      </w:pPr>
    </w:p>
    <w:p>
      <w:pPr>
        <w:tabs>
          <w:tab w:pos="1678" w:val="left" w:leader="none"/>
          <w:tab w:pos="4055" w:val="left" w:leader="none"/>
          <w:tab w:pos="6831" w:val="left" w:leader="none"/>
          <w:tab w:pos="8525" w:val="left" w:leader="none"/>
        </w:tabs>
        <w:spacing w:line="256" w:lineRule="auto" w:before="16"/>
        <w:ind w:left="695" w:right="137" w:firstLine="0"/>
        <w:jc w:val="both"/>
        <w:rPr>
          <w:i/>
          <w:sz w:val="27"/>
        </w:rPr>
      </w:pPr>
      <w:r>
        <w:rPr>
          <w:i/>
          <w:w w:val="105"/>
          <w:sz w:val="27"/>
        </w:rPr>
        <w:t>проводились. У физически активных пациентов и при наличии </w:t>
      </w:r>
      <w:r>
        <w:rPr>
          <w:i/>
          <w:spacing w:val="-12"/>
          <w:w w:val="105"/>
          <w:sz w:val="27"/>
        </w:rPr>
        <w:t>у </w:t>
      </w:r>
      <w:r>
        <w:rPr>
          <w:i/>
          <w:w w:val="105"/>
          <w:sz w:val="27"/>
        </w:rPr>
        <w:t>них</w:t>
      </w:r>
      <w:r>
        <w:rPr>
          <w:i/>
          <w:spacing w:val="-22"/>
          <w:w w:val="105"/>
          <w:sz w:val="27"/>
        </w:rPr>
        <w:t> </w:t>
      </w:r>
      <w:r>
        <w:rPr>
          <w:i/>
          <w:w w:val="105"/>
          <w:sz w:val="27"/>
        </w:rPr>
        <w:t>МС,</w:t>
      </w:r>
      <w:r>
        <w:rPr>
          <w:i/>
          <w:spacing w:val="-22"/>
          <w:w w:val="105"/>
          <w:sz w:val="27"/>
        </w:rPr>
        <w:t> </w:t>
      </w:r>
      <w:r>
        <w:rPr>
          <w:i/>
          <w:w w:val="105"/>
          <w:sz w:val="27"/>
        </w:rPr>
        <w:t>НТГ</w:t>
      </w:r>
      <w:r>
        <w:rPr>
          <w:i/>
          <w:spacing w:val="-22"/>
          <w:w w:val="105"/>
          <w:sz w:val="27"/>
        </w:rPr>
        <w:t> </w:t>
      </w:r>
      <w:r>
        <w:rPr>
          <w:i/>
          <w:w w:val="105"/>
          <w:sz w:val="27"/>
        </w:rPr>
        <w:t>рекомендованы</w:t>
      </w:r>
      <w:r>
        <w:rPr>
          <w:i/>
          <w:spacing w:val="-22"/>
          <w:w w:val="105"/>
          <w:sz w:val="27"/>
        </w:rPr>
        <w:t> </w:t>
      </w:r>
      <w:r>
        <w:rPr>
          <w:i/>
          <w:w w:val="105"/>
          <w:sz w:val="27"/>
        </w:rPr>
        <w:t>ББ</w:t>
      </w:r>
      <w:r>
        <w:rPr>
          <w:i/>
          <w:spacing w:val="-21"/>
          <w:w w:val="105"/>
          <w:sz w:val="27"/>
        </w:rPr>
        <w:t> </w:t>
      </w:r>
      <w:r>
        <w:rPr>
          <w:i/>
          <w:w w:val="105"/>
          <w:sz w:val="27"/>
        </w:rPr>
        <w:t>с</w:t>
      </w:r>
      <w:r>
        <w:rPr>
          <w:i/>
          <w:spacing w:val="-22"/>
          <w:w w:val="105"/>
          <w:sz w:val="27"/>
        </w:rPr>
        <w:t> </w:t>
      </w:r>
      <w:r>
        <w:rPr>
          <w:i/>
          <w:w w:val="105"/>
          <w:sz w:val="27"/>
        </w:rPr>
        <w:t>вазодилатирующим</w:t>
      </w:r>
      <w:r>
        <w:rPr>
          <w:i/>
          <w:spacing w:val="-22"/>
          <w:w w:val="105"/>
          <w:sz w:val="27"/>
        </w:rPr>
        <w:t> </w:t>
      </w:r>
      <w:r>
        <w:rPr>
          <w:i/>
          <w:w w:val="105"/>
          <w:sz w:val="27"/>
        </w:rPr>
        <w:t>эффектом, не</w:t>
        <w:tab/>
        <w:t>оказывающие</w:t>
        <w:tab/>
        <w:t>отрицательного</w:t>
        <w:tab/>
        <w:t>влияния</w:t>
        <w:tab/>
      </w:r>
      <w:r>
        <w:rPr>
          <w:i/>
          <w:spacing w:val="-8"/>
          <w:w w:val="105"/>
          <w:sz w:val="27"/>
        </w:rPr>
        <w:t>на </w:t>
      </w:r>
      <w:r>
        <w:rPr>
          <w:i/>
          <w:w w:val="105"/>
          <w:sz w:val="27"/>
        </w:rPr>
        <w:t>инсулинорезистетность.</w:t>
      </w:r>
    </w:p>
    <w:p>
      <w:pPr>
        <w:spacing w:line="256" w:lineRule="auto" w:before="272"/>
        <w:ind w:left="695" w:right="128" w:firstLine="0"/>
        <w:jc w:val="both"/>
        <w:rPr>
          <w:i/>
          <w:sz w:val="27"/>
        </w:rPr>
      </w:pPr>
      <w:r>
        <w:rPr>
          <w:i/>
          <w:w w:val="105"/>
          <w:sz w:val="27"/>
        </w:rPr>
        <w:t>В многоцентровых исследованиях была показана несколько </w:t>
      </w:r>
      <w:r>
        <w:rPr>
          <w:i/>
          <w:w w:val="105"/>
          <w:sz w:val="27"/>
        </w:rPr>
        <w:t>меньшая эффективность ББ по предупреждению инсульта в сравнении с другими АГП [153]. Однако все эти данные были получены при анализе исследований, где применялся атенолол. В отношении небиволола, карведилола и высокоселективных ББ (бисопролол и метопролол замедленного высвобождения) нет данных по влиянию на жесткие конечные точки [147].</w:t>
      </w:r>
    </w:p>
    <w:p>
      <w:pPr>
        <w:spacing w:line="256" w:lineRule="auto" w:before="273"/>
        <w:ind w:left="695" w:right="130" w:firstLine="0"/>
        <w:jc w:val="both"/>
        <w:rPr>
          <w:i/>
          <w:sz w:val="27"/>
        </w:rPr>
      </w:pPr>
      <w:r>
        <w:rPr>
          <w:i/>
          <w:w w:val="105"/>
          <w:sz w:val="27"/>
        </w:rPr>
        <w:t>Абсолютное противопоказание для назначения ББ — </w:t>
      </w:r>
      <w:r>
        <w:rPr>
          <w:i/>
          <w:w w:val="105"/>
          <w:sz w:val="27"/>
        </w:rPr>
        <w:t>синоатриальная, атриовентрикулярная блокада 2–3-й степени, синдром слабости синусового узла и бронхиальная астма.</w:t>
      </w:r>
    </w:p>
    <w:p>
      <w:pPr>
        <w:pStyle w:val="Heading4"/>
        <w:spacing w:line="256" w:lineRule="auto"/>
        <w:ind w:right="142"/>
      </w:pPr>
      <w:r>
        <w:rPr>
          <w:i/>
          <w:w w:val="105"/>
        </w:rPr>
        <w:t>Другие (дополнительные) классы антигипертензивных </w:t>
      </w:r>
      <w:r>
        <w:rPr>
          <w:w w:val="105"/>
        </w:rPr>
        <w:t>препаратов</w:t>
      </w:r>
    </w:p>
    <w:p>
      <w:pPr>
        <w:spacing w:line="256" w:lineRule="auto" w:before="271"/>
        <w:ind w:left="695" w:right="129" w:firstLine="0"/>
        <w:jc w:val="both"/>
        <w:rPr>
          <w:i/>
          <w:sz w:val="27"/>
        </w:rPr>
      </w:pPr>
      <w:r>
        <w:rPr>
          <w:i/>
          <w:w w:val="110"/>
          <w:sz w:val="27"/>
        </w:rPr>
        <w:t>В целом антигипертензивные препараты, не относящиеся к </w:t>
      </w:r>
      <w:r>
        <w:rPr>
          <w:i/>
          <w:w w:val="110"/>
          <w:sz w:val="27"/>
        </w:rPr>
        <w:t>пяти основным классам (например, препараты центрального действия, альфа-адреноблокаторы), не рекомендуются для рутинного применения при АГ, но остаются препаратами резерва, например, для применения при резистентной</w:t>
      </w:r>
      <w:r>
        <w:rPr>
          <w:i/>
          <w:spacing w:val="74"/>
          <w:w w:val="110"/>
          <w:sz w:val="27"/>
        </w:rPr>
        <w:t> </w:t>
      </w:r>
      <w:r>
        <w:rPr>
          <w:i/>
          <w:w w:val="105"/>
          <w:sz w:val="27"/>
        </w:rPr>
        <w:t>гипертензии при неэффективности остальных препаратов [21].</w:t>
      </w:r>
    </w:p>
    <w:p>
      <w:pPr>
        <w:tabs>
          <w:tab w:pos="2953" w:val="left" w:leader="none"/>
          <w:tab w:pos="4556" w:val="left" w:leader="none"/>
          <w:tab w:pos="6007" w:val="left" w:leader="none"/>
          <w:tab w:pos="7611" w:val="left" w:leader="none"/>
          <w:tab w:pos="8680" w:val="left" w:leader="none"/>
        </w:tabs>
        <w:spacing w:line="256" w:lineRule="auto" w:before="273"/>
        <w:ind w:left="695" w:right="128" w:firstLine="0"/>
        <w:jc w:val="both"/>
        <w:rPr>
          <w:i/>
          <w:sz w:val="27"/>
        </w:rPr>
      </w:pPr>
      <w:r>
        <w:rPr>
          <w:b/>
          <w:i/>
          <w:w w:val="105"/>
          <w:sz w:val="27"/>
        </w:rPr>
        <w:t>Агонисты имидазолиновых рецепторов </w:t>
      </w:r>
      <w:r>
        <w:rPr>
          <w:i/>
          <w:w w:val="105"/>
          <w:sz w:val="27"/>
        </w:rPr>
        <w:t>(моксонидин) </w:t>
      </w:r>
      <w:r>
        <w:rPr>
          <w:i/>
          <w:w w:val="105"/>
          <w:sz w:val="27"/>
        </w:rPr>
        <w:t>стимулируют имидазолиновые рецепторы, расположенные в вентролатеральном отделе продолговатого мозга. В отличие от других классов АГП, для моксонидина не проводились РКИ с использованием</w:t>
      </w:r>
      <w:r>
        <w:rPr>
          <w:i/>
          <w:spacing w:val="-19"/>
          <w:w w:val="105"/>
          <w:sz w:val="27"/>
        </w:rPr>
        <w:t> </w:t>
      </w:r>
      <w:r>
        <w:rPr>
          <w:i/>
          <w:w w:val="105"/>
          <w:sz w:val="27"/>
        </w:rPr>
        <w:t>жестких</w:t>
      </w:r>
      <w:r>
        <w:rPr>
          <w:i/>
          <w:spacing w:val="-18"/>
          <w:w w:val="105"/>
          <w:sz w:val="27"/>
        </w:rPr>
        <w:t> </w:t>
      </w:r>
      <w:r>
        <w:rPr>
          <w:i/>
          <w:w w:val="105"/>
          <w:sz w:val="27"/>
        </w:rPr>
        <w:t>конечных</w:t>
      </w:r>
      <w:r>
        <w:rPr>
          <w:i/>
          <w:spacing w:val="-18"/>
          <w:w w:val="105"/>
          <w:sz w:val="27"/>
        </w:rPr>
        <w:t> </w:t>
      </w:r>
      <w:r>
        <w:rPr>
          <w:i/>
          <w:w w:val="105"/>
          <w:sz w:val="27"/>
        </w:rPr>
        <w:t>точек.</w:t>
      </w:r>
      <w:r>
        <w:rPr>
          <w:i/>
          <w:spacing w:val="-19"/>
          <w:w w:val="105"/>
          <w:sz w:val="27"/>
        </w:rPr>
        <w:t> </w:t>
      </w:r>
      <w:r>
        <w:rPr>
          <w:i/>
          <w:w w:val="105"/>
          <w:sz w:val="27"/>
        </w:rPr>
        <w:t>С</w:t>
      </w:r>
      <w:r>
        <w:rPr>
          <w:i/>
          <w:spacing w:val="-18"/>
          <w:w w:val="105"/>
          <w:sz w:val="27"/>
        </w:rPr>
        <w:t> </w:t>
      </w:r>
      <w:r>
        <w:rPr>
          <w:i/>
          <w:w w:val="105"/>
          <w:sz w:val="27"/>
        </w:rPr>
        <w:t>учетом</w:t>
      </w:r>
      <w:r>
        <w:rPr>
          <w:i/>
          <w:spacing w:val="-18"/>
          <w:w w:val="105"/>
          <w:sz w:val="27"/>
        </w:rPr>
        <w:t> </w:t>
      </w:r>
      <w:r>
        <w:rPr>
          <w:i/>
          <w:w w:val="105"/>
          <w:sz w:val="27"/>
        </w:rPr>
        <w:t>результатов исследования ALMAZ [154], показавшего, что моксонидин повышает чувствительность тканей к инсулину у пациентов с избыточной</w:t>
        <w:tab/>
        <w:t>массой</w:t>
        <w:tab/>
        <w:t>тела,</w:t>
        <w:tab/>
        <w:t>мягкой</w:t>
        <w:tab/>
        <w:t>АГ</w:t>
        <w:tab/>
      </w:r>
      <w:r>
        <w:rPr>
          <w:i/>
          <w:spacing w:val="-15"/>
          <w:w w:val="105"/>
          <w:sz w:val="27"/>
        </w:rPr>
        <w:t>и </w:t>
      </w:r>
      <w:r>
        <w:rPr>
          <w:i/>
          <w:w w:val="105"/>
          <w:sz w:val="27"/>
        </w:rPr>
        <w:t>инсулинорезистентностью и нарушением углеводного обмена, назначение моксонидина возможно при ведении пациентов с АГ, ожирением и инсулинорезистентностью. Несмотря </w:t>
      </w:r>
      <w:r>
        <w:rPr>
          <w:i/>
          <w:spacing w:val="-6"/>
          <w:w w:val="105"/>
          <w:sz w:val="27"/>
        </w:rPr>
        <w:t>на </w:t>
      </w:r>
      <w:r>
        <w:rPr>
          <w:i/>
          <w:w w:val="105"/>
          <w:sz w:val="27"/>
        </w:rPr>
        <w:t>отсутствие в рекомендациях данного класса препаратов среди основных, нет оснований для отмены такой терапии пациентам, которые уже получают данную группу препаратов при</w:t>
      </w:r>
      <w:r>
        <w:rPr>
          <w:i/>
          <w:spacing w:val="-10"/>
          <w:w w:val="105"/>
          <w:sz w:val="27"/>
        </w:rPr>
        <w:t> </w:t>
      </w:r>
      <w:r>
        <w:rPr>
          <w:i/>
          <w:w w:val="105"/>
          <w:sz w:val="27"/>
        </w:rPr>
        <w:t>условии</w:t>
      </w:r>
      <w:r>
        <w:rPr>
          <w:i/>
          <w:spacing w:val="-10"/>
          <w:w w:val="105"/>
          <w:sz w:val="27"/>
        </w:rPr>
        <w:t> </w:t>
      </w:r>
      <w:r>
        <w:rPr>
          <w:i/>
          <w:w w:val="105"/>
          <w:sz w:val="27"/>
        </w:rPr>
        <w:t>их</w:t>
      </w:r>
      <w:r>
        <w:rPr>
          <w:i/>
          <w:spacing w:val="-10"/>
          <w:w w:val="105"/>
          <w:sz w:val="27"/>
        </w:rPr>
        <w:t> </w:t>
      </w:r>
      <w:r>
        <w:rPr>
          <w:i/>
          <w:w w:val="105"/>
          <w:sz w:val="27"/>
        </w:rPr>
        <w:t>хорошей</w:t>
      </w:r>
      <w:r>
        <w:rPr>
          <w:i/>
          <w:spacing w:val="-9"/>
          <w:w w:val="105"/>
          <w:sz w:val="27"/>
        </w:rPr>
        <w:t> </w:t>
      </w:r>
      <w:r>
        <w:rPr>
          <w:i/>
          <w:w w:val="105"/>
          <w:sz w:val="27"/>
        </w:rPr>
        <w:t>эффективности</w:t>
      </w:r>
      <w:r>
        <w:rPr>
          <w:i/>
          <w:spacing w:val="-10"/>
          <w:w w:val="105"/>
          <w:sz w:val="27"/>
        </w:rPr>
        <w:t> </w:t>
      </w:r>
      <w:r>
        <w:rPr>
          <w:i/>
          <w:w w:val="105"/>
          <w:sz w:val="27"/>
        </w:rPr>
        <w:t>и</w:t>
      </w:r>
      <w:r>
        <w:rPr>
          <w:i/>
          <w:spacing w:val="-10"/>
          <w:w w:val="105"/>
          <w:sz w:val="27"/>
        </w:rPr>
        <w:t> </w:t>
      </w:r>
      <w:r>
        <w:rPr>
          <w:i/>
          <w:w w:val="105"/>
          <w:sz w:val="27"/>
        </w:rPr>
        <w:t>переносимости.</w:t>
      </w:r>
    </w:p>
    <w:p>
      <w:pPr>
        <w:pStyle w:val="BodyText"/>
        <w:spacing w:line="256" w:lineRule="auto" w:before="276"/>
        <w:ind w:left="695" w:right="129"/>
      </w:pPr>
      <w:r>
        <w:rPr/>
        <w:pict>
          <v:shape style="position:absolute;margin-left:91.538452pt;margin-top:21.219467pt;width:4.55pt;height:4.5pt;mso-position-horizontal-relative:page;mso-position-vertical-relative:paragraph;z-index:15795712" coordorigin="1831,424" coordsize="91,90" path="m1888,514l1863,514,1853,510,1835,492,1831,482,1831,457,1835,446,1853,429,1863,424,1888,424,1899,429,1916,446,1921,457,1921,469,1921,482,1916,492,1899,510,1888,514xe" filled="true" fillcolor="#000000" stroked="false">
            <v:path arrowok="t"/>
            <v:fill type="solid"/>
            <w10:wrap type="none"/>
          </v:shape>
        </w:pict>
      </w:r>
      <w:r>
        <w:rPr/>
        <w:t>Моксонидин для лечения АГ рекомендуется пациентам с МС или</w:t>
      </w:r>
      <w:r>
        <w:rPr>
          <w:spacing w:val="-14"/>
        </w:rPr>
        <w:t> </w:t>
      </w:r>
      <w:r>
        <w:rPr/>
        <w:t>ожирением</w:t>
      </w:r>
      <w:r>
        <w:rPr>
          <w:spacing w:val="-13"/>
        </w:rPr>
        <w:t> </w:t>
      </w:r>
      <w:r>
        <w:rPr/>
        <w:t>в</w:t>
      </w:r>
      <w:r>
        <w:rPr>
          <w:spacing w:val="-14"/>
        </w:rPr>
        <w:t> </w:t>
      </w:r>
      <w:r>
        <w:rPr/>
        <w:t>комбинации</w:t>
      </w:r>
      <w:r>
        <w:rPr>
          <w:spacing w:val="-13"/>
        </w:rPr>
        <w:t> </w:t>
      </w:r>
      <w:r>
        <w:rPr/>
        <w:t>с</w:t>
      </w:r>
      <w:r>
        <w:rPr>
          <w:spacing w:val="-14"/>
        </w:rPr>
        <w:t> </w:t>
      </w:r>
      <w:r>
        <w:rPr/>
        <w:t>ИАПФ,</w:t>
      </w:r>
      <w:r>
        <w:rPr>
          <w:spacing w:val="-13"/>
        </w:rPr>
        <w:t> </w:t>
      </w:r>
      <w:r>
        <w:rPr>
          <w:spacing w:val="-5"/>
        </w:rPr>
        <w:t>БРА,</w:t>
      </w:r>
      <w:r>
        <w:rPr>
          <w:spacing w:val="-14"/>
        </w:rPr>
        <w:t> </w:t>
      </w:r>
      <w:r>
        <w:rPr/>
        <w:t>АК</w:t>
      </w:r>
      <w:r>
        <w:rPr>
          <w:spacing w:val="-13"/>
        </w:rPr>
        <w:t> </w:t>
      </w:r>
      <w:r>
        <w:rPr/>
        <w:t>и</w:t>
      </w:r>
      <w:r>
        <w:rPr>
          <w:spacing w:val="-13"/>
        </w:rPr>
        <w:t> </w:t>
      </w:r>
      <w:r>
        <w:rPr/>
        <w:t>диуретиками</w:t>
      </w:r>
    </w:p>
    <w:p>
      <w:pPr>
        <w:spacing w:after="0" w:line="256" w:lineRule="auto"/>
        <w:sectPr>
          <w:pgSz w:w="11900" w:h="16840"/>
          <w:pgMar w:top="0" w:bottom="0" w:left="1420" w:right="1520"/>
        </w:sectPr>
      </w:pPr>
    </w:p>
    <w:p>
      <w:pPr>
        <w:pStyle w:val="BodyText"/>
        <w:spacing w:line="256" w:lineRule="auto" w:before="16"/>
        <w:ind w:left="695" w:right="134"/>
      </w:pPr>
      <w:r>
        <w:rPr/>
        <w:t>при недостаточной эффективности классических комбинаций [154–156].</w:t>
      </w:r>
    </w:p>
    <w:p>
      <w:pPr>
        <w:pStyle w:val="Heading3"/>
        <w:jc w:val="both"/>
      </w:pPr>
      <w:r>
        <w:rPr>
          <w:w w:val="105"/>
        </w:rPr>
        <w:t>ЕОК/ЕОАГ нет (УУР B, УДД 3)</w:t>
      </w:r>
    </w:p>
    <w:p>
      <w:pPr>
        <w:tabs>
          <w:tab w:pos="3482" w:val="left" w:leader="none"/>
          <w:tab w:pos="4600" w:val="left" w:leader="none"/>
          <w:tab w:pos="7239" w:val="left" w:leader="none"/>
        </w:tabs>
        <w:spacing w:line="256" w:lineRule="auto" w:before="296"/>
        <w:ind w:left="695" w:right="129" w:firstLine="0"/>
        <w:jc w:val="both"/>
        <w:rPr>
          <w:i/>
          <w:sz w:val="27"/>
        </w:rPr>
      </w:pPr>
      <w:r>
        <w:rPr>
          <w:b/>
          <w:w w:val="105"/>
          <w:sz w:val="27"/>
        </w:rPr>
        <w:t>Комментарии.</w:t>
        <w:tab/>
      </w:r>
      <w:r>
        <w:rPr>
          <w:i/>
          <w:w w:val="105"/>
          <w:sz w:val="27"/>
        </w:rPr>
        <w:t>Не</w:t>
        <w:tab/>
        <w:t>рекомендовано</w:t>
        <w:tab/>
      </w:r>
      <w:r>
        <w:rPr>
          <w:i/>
          <w:spacing w:val="-2"/>
          <w:w w:val="105"/>
          <w:sz w:val="27"/>
        </w:rPr>
        <w:t>(абсолютное </w:t>
      </w:r>
      <w:r>
        <w:rPr>
          <w:i/>
          <w:w w:val="105"/>
          <w:sz w:val="27"/>
        </w:rPr>
        <w:t>противопоказание) назначение агонистов имидазолиновых рецепторов при синдроме слабости синусового узла, синоатриальной, атриовентрикулярной блокаде 2–3-й степени, выраженной брадикардии с </w:t>
      </w:r>
      <w:r>
        <w:rPr>
          <w:i/>
          <w:spacing w:val="-3"/>
          <w:w w:val="105"/>
          <w:sz w:val="27"/>
        </w:rPr>
        <w:t>ЧСС </w:t>
      </w:r>
      <w:r>
        <w:rPr>
          <w:i/>
          <w:w w:val="105"/>
          <w:sz w:val="27"/>
        </w:rPr>
        <w:t>менее 50 в минуту, </w:t>
      </w:r>
      <w:r>
        <w:rPr>
          <w:i/>
          <w:spacing w:val="-4"/>
          <w:w w:val="105"/>
          <w:sz w:val="27"/>
        </w:rPr>
        <w:t>ХСН </w:t>
      </w:r>
      <w:r>
        <w:rPr>
          <w:i/>
          <w:w w:val="105"/>
          <w:sz w:val="27"/>
        </w:rPr>
        <w:t>(III–IV ФК).</w:t>
      </w:r>
    </w:p>
    <w:p>
      <w:pPr>
        <w:spacing w:line="256" w:lineRule="auto" w:before="273"/>
        <w:ind w:left="695" w:right="128" w:firstLine="0"/>
        <w:jc w:val="both"/>
        <w:rPr>
          <w:i/>
          <w:sz w:val="27"/>
        </w:rPr>
      </w:pPr>
      <w:r>
        <w:rPr>
          <w:b/>
          <w:i/>
          <w:sz w:val="27"/>
        </w:rPr>
        <w:t>Альфа-адреноблокаторы</w:t>
      </w:r>
      <w:r>
        <w:rPr>
          <w:i/>
          <w:sz w:val="27"/>
        </w:rPr>
        <w:t>. Альфа-адреноблокаторы улучшают </w:t>
      </w:r>
      <w:r>
        <w:rPr>
          <w:i/>
          <w:sz w:val="27"/>
        </w:rPr>
        <w:t>углеводный и липидный обмены, повышают чувствительность тканей к инсулину, улучшают почечную гемодинамику. Ввиду того, что эти препараты  вызывают  постуральную  гипотензию, их с осторожностью применяют у пациентов с диабетической нейропатией и у пациентов старше 65 лет. Предпочтительным показанием для этого класса препаратов является наличие у пациентов с АГ доброкачественной гиперплазии предстательной железы.</w:t>
      </w:r>
    </w:p>
    <w:p>
      <w:pPr>
        <w:pStyle w:val="BodyText"/>
        <w:spacing w:line="256" w:lineRule="auto" w:before="274"/>
        <w:ind w:left="695" w:right="133"/>
      </w:pPr>
      <w:r>
        <w:rPr/>
        <w:pict>
          <v:shape style="position:absolute;margin-left:91.538452pt;margin-top:21.119463pt;width:4.55pt;height:4.5pt;mso-position-horizontal-relative:page;mso-position-vertical-relative:paragraph;z-index:15796224" coordorigin="1831,422" coordsize="91,90" path="m1888,512l1863,512,1853,508,1835,490,1831,480,1831,455,1835,444,1853,427,1863,422,1888,422,1899,427,1916,444,1921,455,1921,467,1921,480,1916,490,1899,508,1888,512xe" filled="true" fillcolor="#000000" stroked="false">
            <v:path arrowok="t"/>
            <v:fill type="solid"/>
            <w10:wrap type="none"/>
          </v:shape>
        </w:pict>
      </w:r>
      <w:r>
        <w:rPr/>
        <w:t>Альфа-адероноблокаторы рекомендуются при резистентной</w:t>
      </w:r>
      <w:r>
        <w:rPr>
          <w:spacing w:val="-34"/>
        </w:rPr>
        <w:t> </w:t>
      </w:r>
      <w:r>
        <w:rPr/>
        <w:t>АГ (подробнее в разделе 3.6.11.), в качестве четвертого препарата   к комбинации </w:t>
      </w:r>
      <w:r>
        <w:rPr>
          <w:spacing w:val="-3"/>
        </w:rPr>
        <w:t>ИАПФ/БРА, </w:t>
      </w:r>
      <w:r>
        <w:rPr/>
        <w:t>АК, диуретика (при непереносимости спиронолактона**)</w:t>
      </w:r>
      <w:r>
        <w:rPr>
          <w:spacing w:val="-1"/>
        </w:rPr>
        <w:t> </w:t>
      </w:r>
      <w:r>
        <w:rPr/>
        <w:t>[137].</w:t>
      </w:r>
    </w:p>
    <w:p>
      <w:pPr>
        <w:spacing w:before="271"/>
        <w:ind w:left="695" w:right="0" w:firstLine="0"/>
        <w:jc w:val="both"/>
        <w:rPr>
          <w:b/>
          <w:sz w:val="27"/>
        </w:rPr>
      </w:pPr>
      <w:r>
        <w:rPr>
          <w:b/>
          <w:w w:val="105"/>
          <w:sz w:val="27"/>
        </w:rPr>
        <w:t>ЕОК/ЕОАГ нет (УУР B, УДД 2)</w:t>
      </w:r>
    </w:p>
    <w:p>
      <w:pPr>
        <w:pStyle w:val="BodyText"/>
        <w:spacing w:before="0"/>
        <w:ind w:left="0"/>
        <w:jc w:val="left"/>
        <w:rPr>
          <w:b/>
          <w:sz w:val="36"/>
        </w:rPr>
      </w:pPr>
    </w:p>
    <w:p>
      <w:pPr>
        <w:pStyle w:val="Heading2"/>
        <w:numPr>
          <w:ilvl w:val="1"/>
          <w:numId w:val="6"/>
        </w:numPr>
        <w:tabs>
          <w:tab w:pos="1039" w:val="left" w:leader="none"/>
        </w:tabs>
        <w:spacing w:line="177" w:lineRule="auto" w:before="303" w:after="0"/>
        <w:ind w:left="380" w:right="2011" w:firstLine="0"/>
        <w:jc w:val="left"/>
      </w:pPr>
      <w:r>
        <w:rPr/>
        <w:t>Аппаратное лечение</w:t>
      </w:r>
      <w:r>
        <w:rPr>
          <w:spacing w:val="-25"/>
        </w:rPr>
        <w:t> </w:t>
      </w:r>
      <w:r>
        <w:rPr>
          <w:spacing w:val="-3"/>
        </w:rPr>
        <w:t>артериальной </w:t>
      </w:r>
      <w:r>
        <w:rPr/>
        <w:t>гипертензии</w:t>
      </w:r>
    </w:p>
    <w:p>
      <w:pPr>
        <w:pStyle w:val="BodyText"/>
        <w:spacing w:before="5"/>
        <w:ind w:left="0"/>
        <w:jc w:val="left"/>
        <w:rPr>
          <w:b/>
          <w:sz w:val="25"/>
        </w:rPr>
      </w:pPr>
    </w:p>
    <w:p>
      <w:pPr>
        <w:pStyle w:val="BodyText"/>
        <w:spacing w:line="256" w:lineRule="auto" w:before="97"/>
        <w:ind w:left="695" w:right="129"/>
      </w:pPr>
      <w:r>
        <w:rPr/>
        <w:pict>
          <v:shape style="position:absolute;margin-left:91.538452pt;margin-top:12.269471pt;width:4.55pt;height:4.5pt;mso-position-horizontal-relative:page;mso-position-vertical-relative:paragraph;z-index:15796736" coordorigin="1831,245" coordsize="91,90" path="m1888,335l1863,335,1853,331,1835,313,1831,303,1831,278,1835,267,1853,250,1863,245,1888,245,1899,250,1916,267,1921,278,1921,290,1921,303,1916,313,1899,331,1888,335xe" filled="true" fillcolor="#000000" stroked="false">
            <v:path arrowok="t"/>
            <v:fill type="solid"/>
            <w10:wrap type="none"/>
          </v:shape>
        </w:pict>
      </w:r>
      <w:r>
        <w:rPr/>
        <w:t>Денервация почечных артерий (ренальная денервация) не рекомендована для лечения артериальной гипертензии в рутинной практике, пока не будет доступно больше данных относительно их эффективности и безопасности [157, 158].</w:t>
      </w:r>
    </w:p>
    <w:p>
      <w:pPr>
        <w:pStyle w:val="Heading3"/>
        <w:spacing w:before="272"/>
        <w:jc w:val="both"/>
      </w:pPr>
      <w:r>
        <w:rPr>
          <w:w w:val="105"/>
        </w:rPr>
        <w:t>ЕОК/ЕОАГ нет (УУР С, УДД 5)</w:t>
      </w:r>
    </w:p>
    <w:p>
      <w:pPr>
        <w:spacing w:line="256" w:lineRule="auto" w:before="296"/>
        <w:ind w:left="695" w:right="133" w:firstLine="0"/>
        <w:jc w:val="both"/>
        <w:rPr>
          <w:i/>
          <w:sz w:val="27"/>
        </w:rPr>
      </w:pPr>
      <w:r>
        <w:rPr>
          <w:b/>
          <w:w w:val="110"/>
          <w:sz w:val="27"/>
        </w:rPr>
        <w:t>Комментарии. </w:t>
      </w:r>
      <w:r>
        <w:rPr>
          <w:i/>
          <w:w w:val="110"/>
          <w:sz w:val="27"/>
        </w:rPr>
        <w:t>Денервация почечных артерий может </w:t>
      </w:r>
      <w:r>
        <w:rPr>
          <w:i/>
          <w:w w:val="110"/>
          <w:sz w:val="27"/>
        </w:rPr>
        <w:t>выполнятьсядля предотвращения эффектов симпатической нервной системы в отношении почечного сосудистого сопротивления, высвобождения ренина и реабсорбции натрия [159]. Для лечения пациентов с резистентной АГ были</w:t>
      </w:r>
    </w:p>
    <w:p>
      <w:pPr>
        <w:spacing w:after="0" w:line="256" w:lineRule="auto"/>
        <w:jc w:val="both"/>
        <w:rPr>
          <w:sz w:val="27"/>
        </w:rPr>
        <w:sectPr>
          <w:pgSz w:w="11900" w:h="16840"/>
          <w:pgMar w:top="0" w:bottom="0" w:left="1420" w:right="1520"/>
        </w:sectPr>
      </w:pPr>
    </w:p>
    <w:p>
      <w:pPr>
        <w:spacing w:line="256" w:lineRule="auto" w:before="16"/>
        <w:ind w:left="695" w:right="130" w:firstLine="0"/>
        <w:jc w:val="both"/>
        <w:rPr>
          <w:i/>
          <w:sz w:val="27"/>
        </w:rPr>
      </w:pPr>
      <w:r>
        <w:rPr>
          <w:i/>
          <w:w w:val="105"/>
          <w:sz w:val="27"/>
        </w:rPr>
        <w:t>предложены минимально инвазивные методы катетерной </w:t>
      </w:r>
      <w:r>
        <w:rPr>
          <w:i/>
          <w:w w:val="105"/>
          <w:sz w:val="27"/>
        </w:rPr>
        <w:t>денервации почек с помощью радиочастотной стимуляции, ультразвука или периваскулярной инъекции нейротоксичных веществ, например, этилового спирта [160]. Однако клинические данные относительно антигипертензивной эффективности ренальной денервации неоднозначны и требуют дальнейшего изучения.</w:t>
      </w:r>
    </w:p>
    <w:p>
      <w:pPr>
        <w:pStyle w:val="BodyText"/>
        <w:spacing w:before="0"/>
        <w:ind w:left="0"/>
        <w:jc w:val="left"/>
        <w:rPr>
          <w:i/>
          <w:sz w:val="36"/>
        </w:rPr>
      </w:pPr>
    </w:p>
    <w:p>
      <w:pPr>
        <w:pStyle w:val="Heading2"/>
        <w:numPr>
          <w:ilvl w:val="1"/>
          <w:numId w:val="6"/>
        </w:numPr>
        <w:tabs>
          <w:tab w:pos="1039" w:val="left" w:leader="none"/>
        </w:tabs>
        <w:spacing w:line="177" w:lineRule="auto" w:before="280" w:after="0"/>
        <w:ind w:left="380" w:right="1565" w:firstLine="0"/>
        <w:jc w:val="left"/>
      </w:pPr>
      <w:r>
        <w:rPr/>
        <w:t>Лечение артериальной гипертензии </w:t>
      </w:r>
      <w:r>
        <w:rPr>
          <w:spacing w:val="-12"/>
        </w:rPr>
        <w:t>в </w:t>
      </w:r>
      <w:r>
        <w:rPr>
          <w:spacing w:val="-3"/>
        </w:rPr>
        <w:t>отдельных </w:t>
      </w:r>
      <w:r>
        <w:rPr/>
        <w:t>клинических</w:t>
      </w:r>
      <w:r>
        <w:rPr>
          <w:spacing w:val="17"/>
        </w:rPr>
        <w:t> </w:t>
      </w:r>
      <w:r>
        <w:rPr/>
        <w:t>ситуациях</w:t>
      </w:r>
    </w:p>
    <w:p>
      <w:pPr>
        <w:pStyle w:val="BodyText"/>
        <w:spacing w:before="7"/>
        <w:ind w:left="0"/>
        <w:jc w:val="left"/>
        <w:rPr>
          <w:b/>
          <w:sz w:val="32"/>
        </w:rPr>
      </w:pPr>
    </w:p>
    <w:p>
      <w:pPr>
        <w:pStyle w:val="Heading3"/>
        <w:numPr>
          <w:ilvl w:val="2"/>
          <w:numId w:val="6"/>
        </w:numPr>
        <w:tabs>
          <w:tab w:pos="1467" w:val="left" w:leader="none"/>
        </w:tabs>
        <w:spacing w:line="240" w:lineRule="auto" w:before="1" w:after="0"/>
        <w:ind w:left="1466" w:right="0" w:hanging="772"/>
        <w:jc w:val="left"/>
      </w:pPr>
      <w:r>
        <w:rPr/>
        <w:t>Артериальная гипертензия и сахарный</w:t>
      </w:r>
      <w:r>
        <w:rPr>
          <w:spacing w:val="18"/>
        </w:rPr>
        <w:t> </w:t>
      </w:r>
      <w:r>
        <w:rPr/>
        <w:t>диабет</w:t>
      </w:r>
    </w:p>
    <w:p>
      <w:pPr>
        <w:pStyle w:val="BodyText"/>
        <w:spacing w:line="256" w:lineRule="auto" w:before="296"/>
        <w:ind w:left="695" w:right="131"/>
      </w:pPr>
      <w:r>
        <w:rPr/>
        <w:pict>
          <v:shape style="position:absolute;margin-left:91.538452pt;margin-top:22.219461pt;width:4.55pt;height:4.5pt;mso-position-horizontal-relative:page;mso-position-vertical-relative:paragraph;z-index:15797248"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в сочетании с </w:t>
      </w:r>
      <w:r>
        <w:rPr>
          <w:spacing w:val="-4"/>
        </w:rPr>
        <w:t>СД</w:t>
      </w:r>
      <w:r>
        <w:rPr>
          <w:spacing w:val="59"/>
        </w:rPr>
        <w:t> </w:t>
      </w:r>
      <w:r>
        <w:rPr/>
        <w:t>рекомендуется начинать антигипертензивную терапию при значениях АД, измеренного в медицинском учреждении </w:t>
      </w:r>
      <w:r>
        <w:rPr>
          <w:rFonts w:ascii="Times New Roman" w:hAnsi="Times New Roman"/>
        </w:rPr>
        <w:t>≥</w:t>
      </w:r>
      <w:r>
        <w:rPr/>
        <w:t>140/90 мм рт. ст. </w:t>
      </w:r>
      <w:r>
        <w:rPr>
          <w:spacing w:val="-6"/>
        </w:rPr>
        <w:t>[107, </w:t>
      </w:r>
      <w:r>
        <w:rPr>
          <w:spacing w:val="-7"/>
        </w:rPr>
        <w:t>157, </w:t>
      </w:r>
      <w:r>
        <w:rPr/>
        <w:t>158]</w:t>
      </w:r>
    </w:p>
    <w:p>
      <w:pPr>
        <w:pStyle w:val="Heading3"/>
      </w:pPr>
      <w:r>
        <w:rPr>
          <w:w w:val="105"/>
        </w:rPr>
        <w:t>ЕОК/ЕОАГ IА (УУР А, УДД 1)</w:t>
      </w:r>
    </w:p>
    <w:p>
      <w:pPr>
        <w:pStyle w:val="BodyText"/>
        <w:spacing w:line="256" w:lineRule="auto" w:before="296"/>
        <w:ind w:left="695" w:right="130"/>
      </w:pPr>
      <w:r>
        <w:rPr/>
        <w:pict>
          <v:shape style="position:absolute;margin-left:91.538452pt;margin-top:22.219469pt;width:4.55pt;height:4.5pt;mso-position-horizontal-relative:page;mso-position-vertical-relative:paragraph;z-index:15797760"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в сочетании с СД, получающим АГП, в связи с доказанными преимуществами в снижении СС риска рекомендуется:</w:t>
      </w:r>
    </w:p>
    <w:p>
      <w:pPr>
        <w:pStyle w:val="ListParagraph"/>
        <w:numPr>
          <w:ilvl w:val="0"/>
          <w:numId w:val="7"/>
        </w:numPr>
        <w:tabs>
          <w:tab w:pos="887" w:val="left" w:leader="none"/>
        </w:tabs>
        <w:spacing w:line="240" w:lineRule="auto" w:before="271" w:after="0"/>
        <w:ind w:left="886" w:right="0" w:hanging="192"/>
        <w:jc w:val="left"/>
        <w:rPr>
          <w:sz w:val="27"/>
        </w:rPr>
      </w:pPr>
      <w:r>
        <w:rPr>
          <w:sz w:val="27"/>
        </w:rPr>
        <w:t>в качестве целевого уровня снижать </w:t>
      </w:r>
      <w:r>
        <w:rPr>
          <w:spacing w:val="-3"/>
          <w:sz w:val="27"/>
        </w:rPr>
        <w:t>САД </w:t>
      </w:r>
      <w:r>
        <w:rPr>
          <w:sz w:val="27"/>
        </w:rPr>
        <w:t>у пациентов</w:t>
      </w:r>
      <w:r>
        <w:rPr>
          <w:spacing w:val="67"/>
          <w:sz w:val="27"/>
        </w:rPr>
        <w:t> </w:t>
      </w:r>
      <w:r>
        <w:rPr>
          <w:spacing w:val="-3"/>
          <w:sz w:val="27"/>
        </w:rPr>
        <w:t>моложе</w:t>
      </w:r>
    </w:p>
    <w:p>
      <w:pPr>
        <w:pStyle w:val="BodyText"/>
        <w:spacing w:line="256" w:lineRule="auto" w:before="26"/>
        <w:ind w:left="695"/>
        <w:jc w:val="left"/>
      </w:pPr>
      <w:r>
        <w:rPr/>
        <w:t>65 лет до значений 130 мм рт. ст. и ниже при хорошей переносимости, но не ниже 120 мм рт. ст. [107, 157, 159]</w:t>
      </w:r>
    </w:p>
    <w:p>
      <w:pPr>
        <w:pStyle w:val="Heading3"/>
      </w:pPr>
      <w:r>
        <w:rPr>
          <w:w w:val="105"/>
        </w:rPr>
        <w:t>ЕОК/ЕОАГ IА (УУР А, УДД 1)</w:t>
      </w:r>
    </w:p>
    <w:p>
      <w:pPr>
        <w:pStyle w:val="ListParagraph"/>
        <w:numPr>
          <w:ilvl w:val="0"/>
          <w:numId w:val="7"/>
        </w:numPr>
        <w:tabs>
          <w:tab w:pos="935" w:val="left" w:leader="none"/>
        </w:tabs>
        <w:spacing w:line="256" w:lineRule="auto" w:before="296" w:after="0"/>
        <w:ind w:left="695" w:right="140" w:firstLine="0"/>
        <w:jc w:val="both"/>
        <w:rPr>
          <w:sz w:val="27"/>
        </w:rPr>
      </w:pPr>
      <w:r>
        <w:rPr>
          <w:w w:val="105"/>
          <w:sz w:val="27"/>
        </w:rPr>
        <w:t>у пожилых пациентов (</w:t>
      </w:r>
      <w:r>
        <w:rPr>
          <w:rFonts w:ascii="Times New Roman" w:hAnsi="Times New Roman"/>
          <w:w w:val="105"/>
          <w:sz w:val="27"/>
        </w:rPr>
        <w:t>≥</w:t>
      </w:r>
      <w:r>
        <w:rPr>
          <w:w w:val="105"/>
          <w:sz w:val="27"/>
        </w:rPr>
        <w:t>65 лет) с </w:t>
      </w:r>
      <w:r>
        <w:rPr>
          <w:spacing w:val="-4"/>
          <w:w w:val="105"/>
          <w:sz w:val="27"/>
        </w:rPr>
        <w:t>СД </w:t>
      </w:r>
      <w:r>
        <w:rPr>
          <w:w w:val="105"/>
          <w:sz w:val="27"/>
        </w:rPr>
        <w:t>целевой уровень </w:t>
      </w:r>
      <w:r>
        <w:rPr>
          <w:spacing w:val="-3"/>
          <w:w w:val="105"/>
          <w:sz w:val="27"/>
        </w:rPr>
        <w:t>САД </w:t>
      </w:r>
      <w:r>
        <w:rPr>
          <w:w w:val="105"/>
          <w:sz w:val="27"/>
        </w:rPr>
        <w:t>составляет 130–139 мм рт. ст. </w:t>
      </w:r>
      <w:r>
        <w:rPr>
          <w:spacing w:val="-6"/>
          <w:w w:val="105"/>
          <w:sz w:val="27"/>
        </w:rPr>
        <w:t>[107, </w:t>
      </w:r>
      <w:r>
        <w:rPr>
          <w:spacing w:val="-7"/>
          <w:w w:val="105"/>
          <w:sz w:val="27"/>
        </w:rPr>
        <w:t>157,</w:t>
      </w:r>
      <w:r>
        <w:rPr>
          <w:spacing w:val="-36"/>
          <w:w w:val="105"/>
          <w:sz w:val="27"/>
        </w:rPr>
        <w:t> </w:t>
      </w:r>
      <w:r>
        <w:rPr>
          <w:w w:val="105"/>
          <w:sz w:val="27"/>
        </w:rPr>
        <w:t>160]</w:t>
      </w:r>
    </w:p>
    <w:p>
      <w:pPr>
        <w:pStyle w:val="Heading3"/>
      </w:pPr>
      <w:r>
        <w:rPr>
          <w:w w:val="105"/>
        </w:rPr>
        <w:t>ЕОК/ЕОАГ IА (УУР А, УДД 1)</w:t>
      </w:r>
    </w:p>
    <w:p>
      <w:pPr>
        <w:pStyle w:val="ListParagraph"/>
        <w:numPr>
          <w:ilvl w:val="0"/>
          <w:numId w:val="7"/>
        </w:numPr>
        <w:tabs>
          <w:tab w:pos="905" w:val="left" w:leader="none"/>
        </w:tabs>
        <w:spacing w:line="240" w:lineRule="auto" w:before="296" w:after="0"/>
        <w:ind w:left="904" w:right="0" w:hanging="210"/>
        <w:jc w:val="left"/>
        <w:rPr>
          <w:sz w:val="27"/>
        </w:rPr>
      </w:pPr>
      <w:r>
        <w:rPr>
          <w:sz w:val="27"/>
        </w:rPr>
        <w:t>целевой</w:t>
      </w:r>
      <w:r>
        <w:rPr>
          <w:spacing w:val="23"/>
          <w:sz w:val="27"/>
        </w:rPr>
        <w:t> </w:t>
      </w:r>
      <w:r>
        <w:rPr>
          <w:sz w:val="27"/>
        </w:rPr>
        <w:t>уровень</w:t>
      </w:r>
      <w:r>
        <w:rPr>
          <w:spacing w:val="24"/>
          <w:sz w:val="27"/>
        </w:rPr>
        <w:t> </w:t>
      </w:r>
      <w:r>
        <w:rPr>
          <w:sz w:val="27"/>
        </w:rPr>
        <w:t>ДАД</w:t>
      </w:r>
      <w:r>
        <w:rPr>
          <w:spacing w:val="24"/>
          <w:sz w:val="27"/>
        </w:rPr>
        <w:t> </w:t>
      </w:r>
      <w:r>
        <w:rPr>
          <w:sz w:val="27"/>
        </w:rPr>
        <w:t>у</w:t>
      </w:r>
      <w:r>
        <w:rPr>
          <w:spacing w:val="24"/>
          <w:sz w:val="27"/>
        </w:rPr>
        <w:t> </w:t>
      </w:r>
      <w:r>
        <w:rPr>
          <w:spacing w:val="-3"/>
          <w:sz w:val="27"/>
        </w:rPr>
        <w:t>всех</w:t>
      </w:r>
      <w:r>
        <w:rPr>
          <w:spacing w:val="24"/>
          <w:sz w:val="27"/>
        </w:rPr>
        <w:t> </w:t>
      </w:r>
      <w:r>
        <w:rPr>
          <w:sz w:val="27"/>
        </w:rPr>
        <w:t>пациентов</w:t>
      </w:r>
      <w:r>
        <w:rPr>
          <w:spacing w:val="24"/>
          <w:sz w:val="27"/>
        </w:rPr>
        <w:t> </w:t>
      </w:r>
      <w:r>
        <w:rPr>
          <w:sz w:val="27"/>
        </w:rPr>
        <w:t>с</w:t>
      </w:r>
      <w:r>
        <w:rPr>
          <w:spacing w:val="24"/>
          <w:sz w:val="27"/>
        </w:rPr>
        <w:t> </w:t>
      </w:r>
      <w:r>
        <w:rPr>
          <w:sz w:val="27"/>
        </w:rPr>
        <w:t>АГ</w:t>
      </w:r>
      <w:r>
        <w:rPr>
          <w:spacing w:val="24"/>
          <w:sz w:val="27"/>
        </w:rPr>
        <w:t> </w:t>
      </w:r>
      <w:r>
        <w:rPr>
          <w:sz w:val="27"/>
        </w:rPr>
        <w:t>и</w:t>
      </w:r>
      <w:r>
        <w:rPr>
          <w:spacing w:val="24"/>
          <w:sz w:val="27"/>
        </w:rPr>
        <w:t> </w:t>
      </w:r>
      <w:r>
        <w:rPr>
          <w:spacing w:val="-4"/>
          <w:sz w:val="27"/>
        </w:rPr>
        <w:t>СД</w:t>
      </w:r>
      <w:r>
        <w:rPr>
          <w:spacing w:val="23"/>
          <w:sz w:val="27"/>
        </w:rPr>
        <w:t> </w:t>
      </w:r>
      <w:r>
        <w:rPr>
          <w:sz w:val="27"/>
        </w:rPr>
        <w:t>составляет</w:t>
      </w:r>
    </w:p>
    <w:p>
      <w:pPr>
        <w:pStyle w:val="BodyText"/>
        <w:spacing w:before="26"/>
        <w:ind w:left="695"/>
        <w:jc w:val="left"/>
      </w:pPr>
      <w:r>
        <w:rPr>
          <w:w w:val="105"/>
        </w:rPr>
        <w:t>&lt;80 мм рт. ст., но не ниже 70 мм рт. ст. [21, 22].</w:t>
      </w:r>
    </w:p>
    <w:p>
      <w:pPr>
        <w:pStyle w:val="Heading3"/>
        <w:spacing w:before="296"/>
      </w:pPr>
      <w:r>
        <w:rPr>
          <w:w w:val="105"/>
        </w:rPr>
        <w:t>ЕОК/ЕОАГ IС (УУР С, УДД 5)</w:t>
      </w:r>
    </w:p>
    <w:p>
      <w:pPr>
        <w:pStyle w:val="BodyText"/>
        <w:spacing w:line="256" w:lineRule="auto" w:before="296"/>
        <w:ind w:left="695" w:right="129"/>
      </w:pPr>
      <w:r>
        <w:rPr/>
        <w:pict>
          <v:shape style="position:absolute;margin-left:91.538452pt;margin-top:22.219465pt;width:4.55pt;height:4.5pt;mso-position-horizontal-relative:page;mso-position-vertical-relative:paragraph;z-index:15798272"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Всем пациентам с АГ и СД рекомендуется начинать лечение с комбинации блокатора РААС с АК или тиазидным/ тиазидоподобным диуретиком в связи с наилучшим влиянием этих комбинаций на частоту достижения целевого АД и снижение СС риска, а также нефропротективным потенциалом блокаторов РААС [106–107, 165].</w:t>
      </w:r>
    </w:p>
    <w:p>
      <w:pPr>
        <w:spacing w:after="0" w:line="256" w:lineRule="auto"/>
        <w:sectPr>
          <w:pgSz w:w="11900" w:h="16840"/>
          <w:pgMar w:top="0" w:bottom="0" w:left="1420" w:right="1520"/>
        </w:sectPr>
      </w:pPr>
    </w:p>
    <w:p>
      <w:pPr>
        <w:pStyle w:val="Heading3"/>
        <w:spacing w:before="16"/>
      </w:pPr>
      <w:r>
        <w:rPr>
          <w:w w:val="105"/>
        </w:rPr>
        <w:t>ЕОК/ЕОАГ IА (УУР А, УДД 2)</w:t>
      </w:r>
    </w:p>
    <w:p>
      <w:pPr>
        <w:spacing w:line="256" w:lineRule="auto" w:before="296"/>
        <w:ind w:left="695" w:right="130" w:firstLine="0"/>
        <w:jc w:val="both"/>
        <w:rPr>
          <w:i/>
          <w:sz w:val="27"/>
        </w:rPr>
      </w:pPr>
      <w:r>
        <w:rPr>
          <w:b/>
          <w:w w:val="105"/>
          <w:sz w:val="27"/>
        </w:rPr>
        <w:t>Комментарии. </w:t>
      </w:r>
      <w:r>
        <w:rPr>
          <w:i/>
          <w:w w:val="105"/>
          <w:sz w:val="27"/>
        </w:rPr>
        <w:t>Сочетание СД и АГ заслуживает особого </w:t>
      </w:r>
      <w:r>
        <w:rPr>
          <w:i/>
          <w:w w:val="105"/>
          <w:sz w:val="27"/>
        </w:rPr>
        <w:t>внимания, поскольку оба заболевания существенно увеличивают риск развития микро- и макрососудистых поражений, включая диабетическую нефропатию, инсульт, ИБС, ИМ, ХСН, атеросклероз периферических артерий, и способствуют увеличению СС смертности. При лечении пациентов АГ с СД необходимо контролировать все имеющиеся у пациента ФР, включая дислипидемию (назначение гиполипидемической терапии). Развитие диабетической нефропатии сопровождается очень высоким риском развития ССО, при этом необходимы контроль АД и уменьшение протеинурии до минимально возможных значений.</w:t>
      </w:r>
    </w:p>
    <w:p>
      <w:pPr>
        <w:pStyle w:val="Heading3"/>
        <w:numPr>
          <w:ilvl w:val="2"/>
          <w:numId w:val="6"/>
        </w:numPr>
        <w:tabs>
          <w:tab w:pos="1545" w:val="left" w:leader="none"/>
        </w:tabs>
        <w:spacing w:line="256" w:lineRule="auto" w:before="275" w:after="0"/>
        <w:ind w:left="695" w:right="129" w:firstLine="0"/>
        <w:jc w:val="left"/>
      </w:pPr>
      <w:r>
        <w:rPr/>
        <w:t>Артериальная гипертензия и хроническая болезнь почек</w:t>
      </w:r>
    </w:p>
    <w:p>
      <w:pPr>
        <w:pStyle w:val="BodyText"/>
        <w:spacing w:line="256" w:lineRule="auto" w:before="271"/>
        <w:ind w:left="695" w:right="128"/>
      </w:pPr>
      <w:r>
        <w:rPr/>
        <w:pict>
          <v:shape style="position:absolute;margin-left:91.538452pt;margin-top:20.969461pt;width:4.55pt;height:4.5pt;mso-position-horizontal-relative:page;mso-position-vertical-relative:paragraph;z-index:15798784"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Пациентам с ХБП рекомендуется начинать лечение (изменение образа жизни и лекарственную терапию) вне зависимости от наличия сахарного диабета при уровне АД, измеренного в медицинском учреждении, </w:t>
      </w:r>
      <w:r>
        <w:rPr>
          <w:rFonts w:ascii="Times New Roman" w:hAnsi="Times New Roman"/>
        </w:rPr>
        <w:t>≥</w:t>
      </w:r>
      <w:r>
        <w:rPr/>
        <w:t>140/90 мм рт. ст. (Приложение Б3) [165, 166].</w:t>
      </w:r>
    </w:p>
    <w:p>
      <w:pPr>
        <w:pStyle w:val="Heading3"/>
        <w:spacing w:before="272"/>
      </w:pPr>
      <w:r>
        <w:rPr>
          <w:w w:val="105"/>
        </w:rPr>
        <w:t>ЕОК/ЕОАГIА (УУР С, УДД 4)</w:t>
      </w:r>
    </w:p>
    <w:p>
      <w:pPr>
        <w:pStyle w:val="BodyText"/>
        <w:spacing w:line="256" w:lineRule="auto" w:before="296"/>
        <w:ind w:left="695" w:right="130"/>
      </w:pPr>
      <w:r>
        <w:rPr/>
        <w:pict>
          <v:shape style="position:absolute;margin-left:91.538452pt;margin-top:22.219473pt;width:4.55pt;height:4.5pt;mso-position-horizontal-relative:page;mso-position-vertical-relative:paragraph;z-index:15799296"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w w:val="105"/>
        </w:rPr>
        <w:t>Пациентам с диабетической и недиабетической ХБП рекомендуется снижать </w:t>
      </w:r>
      <w:r>
        <w:rPr>
          <w:spacing w:val="-3"/>
          <w:w w:val="105"/>
        </w:rPr>
        <w:t>САД </w:t>
      </w:r>
      <w:r>
        <w:rPr>
          <w:w w:val="105"/>
        </w:rPr>
        <w:t>до значений 130–139 мм рт. ст.</w:t>
      </w:r>
      <w:r>
        <w:rPr>
          <w:spacing w:val="-36"/>
          <w:w w:val="105"/>
        </w:rPr>
        <w:t> </w:t>
      </w:r>
      <w:r>
        <w:rPr>
          <w:w w:val="105"/>
        </w:rPr>
        <w:t>в связи с доказанными преимуществами в снижении риска сердечно-сосудистых событий</w:t>
      </w:r>
      <w:r>
        <w:rPr>
          <w:spacing w:val="-17"/>
          <w:w w:val="105"/>
        </w:rPr>
        <w:t> </w:t>
      </w:r>
      <w:r>
        <w:rPr>
          <w:w w:val="105"/>
        </w:rPr>
        <w:t>[168].</w:t>
      </w:r>
    </w:p>
    <w:p>
      <w:pPr>
        <w:pStyle w:val="Heading3"/>
        <w:spacing w:before="272"/>
      </w:pPr>
      <w:r>
        <w:rPr>
          <w:w w:val="105"/>
        </w:rPr>
        <w:t>ЕОК/ЕОАГ IА (УУР С, УДД 4)</w:t>
      </w:r>
    </w:p>
    <w:p>
      <w:pPr>
        <w:spacing w:line="256" w:lineRule="auto" w:before="296"/>
        <w:ind w:left="695" w:right="133" w:firstLine="0"/>
        <w:jc w:val="both"/>
        <w:rPr>
          <w:i/>
          <w:sz w:val="27"/>
        </w:rPr>
      </w:pPr>
      <w:r>
        <w:rPr>
          <w:b/>
          <w:w w:val="105"/>
          <w:sz w:val="27"/>
        </w:rPr>
        <w:t>Комментарии. </w:t>
      </w:r>
      <w:r>
        <w:rPr>
          <w:i/>
          <w:w w:val="105"/>
          <w:sz w:val="27"/>
        </w:rPr>
        <w:t>Следует назначать индивидуализированную </w:t>
      </w:r>
      <w:r>
        <w:rPr>
          <w:i/>
          <w:w w:val="105"/>
          <w:sz w:val="27"/>
        </w:rPr>
        <w:t>терапию в зависимости от ее переносимости и влияния на функцию почек и уровень электролитов</w:t>
      </w:r>
    </w:p>
    <w:p>
      <w:pPr>
        <w:pStyle w:val="BodyText"/>
        <w:spacing w:line="256" w:lineRule="auto" w:before="271"/>
        <w:ind w:left="695" w:right="128"/>
      </w:pPr>
      <w:r>
        <w:rPr/>
        <w:pict>
          <v:shape style="position:absolute;margin-left:91.538452pt;margin-top:20.969473pt;width:4.55pt;height:4.5pt;mso-position-horizontal-relative:page;mso-position-vertical-relative:paragraph;z-index:15799808"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Блокаторы РААС рекомендуются в качестве компонента терапевтической стратегии при наличии альбуминурии высокой степени или протеинурии, как более эффективные препараты для уменьшения выраженности альбуминурии [167, 168].</w:t>
      </w:r>
    </w:p>
    <w:p>
      <w:pPr>
        <w:pStyle w:val="Heading3"/>
        <w:spacing w:before="273"/>
      </w:pPr>
      <w:r>
        <w:rPr>
          <w:w w:val="105"/>
        </w:rPr>
        <w:t>ЕОК/ЕОАГ IА (УУР А, УДД 1)</w:t>
      </w:r>
    </w:p>
    <w:p>
      <w:pPr>
        <w:spacing w:after="0"/>
        <w:sectPr>
          <w:pgSz w:w="11900" w:h="16840"/>
          <w:pgMar w:top="0" w:bottom="280" w:left="1420" w:right="1520"/>
        </w:sectPr>
      </w:pPr>
    </w:p>
    <w:p>
      <w:pPr>
        <w:pStyle w:val="BodyText"/>
        <w:spacing w:line="256" w:lineRule="auto" w:before="16"/>
        <w:ind w:left="695" w:right="134"/>
      </w:pPr>
      <w:r>
        <w:rPr/>
        <w:pict>
          <v:shape style="position:absolute;margin-left:91.538452pt;margin-top:8.219468pt;width:4.55pt;height:4.5pt;mso-position-horizontal-relative:page;mso-position-vertical-relative:paragraph;z-index:15800320" coordorigin="1831,164" coordsize="91,90" path="m1888,254l1863,254,1853,250,1835,232,1831,222,1831,197,1835,186,1853,169,1863,164,1888,164,1899,169,1916,186,1921,197,1921,209,1921,222,1916,232,1899,250,1888,254xe" filled="true" fillcolor="#000000" stroked="false">
            <v:path arrowok="t"/>
            <v:fill type="solid"/>
            <w10:wrap type="none"/>
          </v:shape>
        </w:pict>
      </w:r>
      <w:r>
        <w:rPr/>
        <w:t>Всем пациентам с АГ и ХБП в качестве начальной терапии рекомендуется комбинация блокатора РААС с АК или диуретиком в связи с наилучшим влиянием данных комбинаций на частоту достижения целевого АД и снижение СС риска [165].</w:t>
      </w:r>
    </w:p>
    <w:p>
      <w:pPr>
        <w:pStyle w:val="Heading3"/>
        <w:spacing w:before="273"/>
        <w:jc w:val="both"/>
      </w:pPr>
      <w:r>
        <w:rPr>
          <w:w w:val="105"/>
        </w:rPr>
        <w:t>ЕОК/ЕОАГ IА (УУР А, УДД 2)</w:t>
      </w:r>
    </w:p>
    <w:p>
      <w:pPr>
        <w:spacing w:line="256" w:lineRule="auto" w:before="296"/>
        <w:ind w:left="695" w:right="131" w:firstLine="0"/>
        <w:jc w:val="both"/>
        <w:rPr>
          <w:i/>
          <w:sz w:val="27"/>
        </w:rPr>
      </w:pPr>
      <w:r>
        <w:rPr>
          <w:b/>
          <w:w w:val="110"/>
          <w:sz w:val="27"/>
        </w:rPr>
        <w:t>Комментарии. </w:t>
      </w:r>
      <w:r>
        <w:rPr>
          <w:i/>
          <w:w w:val="110"/>
          <w:sz w:val="27"/>
        </w:rPr>
        <w:t>АГ является важнейшим фактором риска </w:t>
      </w:r>
      <w:r>
        <w:rPr>
          <w:i/>
          <w:w w:val="110"/>
          <w:sz w:val="27"/>
        </w:rPr>
        <w:t>развития</w:t>
      </w:r>
      <w:r>
        <w:rPr>
          <w:i/>
          <w:spacing w:val="-14"/>
          <w:w w:val="110"/>
          <w:sz w:val="27"/>
        </w:rPr>
        <w:t> </w:t>
      </w:r>
      <w:r>
        <w:rPr>
          <w:i/>
          <w:w w:val="110"/>
          <w:sz w:val="27"/>
        </w:rPr>
        <w:t>и</w:t>
      </w:r>
      <w:r>
        <w:rPr>
          <w:i/>
          <w:spacing w:val="-13"/>
          <w:w w:val="110"/>
          <w:sz w:val="27"/>
        </w:rPr>
        <w:t> </w:t>
      </w:r>
      <w:r>
        <w:rPr>
          <w:i/>
          <w:w w:val="110"/>
          <w:sz w:val="27"/>
        </w:rPr>
        <w:t>прогрессирования</w:t>
      </w:r>
      <w:r>
        <w:rPr>
          <w:i/>
          <w:spacing w:val="-14"/>
          <w:w w:val="110"/>
          <w:sz w:val="27"/>
        </w:rPr>
        <w:t> </w:t>
      </w:r>
      <w:r>
        <w:rPr>
          <w:i/>
          <w:w w:val="110"/>
          <w:sz w:val="27"/>
        </w:rPr>
        <w:t>хронической</w:t>
      </w:r>
      <w:r>
        <w:rPr>
          <w:i/>
          <w:spacing w:val="-13"/>
          <w:w w:val="110"/>
          <w:sz w:val="27"/>
        </w:rPr>
        <w:t> </w:t>
      </w:r>
      <w:r>
        <w:rPr>
          <w:i/>
          <w:w w:val="110"/>
          <w:sz w:val="27"/>
        </w:rPr>
        <w:t>болезни</w:t>
      </w:r>
      <w:r>
        <w:rPr>
          <w:i/>
          <w:spacing w:val="-14"/>
          <w:w w:val="110"/>
          <w:sz w:val="27"/>
        </w:rPr>
        <w:t> </w:t>
      </w:r>
      <w:r>
        <w:rPr>
          <w:i/>
          <w:w w:val="110"/>
          <w:sz w:val="27"/>
        </w:rPr>
        <w:t>почек</w:t>
      </w:r>
      <w:r>
        <w:rPr>
          <w:i/>
          <w:spacing w:val="-13"/>
          <w:w w:val="110"/>
          <w:sz w:val="27"/>
        </w:rPr>
        <w:t> </w:t>
      </w:r>
      <w:r>
        <w:rPr>
          <w:i/>
          <w:w w:val="110"/>
          <w:sz w:val="27"/>
        </w:rPr>
        <w:t>(ХБП) любой этиологии; адекватный контроль АД замедляет ее развитие. В свою очередь, ХБП является важным</w:t>
      </w:r>
      <w:r>
        <w:rPr>
          <w:i/>
          <w:spacing w:val="-49"/>
          <w:w w:val="110"/>
          <w:sz w:val="27"/>
        </w:rPr>
        <w:t> </w:t>
      </w:r>
      <w:r>
        <w:rPr>
          <w:i/>
          <w:w w:val="110"/>
          <w:sz w:val="27"/>
        </w:rPr>
        <w:t>независимым фактором</w:t>
      </w:r>
      <w:r>
        <w:rPr>
          <w:i/>
          <w:spacing w:val="-29"/>
          <w:w w:val="110"/>
          <w:sz w:val="27"/>
        </w:rPr>
        <w:t> </w:t>
      </w:r>
      <w:r>
        <w:rPr>
          <w:i/>
          <w:w w:val="110"/>
          <w:sz w:val="27"/>
        </w:rPr>
        <w:t>риска</w:t>
      </w:r>
      <w:r>
        <w:rPr>
          <w:i/>
          <w:spacing w:val="-29"/>
          <w:w w:val="110"/>
          <w:sz w:val="27"/>
        </w:rPr>
        <w:t> </w:t>
      </w:r>
      <w:r>
        <w:rPr>
          <w:i/>
          <w:w w:val="110"/>
          <w:sz w:val="27"/>
        </w:rPr>
        <w:t>развития</w:t>
      </w:r>
      <w:r>
        <w:rPr>
          <w:i/>
          <w:spacing w:val="-28"/>
          <w:w w:val="110"/>
          <w:sz w:val="27"/>
        </w:rPr>
        <w:t> </w:t>
      </w:r>
      <w:r>
        <w:rPr>
          <w:i/>
          <w:w w:val="110"/>
          <w:sz w:val="27"/>
        </w:rPr>
        <w:t>и</w:t>
      </w:r>
      <w:r>
        <w:rPr>
          <w:i/>
          <w:spacing w:val="-29"/>
          <w:w w:val="110"/>
          <w:sz w:val="27"/>
        </w:rPr>
        <w:t> </w:t>
      </w:r>
      <w:r>
        <w:rPr>
          <w:i/>
          <w:w w:val="110"/>
          <w:sz w:val="27"/>
        </w:rPr>
        <w:t>прогрессирования</w:t>
      </w:r>
      <w:r>
        <w:rPr>
          <w:i/>
          <w:spacing w:val="-28"/>
          <w:w w:val="110"/>
          <w:sz w:val="27"/>
        </w:rPr>
        <w:t> </w:t>
      </w:r>
      <w:r>
        <w:rPr>
          <w:i/>
          <w:w w:val="110"/>
          <w:sz w:val="27"/>
        </w:rPr>
        <w:t>ССЗ,</w:t>
      </w:r>
      <w:r>
        <w:rPr>
          <w:i/>
          <w:spacing w:val="-29"/>
          <w:w w:val="110"/>
          <w:sz w:val="27"/>
        </w:rPr>
        <w:t> </w:t>
      </w:r>
      <w:r>
        <w:rPr>
          <w:i/>
          <w:w w:val="110"/>
          <w:sz w:val="27"/>
        </w:rPr>
        <w:t>в</w:t>
      </w:r>
      <w:r>
        <w:rPr>
          <w:i/>
          <w:spacing w:val="-28"/>
          <w:w w:val="110"/>
          <w:sz w:val="27"/>
        </w:rPr>
        <w:t> </w:t>
      </w:r>
      <w:r>
        <w:rPr>
          <w:i/>
          <w:w w:val="110"/>
          <w:sz w:val="27"/>
        </w:rPr>
        <w:t>том</w:t>
      </w:r>
      <w:r>
        <w:rPr>
          <w:i/>
          <w:spacing w:val="-29"/>
          <w:w w:val="110"/>
          <w:sz w:val="27"/>
        </w:rPr>
        <w:t> </w:t>
      </w:r>
      <w:r>
        <w:rPr>
          <w:i/>
          <w:w w:val="110"/>
          <w:sz w:val="27"/>
        </w:rPr>
        <w:t>числе фатальных. У пациентов, получающих почечную заместительную терапию гемодиализом, АГ существенно влияет</w:t>
      </w:r>
      <w:r>
        <w:rPr>
          <w:i/>
          <w:spacing w:val="-32"/>
          <w:w w:val="110"/>
          <w:sz w:val="27"/>
        </w:rPr>
        <w:t> </w:t>
      </w:r>
      <w:r>
        <w:rPr>
          <w:i/>
          <w:w w:val="110"/>
          <w:sz w:val="27"/>
        </w:rPr>
        <w:t>на</w:t>
      </w:r>
      <w:r>
        <w:rPr>
          <w:i/>
          <w:spacing w:val="-31"/>
          <w:w w:val="110"/>
          <w:sz w:val="27"/>
        </w:rPr>
        <w:t> </w:t>
      </w:r>
      <w:r>
        <w:rPr>
          <w:i/>
          <w:w w:val="110"/>
          <w:sz w:val="27"/>
        </w:rPr>
        <w:t>выживаемость.</w:t>
      </w:r>
      <w:r>
        <w:rPr>
          <w:i/>
          <w:spacing w:val="-32"/>
          <w:w w:val="110"/>
          <w:sz w:val="27"/>
        </w:rPr>
        <w:t> </w:t>
      </w:r>
      <w:r>
        <w:rPr>
          <w:i/>
          <w:w w:val="110"/>
          <w:sz w:val="27"/>
        </w:rPr>
        <w:t>Для</w:t>
      </w:r>
      <w:r>
        <w:rPr>
          <w:i/>
          <w:spacing w:val="-31"/>
          <w:w w:val="110"/>
          <w:sz w:val="27"/>
        </w:rPr>
        <w:t> </w:t>
      </w:r>
      <w:r>
        <w:rPr>
          <w:i/>
          <w:w w:val="110"/>
          <w:sz w:val="27"/>
        </w:rPr>
        <w:t>ведения</w:t>
      </w:r>
      <w:r>
        <w:rPr>
          <w:i/>
          <w:spacing w:val="-32"/>
          <w:w w:val="110"/>
          <w:sz w:val="27"/>
        </w:rPr>
        <w:t> </w:t>
      </w:r>
      <w:r>
        <w:rPr>
          <w:i/>
          <w:w w:val="110"/>
          <w:sz w:val="27"/>
        </w:rPr>
        <w:t>таких</w:t>
      </w:r>
      <w:r>
        <w:rPr>
          <w:i/>
          <w:spacing w:val="-31"/>
          <w:w w:val="110"/>
          <w:sz w:val="27"/>
        </w:rPr>
        <w:t> </w:t>
      </w:r>
      <w:r>
        <w:rPr>
          <w:i/>
          <w:w w:val="110"/>
          <w:sz w:val="27"/>
        </w:rPr>
        <w:t>пациентов</w:t>
      </w:r>
      <w:r>
        <w:rPr>
          <w:i/>
          <w:spacing w:val="-32"/>
          <w:w w:val="110"/>
          <w:sz w:val="27"/>
        </w:rPr>
        <w:t> </w:t>
      </w:r>
      <w:r>
        <w:rPr>
          <w:i/>
          <w:w w:val="110"/>
          <w:sz w:val="27"/>
        </w:rPr>
        <w:t>крайне важно точное и правильное измерение АД, однако АД до сеанса гемодиализа</w:t>
      </w:r>
      <w:r>
        <w:rPr>
          <w:i/>
          <w:spacing w:val="-12"/>
          <w:w w:val="110"/>
          <w:sz w:val="27"/>
        </w:rPr>
        <w:t> </w:t>
      </w:r>
      <w:r>
        <w:rPr>
          <w:i/>
          <w:w w:val="110"/>
          <w:sz w:val="27"/>
        </w:rPr>
        <w:t>может</w:t>
      </w:r>
      <w:r>
        <w:rPr>
          <w:i/>
          <w:spacing w:val="-11"/>
          <w:w w:val="110"/>
          <w:sz w:val="27"/>
        </w:rPr>
        <w:t> </w:t>
      </w:r>
      <w:r>
        <w:rPr>
          <w:i/>
          <w:w w:val="110"/>
          <w:sz w:val="27"/>
        </w:rPr>
        <w:t>не</w:t>
      </w:r>
      <w:r>
        <w:rPr>
          <w:i/>
          <w:spacing w:val="-12"/>
          <w:w w:val="110"/>
          <w:sz w:val="27"/>
        </w:rPr>
        <w:t> </w:t>
      </w:r>
      <w:r>
        <w:rPr>
          <w:i/>
          <w:w w:val="110"/>
          <w:sz w:val="27"/>
        </w:rPr>
        <w:t>отражать</w:t>
      </w:r>
      <w:r>
        <w:rPr>
          <w:i/>
          <w:spacing w:val="-11"/>
          <w:w w:val="110"/>
          <w:sz w:val="27"/>
        </w:rPr>
        <w:t> </w:t>
      </w:r>
      <w:r>
        <w:rPr>
          <w:i/>
          <w:w w:val="110"/>
          <w:sz w:val="27"/>
        </w:rPr>
        <w:t>средний</w:t>
      </w:r>
      <w:r>
        <w:rPr>
          <w:i/>
          <w:spacing w:val="-11"/>
          <w:w w:val="110"/>
          <w:sz w:val="27"/>
        </w:rPr>
        <w:t> </w:t>
      </w:r>
      <w:r>
        <w:rPr>
          <w:i/>
          <w:w w:val="110"/>
          <w:sz w:val="27"/>
        </w:rPr>
        <w:t>уровень</w:t>
      </w:r>
      <w:r>
        <w:rPr>
          <w:i/>
          <w:spacing w:val="-12"/>
          <w:w w:val="110"/>
          <w:sz w:val="27"/>
        </w:rPr>
        <w:t> </w:t>
      </w:r>
      <w:r>
        <w:rPr>
          <w:i/>
          <w:w w:val="110"/>
          <w:sz w:val="27"/>
        </w:rPr>
        <w:t>АД,</w:t>
      </w:r>
      <w:r>
        <w:rPr>
          <w:i/>
          <w:spacing w:val="-11"/>
          <w:w w:val="110"/>
          <w:sz w:val="27"/>
        </w:rPr>
        <w:t> </w:t>
      </w:r>
      <w:r>
        <w:rPr>
          <w:i/>
          <w:w w:val="110"/>
          <w:sz w:val="27"/>
        </w:rPr>
        <w:t>так</w:t>
      </w:r>
      <w:r>
        <w:rPr>
          <w:i/>
          <w:spacing w:val="-11"/>
          <w:w w:val="110"/>
          <w:sz w:val="27"/>
        </w:rPr>
        <w:t> </w:t>
      </w:r>
      <w:r>
        <w:rPr>
          <w:i/>
          <w:w w:val="110"/>
          <w:sz w:val="27"/>
        </w:rPr>
        <w:t>как большие колебания натрия и воды в организме способствуют большей вариабельности АД. Доказано, что АД, измеренное</w:t>
      </w:r>
      <w:r>
        <w:rPr>
          <w:i/>
          <w:spacing w:val="74"/>
          <w:w w:val="110"/>
          <w:sz w:val="27"/>
        </w:rPr>
        <w:t> </w:t>
      </w:r>
      <w:r>
        <w:rPr>
          <w:i/>
          <w:w w:val="110"/>
          <w:sz w:val="27"/>
        </w:rPr>
        <w:t>методом</w:t>
      </w:r>
      <w:r>
        <w:rPr>
          <w:i/>
          <w:spacing w:val="-47"/>
          <w:w w:val="110"/>
          <w:sz w:val="27"/>
        </w:rPr>
        <w:t> </w:t>
      </w:r>
      <w:r>
        <w:rPr>
          <w:i/>
          <w:w w:val="110"/>
          <w:sz w:val="27"/>
        </w:rPr>
        <w:t>ДМАД,</w:t>
      </w:r>
      <w:r>
        <w:rPr>
          <w:i/>
          <w:spacing w:val="-47"/>
          <w:w w:val="110"/>
          <w:sz w:val="27"/>
        </w:rPr>
        <w:t> </w:t>
      </w:r>
      <w:r>
        <w:rPr>
          <w:i/>
          <w:w w:val="110"/>
          <w:sz w:val="27"/>
        </w:rPr>
        <w:t>более</w:t>
      </w:r>
      <w:r>
        <w:rPr>
          <w:i/>
          <w:spacing w:val="-46"/>
          <w:w w:val="110"/>
          <w:sz w:val="27"/>
        </w:rPr>
        <w:t> </w:t>
      </w:r>
      <w:r>
        <w:rPr>
          <w:i/>
          <w:w w:val="110"/>
          <w:sz w:val="27"/>
        </w:rPr>
        <w:t>информативно,</w:t>
      </w:r>
      <w:r>
        <w:rPr>
          <w:i/>
          <w:spacing w:val="-47"/>
          <w:w w:val="110"/>
          <w:sz w:val="27"/>
        </w:rPr>
        <w:t> </w:t>
      </w:r>
      <w:r>
        <w:rPr>
          <w:i/>
          <w:w w:val="110"/>
          <w:sz w:val="27"/>
        </w:rPr>
        <w:t>чем</w:t>
      </w:r>
      <w:r>
        <w:rPr>
          <w:i/>
          <w:spacing w:val="-46"/>
          <w:w w:val="110"/>
          <w:sz w:val="27"/>
        </w:rPr>
        <w:t> </w:t>
      </w:r>
      <w:r>
        <w:rPr>
          <w:i/>
          <w:w w:val="110"/>
          <w:sz w:val="27"/>
        </w:rPr>
        <w:t>показатели</w:t>
      </w:r>
      <w:r>
        <w:rPr>
          <w:i/>
          <w:spacing w:val="-47"/>
          <w:w w:val="110"/>
          <w:sz w:val="27"/>
        </w:rPr>
        <w:t> </w:t>
      </w:r>
      <w:r>
        <w:rPr>
          <w:i/>
          <w:w w:val="110"/>
          <w:sz w:val="27"/>
        </w:rPr>
        <w:t>АД</w:t>
      </w:r>
      <w:r>
        <w:rPr>
          <w:i/>
          <w:spacing w:val="-46"/>
          <w:w w:val="110"/>
          <w:sz w:val="27"/>
        </w:rPr>
        <w:t> </w:t>
      </w:r>
      <w:r>
        <w:rPr>
          <w:i/>
          <w:w w:val="110"/>
          <w:sz w:val="27"/>
        </w:rPr>
        <w:t>перед сеансом</w:t>
      </w:r>
      <w:r>
        <w:rPr>
          <w:i/>
          <w:spacing w:val="-10"/>
          <w:w w:val="110"/>
          <w:sz w:val="27"/>
        </w:rPr>
        <w:t> </w:t>
      </w:r>
      <w:r>
        <w:rPr>
          <w:i/>
          <w:w w:val="110"/>
          <w:sz w:val="27"/>
        </w:rPr>
        <w:t>гемодиализа.</w:t>
      </w:r>
    </w:p>
    <w:p>
      <w:pPr>
        <w:spacing w:line="256" w:lineRule="auto" w:before="275"/>
        <w:ind w:left="695" w:right="130" w:firstLine="0"/>
        <w:jc w:val="both"/>
        <w:rPr>
          <w:i/>
          <w:sz w:val="27"/>
        </w:rPr>
      </w:pPr>
      <w:r>
        <w:rPr>
          <w:i/>
          <w:w w:val="105"/>
          <w:sz w:val="27"/>
        </w:rPr>
        <w:t>У пациентов с терминальной стадией ХБП, находящихся на </w:t>
      </w:r>
      <w:r>
        <w:rPr>
          <w:i/>
          <w:w w:val="105"/>
          <w:sz w:val="27"/>
        </w:rPr>
        <w:t>диализе, снижение САД и ДАД сопровождается уменьшением частоты СС осложнений и общей смертности. Пациентам, находящимся на гемодиализе, можно назначать все АГП, при этом их дозы зависят от стабильности гемодинамики и способности конкретного препарата проходить через диализные мембраны. Петлевые диуретики — препараты выбора среди диуретиков при терминальной ХБП.</w:t>
      </w:r>
    </w:p>
    <w:p>
      <w:pPr>
        <w:spacing w:line="256" w:lineRule="auto" w:before="274"/>
        <w:ind w:left="695" w:right="129" w:firstLine="0"/>
        <w:jc w:val="both"/>
        <w:rPr>
          <w:i/>
          <w:sz w:val="27"/>
        </w:rPr>
      </w:pPr>
      <w:r>
        <w:rPr>
          <w:i/>
          <w:w w:val="105"/>
          <w:sz w:val="27"/>
        </w:rPr>
        <w:t>При использовании АМКР, особенно в комбинации с блокатором </w:t>
      </w:r>
      <w:r>
        <w:rPr>
          <w:i/>
          <w:spacing w:val="-7"/>
          <w:w w:val="105"/>
          <w:sz w:val="27"/>
        </w:rPr>
        <w:t>РААС, </w:t>
      </w:r>
      <w:r>
        <w:rPr>
          <w:i/>
          <w:w w:val="105"/>
          <w:sz w:val="27"/>
        </w:rPr>
        <w:t>необходим более тщательный контроль функции почек и уровня калия (опасность гиперкалиемии).</w:t>
      </w:r>
    </w:p>
    <w:p>
      <w:pPr>
        <w:pStyle w:val="Heading3"/>
        <w:numPr>
          <w:ilvl w:val="2"/>
          <w:numId w:val="6"/>
        </w:numPr>
        <w:tabs>
          <w:tab w:pos="1518" w:val="left" w:leader="none"/>
        </w:tabs>
        <w:spacing w:line="256" w:lineRule="auto" w:before="271" w:after="0"/>
        <w:ind w:left="695" w:right="134" w:firstLine="0"/>
        <w:jc w:val="left"/>
      </w:pPr>
      <w:r>
        <w:rPr/>
        <w:t>Артериальная гипертензия и ишемическая болезнь сердца</w:t>
      </w:r>
    </w:p>
    <w:p>
      <w:pPr>
        <w:pStyle w:val="BodyText"/>
        <w:spacing w:before="271"/>
        <w:ind w:left="695"/>
      </w:pPr>
      <w:r>
        <w:rPr/>
        <w:pict>
          <v:shape style="position:absolute;margin-left:91.538452pt;margin-top:20.969463pt;width:4.55pt;height:4.5pt;mso-position-horizontal-relative:page;mso-position-vertical-relative:paragraph;z-index:15800832"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w w:val="105"/>
        </w:rPr>
        <w:t>Пациентам с АГ в сочетании с ИБС рекомендуется:</w:t>
      </w:r>
    </w:p>
    <w:p>
      <w:pPr>
        <w:pStyle w:val="BodyText"/>
        <w:spacing w:line="256" w:lineRule="auto" w:before="26"/>
        <w:ind w:left="695" w:right="131"/>
      </w:pPr>
      <w:r>
        <w:rPr/>
        <w:pict>
          <v:shape style="position:absolute;margin-left:91.538452pt;margin-top:8.719466pt;width:4.55pt;height:4.5pt;mso-position-horizontal-relative:page;mso-position-vertical-relative:paragraph;z-index:15801344" coordorigin="1831,174" coordsize="91,90" path="m1888,264l1863,264,1853,260,1835,242,1831,232,1831,207,1835,196,1853,179,1863,174,1888,174,1899,179,1916,196,1921,207,1921,219,1921,232,1916,242,1899,260,1888,264xe" filled="true" fillcolor="#000000" stroked="false">
            <v:path arrowok="t"/>
            <v:fill type="solid"/>
            <w10:wrap type="none"/>
          </v:shape>
        </w:pict>
      </w:r>
      <w:r>
        <w:rPr/>
        <w:t>Пациентам </w:t>
      </w:r>
      <w:r>
        <w:rPr>
          <w:spacing w:val="-3"/>
        </w:rPr>
        <w:t>моложе </w:t>
      </w:r>
      <w:r>
        <w:rPr/>
        <w:t>65 лет, без ХБП, получающим антигипертензивную терапию, в связи с доказанными преимуществами в снижении риска </w:t>
      </w:r>
      <w:r>
        <w:rPr>
          <w:spacing w:val="-4"/>
        </w:rPr>
        <w:t>СС </w:t>
      </w:r>
      <w:r>
        <w:rPr/>
        <w:t>событий рекомендуется снижать </w:t>
      </w:r>
      <w:r>
        <w:rPr>
          <w:spacing w:val="-3"/>
        </w:rPr>
        <w:t>САД </w:t>
      </w:r>
      <w:r>
        <w:rPr/>
        <w:t>до целевого уровня </w:t>
      </w:r>
      <w:r>
        <w:rPr>
          <w:rFonts w:ascii="Times New Roman" w:hAnsi="Times New Roman"/>
        </w:rPr>
        <w:t>≤</w:t>
      </w:r>
      <w:r>
        <w:rPr/>
        <w:t>130 мм рт. ст. при хорошей</w:t>
      </w:r>
    </w:p>
    <w:p>
      <w:pPr>
        <w:spacing w:after="0" w:line="256" w:lineRule="auto"/>
        <w:sectPr>
          <w:pgSz w:w="11900" w:h="16840"/>
          <w:pgMar w:top="0" w:bottom="280" w:left="1420" w:right="1520"/>
        </w:sectPr>
      </w:pPr>
    </w:p>
    <w:p>
      <w:pPr>
        <w:pStyle w:val="BodyText"/>
        <w:spacing w:line="256" w:lineRule="auto" w:before="16"/>
        <w:ind w:left="695" w:right="129"/>
      </w:pPr>
      <w:r>
        <w:rPr/>
        <w:t>переносимости, но не &lt;120 мм рт. ст. (Приложение Б4) </w:t>
      </w:r>
      <w:r>
        <w:rPr>
          <w:spacing w:val="-6"/>
        </w:rPr>
        <w:t>[157, </w:t>
      </w:r>
      <w:r>
        <w:rPr/>
        <w:t>170].</w:t>
      </w:r>
    </w:p>
    <w:p>
      <w:pPr>
        <w:pStyle w:val="Heading3"/>
      </w:pPr>
      <w:r>
        <w:rPr>
          <w:w w:val="105"/>
        </w:rPr>
        <w:t>ЕОК/ЕОАГ IА (УУР А, УДД 1)</w:t>
      </w:r>
    </w:p>
    <w:p>
      <w:pPr>
        <w:pStyle w:val="BodyText"/>
        <w:spacing w:line="256" w:lineRule="auto" w:before="296"/>
        <w:ind w:left="695" w:right="128"/>
      </w:pPr>
      <w:r>
        <w:rPr/>
        <w:pict>
          <v:shape style="position:absolute;margin-left:91.538452pt;margin-top:22.219486pt;width:4.55pt;height:4.5pt;mso-position-horizontal-relative:page;mso-position-vertical-relative:paragraph;z-index:15801856"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У пожилых пациентов (</w:t>
      </w:r>
      <w:r>
        <w:rPr>
          <w:rFonts w:ascii="Times New Roman" w:hAnsi="Times New Roman"/>
        </w:rPr>
        <w:t>≥</w:t>
      </w:r>
      <w:r>
        <w:rPr/>
        <w:t>65 лет) и/или с наличием ХБП рекомендовано снижать САД до целевых значений 130–139 мм рт. ст. [157, 170].</w:t>
      </w:r>
    </w:p>
    <w:p>
      <w:pPr>
        <w:pStyle w:val="Heading3"/>
        <w:spacing w:before="272"/>
      </w:pPr>
      <w:r>
        <w:rPr>
          <w:w w:val="105"/>
        </w:rPr>
        <w:t>ЕОК/ЕОАГ IА (УУР А, УДД 1)</w:t>
      </w:r>
    </w:p>
    <w:p>
      <w:pPr>
        <w:pStyle w:val="BodyText"/>
        <w:spacing w:line="256" w:lineRule="auto" w:before="296"/>
        <w:ind w:left="695" w:right="128"/>
      </w:pPr>
      <w:r>
        <w:rPr/>
        <w:pict>
          <v:shape style="position:absolute;margin-left:91.538452pt;margin-top:22.219492pt;width:4.55pt;height:4.5pt;mso-position-horizontal-relative:page;mso-position-vertical-relative:paragraph;z-index:15802368"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w w:val="105"/>
        </w:rPr>
        <w:t>Снижать</w:t>
      </w:r>
      <w:r>
        <w:rPr>
          <w:spacing w:val="-25"/>
          <w:w w:val="105"/>
        </w:rPr>
        <w:t> </w:t>
      </w:r>
      <w:r>
        <w:rPr>
          <w:w w:val="105"/>
        </w:rPr>
        <w:t>ДАД</w:t>
      </w:r>
      <w:r>
        <w:rPr>
          <w:spacing w:val="-24"/>
          <w:w w:val="105"/>
        </w:rPr>
        <w:t> </w:t>
      </w:r>
      <w:r>
        <w:rPr>
          <w:w w:val="105"/>
        </w:rPr>
        <w:t>до</w:t>
      </w:r>
      <w:r>
        <w:rPr>
          <w:spacing w:val="-24"/>
          <w:w w:val="105"/>
        </w:rPr>
        <w:t> </w:t>
      </w:r>
      <w:r>
        <w:rPr>
          <w:w w:val="105"/>
        </w:rPr>
        <w:t>целевых</w:t>
      </w:r>
      <w:r>
        <w:rPr>
          <w:spacing w:val="-24"/>
          <w:w w:val="105"/>
        </w:rPr>
        <w:t> </w:t>
      </w:r>
      <w:r>
        <w:rPr>
          <w:w w:val="105"/>
        </w:rPr>
        <w:t>значений</w:t>
      </w:r>
      <w:r>
        <w:rPr>
          <w:spacing w:val="-24"/>
          <w:w w:val="105"/>
        </w:rPr>
        <w:t> </w:t>
      </w:r>
      <w:r>
        <w:rPr>
          <w:w w:val="105"/>
        </w:rPr>
        <w:t>&lt;80</w:t>
      </w:r>
      <w:r>
        <w:rPr>
          <w:spacing w:val="-24"/>
          <w:w w:val="105"/>
        </w:rPr>
        <w:t> </w:t>
      </w:r>
      <w:r>
        <w:rPr>
          <w:w w:val="105"/>
        </w:rPr>
        <w:t>мм</w:t>
      </w:r>
      <w:r>
        <w:rPr>
          <w:spacing w:val="-24"/>
          <w:w w:val="105"/>
        </w:rPr>
        <w:t> </w:t>
      </w:r>
      <w:r>
        <w:rPr>
          <w:w w:val="105"/>
        </w:rPr>
        <w:t>рт.</w:t>
      </w:r>
      <w:r>
        <w:rPr>
          <w:spacing w:val="-24"/>
          <w:w w:val="105"/>
        </w:rPr>
        <w:t> </w:t>
      </w:r>
      <w:r>
        <w:rPr>
          <w:w w:val="105"/>
        </w:rPr>
        <w:t>ст.,</w:t>
      </w:r>
      <w:r>
        <w:rPr>
          <w:spacing w:val="-24"/>
          <w:w w:val="105"/>
        </w:rPr>
        <w:t> </w:t>
      </w:r>
      <w:r>
        <w:rPr>
          <w:w w:val="105"/>
        </w:rPr>
        <w:t>но</w:t>
      </w:r>
      <w:r>
        <w:rPr>
          <w:spacing w:val="-24"/>
          <w:w w:val="105"/>
        </w:rPr>
        <w:t> </w:t>
      </w:r>
      <w:r>
        <w:rPr>
          <w:w w:val="105"/>
        </w:rPr>
        <w:t>не</w:t>
      </w:r>
      <w:r>
        <w:rPr>
          <w:spacing w:val="-24"/>
          <w:w w:val="105"/>
        </w:rPr>
        <w:t> </w:t>
      </w:r>
      <w:r>
        <w:rPr>
          <w:w w:val="105"/>
        </w:rPr>
        <w:t>&lt;70</w:t>
      </w:r>
      <w:r>
        <w:rPr>
          <w:spacing w:val="-24"/>
          <w:w w:val="105"/>
        </w:rPr>
        <w:t> </w:t>
      </w:r>
      <w:r>
        <w:rPr>
          <w:w w:val="105"/>
        </w:rPr>
        <w:t>мм рт. ст.</w:t>
      </w:r>
      <w:r>
        <w:rPr>
          <w:spacing w:val="-12"/>
          <w:w w:val="105"/>
        </w:rPr>
        <w:t> </w:t>
      </w:r>
      <w:r>
        <w:rPr>
          <w:w w:val="105"/>
        </w:rPr>
        <w:t>[299]</w:t>
      </w:r>
    </w:p>
    <w:p>
      <w:pPr>
        <w:pStyle w:val="Heading3"/>
      </w:pPr>
      <w:r>
        <w:rPr>
          <w:w w:val="105"/>
        </w:rPr>
        <w:t>ЕОК/ЕОАГ IА (УУР А, УДД 3)</w:t>
      </w:r>
    </w:p>
    <w:p>
      <w:pPr>
        <w:pStyle w:val="BodyText"/>
        <w:spacing w:line="256" w:lineRule="auto" w:before="296"/>
        <w:ind w:left="695" w:right="131"/>
      </w:pPr>
      <w:r>
        <w:rPr/>
        <w:pict>
          <v:shape style="position:absolute;margin-left:91.538452pt;margin-top:22.219481pt;width:4.55pt;height:4.5pt;mso-position-horizontal-relative:page;mso-position-vertical-relative:paragraph;z-index:15802880"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с перенесенным инфарктом миокарда рекомендуется назначение ББ и блокаторов РААС в качестве составной части терапии для снижения риска СС смертности [171].</w:t>
      </w:r>
    </w:p>
    <w:p>
      <w:pPr>
        <w:pStyle w:val="Heading3"/>
      </w:pPr>
      <w:r>
        <w:rPr>
          <w:w w:val="105"/>
        </w:rPr>
        <w:t>ЕОК/ЕОАГ IА (УУР А, УДД 1)</w:t>
      </w:r>
    </w:p>
    <w:p>
      <w:pPr>
        <w:pStyle w:val="BodyText"/>
        <w:spacing w:line="256" w:lineRule="auto" w:before="296"/>
        <w:ind w:left="695" w:right="136"/>
      </w:pPr>
      <w:r>
        <w:rPr/>
        <w:pict>
          <v:shape style="position:absolute;margin-left:91.538452pt;margin-top:22.219475pt;width:4.55pt;height:4.5pt;mso-position-horizontal-relative:page;mso-position-vertical-relative:paragraph;z-index:15803392"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и симптомами стенокардии рекомендуется назначение ББ и/или АК. [171].</w:t>
      </w:r>
    </w:p>
    <w:p>
      <w:pPr>
        <w:pStyle w:val="Heading3"/>
      </w:pPr>
      <w:r>
        <w:rPr>
          <w:w w:val="105"/>
        </w:rPr>
        <w:t>ЕОК/ЕОАГ IА (УУР А, УДД 1)</w:t>
      </w:r>
    </w:p>
    <w:p>
      <w:pPr>
        <w:pStyle w:val="ListParagraph"/>
        <w:numPr>
          <w:ilvl w:val="2"/>
          <w:numId w:val="6"/>
        </w:numPr>
        <w:tabs>
          <w:tab w:pos="1395" w:val="left" w:leader="none"/>
        </w:tabs>
        <w:spacing w:line="256" w:lineRule="auto" w:before="296" w:after="0"/>
        <w:ind w:left="695" w:right="133" w:firstLine="0"/>
        <w:jc w:val="both"/>
        <w:rPr>
          <w:b/>
          <w:sz w:val="27"/>
        </w:rPr>
      </w:pPr>
      <w:r>
        <w:rPr>
          <w:b/>
          <w:sz w:val="27"/>
        </w:rPr>
        <w:t>Артериальная гипертензия, гипертрофия левого </w:t>
      </w:r>
      <w:r>
        <w:rPr>
          <w:b/>
          <w:spacing w:val="-3"/>
          <w:sz w:val="27"/>
        </w:rPr>
        <w:t>желудочка </w:t>
      </w:r>
      <w:r>
        <w:rPr>
          <w:b/>
          <w:sz w:val="27"/>
        </w:rPr>
        <w:t>и сердечная</w:t>
      </w:r>
      <w:r>
        <w:rPr>
          <w:b/>
          <w:spacing w:val="12"/>
          <w:sz w:val="27"/>
        </w:rPr>
        <w:t> </w:t>
      </w:r>
      <w:r>
        <w:rPr>
          <w:b/>
          <w:sz w:val="27"/>
        </w:rPr>
        <w:t>недостаточность</w:t>
      </w:r>
    </w:p>
    <w:p>
      <w:pPr>
        <w:pStyle w:val="BodyText"/>
        <w:spacing w:line="256" w:lineRule="auto" w:before="271"/>
        <w:ind w:left="695" w:right="131"/>
      </w:pPr>
      <w:r>
        <w:rPr/>
        <w:pict>
          <v:shape style="position:absolute;margin-left:91.538452pt;margin-top:20.969465pt;width:4.55pt;height:4.5pt;mso-position-horizontal-relative:page;mso-position-vertical-relative:paragraph;z-index:15803904"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w w:val="105"/>
        </w:rPr>
        <w:t>Пациентам с АГ в сочетании с сердечной недостаточностью (СН) (с низкой или сохраненной фракцией выброса) рекомендуется</w:t>
      </w:r>
      <w:r>
        <w:rPr>
          <w:spacing w:val="-12"/>
          <w:w w:val="105"/>
        </w:rPr>
        <w:t> </w:t>
      </w:r>
      <w:r>
        <w:rPr>
          <w:w w:val="105"/>
        </w:rPr>
        <w:t>назначение</w:t>
      </w:r>
      <w:r>
        <w:rPr>
          <w:spacing w:val="-12"/>
          <w:w w:val="105"/>
        </w:rPr>
        <w:t> </w:t>
      </w:r>
      <w:r>
        <w:rPr>
          <w:w w:val="105"/>
        </w:rPr>
        <w:t>АГТ</w:t>
      </w:r>
      <w:r>
        <w:rPr>
          <w:spacing w:val="-12"/>
          <w:w w:val="105"/>
        </w:rPr>
        <w:t> </w:t>
      </w:r>
      <w:r>
        <w:rPr>
          <w:w w:val="105"/>
        </w:rPr>
        <w:t>при</w:t>
      </w:r>
      <w:r>
        <w:rPr>
          <w:spacing w:val="-12"/>
          <w:w w:val="105"/>
        </w:rPr>
        <w:t> </w:t>
      </w:r>
      <w:r>
        <w:rPr>
          <w:w w:val="105"/>
        </w:rPr>
        <w:t>уровне</w:t>
      </w:r>
      <w:r>
        <w:rPr>
          <w:spacing w:val="-12"/>
          <w:w w:val="105"/>
        </w:rPr>
        <w:t> </w:t>
      </w:r>
      <w:r>
        <w:rPr>
          <w:w w:val="105"/>
        </w:rPr>
        <w:t>АД</w:t>
      </w:r>
      <w:r>
        <w:rPr>
          <w:spacing w:val="-12"/>
          <w:w w:val="105"/>
        </w:rPr>
        <w:t> </w:t>
      </w:r>
      <w:r>
        <w:rPr>
          <w:rFonts w:ascii="Times New Roman" w:hAnsi="Times New Roman"/>
          <w:w w:val="105"/>
        </w:rPr>
        <w:t>≥</w:t>
      </w:r>
      <w:r>
        <w:rPr>
          <w:w w:val="105"/>
        </w:rPr>
        <w:t>140/90</w:t>
      </w:r>
      <w:r>
        <w:rPr>
          <w:spacing w:val="-12"/>
          <w:w w:val="105"/>
        </w:rPr>
        <w:t> </w:t>
      </w:r>
      <w:r>
        <w:rPr>
          <w:w w:val="105"/>
        </w:rPr>
        <w:t>мм</w:t>
      </w:r>
      <w:r>
        <w:rPr>
          <w:spacing w:val="-12"/>
          <w:w w:val="105"/>
        </w:rPr>
        <w:t> </w:t>
      </w:r>
      <w:r>
        <w:rPr>
          <w:w w:val="105"/>
        </w:rPr>
        <w:t>рт. ст. в связи с доказанными преимуществами в отношении снижения </w:t>
      </w:r>
      <w:r>
        <w:rPr>
          <w:spacing w:val="-4"/>
          <w:w w:val="105"/>
        </w:rPr>
        <w:t>СС </w:t>
      </w:r>
      <w:r>
        <w:rPr>
          <w:w w:val="105"/>
        </w:rPr>
        <w:t>смертности</w:t>
      </w:r>
      <w:r>
        <w:rPr>
          <w:spacing w:val="-22"/>
          <w:w w:val="105"/>
        </w:rPr>
        <w:t> </w:t>
      </w:r>
      <w:r>
        <w:rPr>
          <w:w w:val="105"/>
        </w:rPr>
        <w:t>[172].</w:t>
      </w:r>
    </w:p>
    <w:p>
      <w:pPr>
        <w:pStyle w:val="Heading3"/>
        <w:spacing w:before="272"/>
      </w:pPr>
      <w:r>
        <w:rPr>
          <w:w w:val="105"/>
        </w:rPr>
        <w:t>ЕОК/ЕОАГ</w:t>
      </w:r>
      <w:r>
        <w:rPr>
          <w:spacing w:val="-47"/>
          <w:w w:val="105"/>
        </w:rPr>
        <w:t> </w:t>
      </w:r>
      <w:r>
        <w:rPr>
          <w:w w:val="105"/>
        </w:rPr>
        <w:t>IIaB</w:t>
      </w:r>
      <w:r>
        <w:rPr>
          <w:spacing w:val="-47"/>
          <w:w w:val="105"/>
        </w:rPr>
        <w:t> </w:t>
      </w:r>
      <w:r>
        <w:rPr>
          <w:w w:val="105"/>
        </w:rPr>
        <w:t>(УУР</w:t>
      </w:r>
      <w:r>
        <w:rPr>
          <w:spacing w:val="-46"/>
          <w:w w:val="105"/>
        </w:rPr>
        <w:t> </w:t>
      </w:r>
      <w:r>
        <w:rPr>
          <w:w w:val="105"/>
        </w:rPr>
        <w:t>C,</w:t>
      </w:r>
      <w:r>
        <w:rPr>
          <w:spacing w:val="-47"/>
          <w:w w:val="105"/>
        </w:rPr>
        <w:t> </w:t>
      </w:r>
      <w:r>
        <w:rPr>
          <w:spacing w:val="-3"/>
          <w:w w:val="105"/>
        </w:rPr>
        <w:t>УДД</w:t>
      </w:r>
      <w:r>
        <w:rPr>
          <w:spacing w:val="-47"/>
          <w:w w:val="105"/>
        </w:rPr>
        <w:t> </w:t>
      </w:r>
      <w:r>
        <w:rPr>
          <w:w w:val="105"/>
        </w:rPr>
        <w:t>5)</w:t>
      </w:r>
    </w:p>
    <w:p>
      <w:pPr>
        <w:spacing w:line="256" w:lineRule="auto" w:before="296"/>
        <w:ind w:left="695" w:right="129" w:firstLine="0"/>
        <w:jc w:val="both"/>
        <w:rPr>
          <w:i/>
          <w:sz w:val="27"/>
        </w:rPr>
      </w:pPr>
      <w:r>
        <w:rPr>
          <w:b/>
          <w:w w:val="110"/>
          <w:sz w:val="27"/>
        </w:rPr>
        <w:t>Комментарии.</w:t>
      </w:r>
      <w:r>
        <w:rPr>
          <w:b/>
          <w:spacing w:val="-14"/>
          <w:w w:val="110"/>
          <w:sz w:val="27"/>
        </w:rPr>
        <w:t> </w:t>
      </w:r>
      <w:r>
        <w:rPr>
          <w:i/>
          <w:w w:val="110"/>
          <w:sz w:val="27"/>
        </w:rPr>
        <w:t>У</w:t>
      </w:r>
      <w:r>
        <w:rPr>
          <w:i/>
          <w:spacing w:val="-16"/>
          <w:w w:val="110"/>
          <w:sz w:val="27"/>
        </w:rPr>
        <w:t> </w:t>
      </w:r>
      <w:r>
        <w:rPr>
          <w:i/>
          <w:w w:val="110"/>
          <w:sz w:val="27"/>
        </w:rPr>
        <w:t>пациентов</w:t>
      </w:r>
      <w:r>
        <w:rPr>
          <w:i/>
          <w:spacing w:val="-16"/>
          <w:w w:val="110"/>
          <w:sz w:val="27"/>
        </w:rPr>
        <w:t> </w:t>
      </w:r>
      <w:r>
        <w:rPr>
          <w:i/>
          <w:w w:val="110"/>
          <w:sz w:val="27"/>
        </w:rPr>
        <w:t>с</w:t>
      </w:r>
      <w:r>
        <w:rPr>
          <w:i/>
          <w:spacing w:val="-17"/>
          <w:w w:val="110"/>
          <w:sz w:val="27"/>
        </w:rPr>
        <w:t> </w:t>
      </w:r>
      <w:r>
        <w:rPr>
          <w:i/>
          <w:w w:val="110"/>
          <w:sz w:val="27"/>
        </w:rPr>
        <w:t>АГ</w:t>
      </w:r>
      <w:r>
        <w:rPr>
          <w:i/>
          <w:spacing w:val="-16"/>
          <w:w w:val="110"/>
          <w:sz w:val="27"/>
        </w:rPr>
        <w:t> </w:t>
      </w:r>
      <w:r>
        <w:rPr>
          <w:i/>
          <w:w w:val="110"/>
          <w:sz w:val="27"/>
        </w:rPr>
        <w:t>и</w:t>
      </w:r>
      <w:r>
        <w:rPr>
          <w:i/>
          <w:spacing w:val="-16"/>
          <w:w w:val="110"/>
          <w:sz w:val="27"/>
        </w:rPr>
        <w:t> </w:t>
      </w:r>
      <w:r>
        <w:rPr>
          <w:i/>
          <w:w w:val="110"/>
          <w:sz w:val="27"/>
        </w:rPr>
        <w:t>СН</w:t>
      </w:r>
      <w:r>
        <w:rPr>
          <w:i/>
          <w:spacing w:val="-17"/>
          <w:w w:val="110"/>
          <w:sz w:val="27"/>
        </w:rPr>
        <w:t> </w:t>
      </w:r>
      <w:r>
        <w:rPr>
          <w:i/>
          <w:w w:val="110"/>
          <w:sz w:val="27"/>
        </w:rPr>
        <w:t>с</w:t>
      </w:r>
      <w:r>
        <w:rPr>
          <w:i/>
          <w:spacing w:val="-16"/>
          <w:w w:val="110"/>
          <w:sz w:val="27"/>
        </w:rPr>
        <w:t> </w:t>
      </w:r>
      <w:r>
        <w:rPr>
          <w:i/>
          <w:w w:val="110"/>
          <w:sz w:val="27"/>
        </w:rPr>
        <w:t>сохранной</w:t>
      </w:r>
      <w:r>
        <w:rPr>
          <w:i/>
          <w:spacing w:val="-17"/>
          <w:w w:val="110"/>
          <w:sz w:val="27"/>
        </w:rPr>
        <w:t> </w:t>
      </w:r>
      <w:r>
        <w:rPr>
          <w:i/>
          <w:w w:val="110"/>
          <w:sz w:val="27"/>
        </w:rPr>
        <w:t>функцией </w:t>
      </w:r>
      <w:r>
        <w:rPr>
          <w:i/>
          <w:w w:val="110"/>
          <w:sz w:val="27"/>
        </w:rPr>
        <w:t>левого желудочка при назначении АГТ возможно использование всех основных лекарственных средств, поскольку ни один из</w:t>
      </w:r>
      <w:r>
        <w:rPr>
          <w:i/>
          <w:spacing w:val="74"/>
          <w:w w:val="110"/>
          <w:sz w:val="27"/>
        </w:rPr>
        <w:t> </w:t>
      </w:r>
      <w:r>
        <w:rPr>
          <w:i/>
          <w:w w:val="110"/>
          <w:sz w:val="27"/>
        </w:rPr>
        <w:t>препаратов не продемонстрировал свое превосходство над</w:t>
      </w:r>
      <w:r>
        <w:rPr>
          <w:i/>
          <w:spacing w:val="74"/>
          <w:w w:val="110"/>
          <w:sz w:val="27"/>
        </w:rPr>
        <w:t> </w:t>
      </w:r>
      <w:r>
        <w:rPr>
          <w:i/>
          <w:w w:val="110"/>
          <w:sz w:val="27"/>
        </w:rPr>
        <w:t>другими</w:t>
      </w:r>
      <w:r>
        <w:rPr>
          <w:i/>
          <w:spacing w:val="-24"/>
          <w:w w:val="110"/>
          <w:sz w:val="27"/>
        </w:rPr>
        <w:t> </w:t>
      </w:r>
      <w:r>
        <w:rPr>
          <w:i/>
          <w:w w:val="110"/>
          <w:sz w:val="27"/>
        </w:rPr>
        <w:t>в</w:t>
      </w:r>
      <w:r>
        <w:rPr>
          <w:i/>
          <w:spacing w:val="-23"/>
          <w:w w:val="110"/>
          <w:sz w:val="27"/>
        </w:rPr>
        <w:t> </w:t>
      </w:r>
      <w:r>
        <w:rPr>
          <w:i/>
          <w:w w:val="110"/>
          <w:sz w:val="27"/>
        </w:rPr>
        <w:t>отношении</w:t>
      </w:r>
      <w:r>
        <w:rPr>
          <w:i/>
          <w:spacing w:val="-23"/>
          <w:w w:val="110"/>
          <w:sz w:val="27"/>
        </w:rPr>
        <w:t> </w:t>
      </w:r>
      <w:r>
        <w:rPr>
          <w:i/>
          <w:w w:val="110"/>
          <w:sz w:val="27"/>
        </w:rPr>
        <w:t>улучшения</w:t>
      </w:r>
      <w:r>
        <w:rPr>
          <w:i/>
          <w:spacing w:val="-23"/>
          <w:w w:val="110"/>
          <w:sz w:val="27"/>
        </w:rPr>
        <w:t> </w:t>
      </w:r>
      <w:r>
        <w:rPr>
          <w:i/>
          <w:spacing w:val="-4"/>
          <w:w w:val="110"/>
          <w:sz w:val="27"/>
        </w:rPr>
        <w:t>СС</w:t>
      </w:r>
      <w:r>
        <w:rPr>
          <w:i/>
          <w:spacing w:val="-23"/>
          <w:w w:val="110"/>
          <w:sz w:val="27"/>
        </w:rPr>
        <w:t> </w:t>
      </w:r>
      <w:r>
        <w:rPr>
          <w:i/>
          <w:w w:val="110"/>
          <w:sz w:val="27"/>
        </w:rPr>
        <w:t>исходов</w:t>
      </w:r>
      <w:r>
        <w:rPr>
          <w:i/>
          <w:spacing w:val="-23"/>
          <w:w w:val="110"/>
          <w:sz w:val="27"/>
        </w:rPr>
        <w:t> </w:t>
      </w:r>
      <w:r>
        <w:rPr>
          <w:i/>
          <w:w w:val="110"/>
          <w:sz w:val="27"/>
        </w:rPr>
        <w:t>[21,</w:t>
      </w:r>
      <w:r>
        <w:rPr>
          <w:i/>
          <w:spacing w:val="-24"/>
          <w:w w:val="110"/>
          <w:sz w:val="27"/>
        </w:rPr>
        <w:t> </w:t>
      </w:r>
      <w:r>
        <w:rPr>
          <w:i/>
          <w:w w:val="110"/>
          <w:sz w:val="27"/>
        </w:rPr>
        <w:t>22].</w:t>
      </w:r>
    </w:p>
    <w:p>
      <w:pPr>
        <w:pStyle w:val="BodyText"/>
        <w:spacing w:line="256" w:lineRule="auto" w:before="272"/>
        <w:ind w:left="695" w:right="139"/>
      </w:pPr>
      <w:r>
        <w:rPr/>
        <w:pict>
          <v:shape style="position:absolute;margin-left:91.538452pt;margin-top:21.019461pt;width:4.55pt;height:4.5pt;mso-position-horizontal-relative:page;mso-position-vertical-relative:paragraph;z-index:15804416"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Пациентам с АГ в сочетании с СН со сниженной ФВ в качестве АГТ рекомендуется использовать ИАПФ или БРА, а также ББ,</w:t>
      </w:r>
    </w:p>
    <w:p>
      <w:pPr>
        <w:spacing w:after="0" w:line="256" w:lineRule="auto"/>
        <w:sectPr>
          <w:pgSz w:w="11900" w:h="16840"/>
          <w:pgMar w:top="0" w:bottom="0" w:left="1420" w:right="1520"/>
        </w:sectPr>
      </w:pPr>
    </w:p>
    <w:p>
      <w:pPr>
        <w:pStyle w:val="BodyText"/>
        <w:spacing w:line="256" w:lineRule="auto" w:before="16"/>
        <w:ind w:left="695" w:right="132"/>
      </w:pPr>
      <w:r>
        <w:rPr/>
        <w:t>диуретиков и/или АМКР при необходимости [171, 173] (Приложение Б5).</w:t>
      </w:r>
    </w:p>
    <w:p>
      <w:pPr>
        <w:pStyle w:val="Heading3"/>
      </w:pPr>
      <w:r>
        <w:rPr>
          <w:w w:val="105"/>
        </w:rPr>
        <w:t>ЕОК/ЕОАГ IА (УУР А, УДД 1)</w:t>
      </w:r>
    </w:p>
    <w:p>
      <w:pPr>
        <w:pStyle w:val="BodyText"/>
        <w:spacing w:line="256" w:lineRule="auto" w:before="296"/>
        <w:ind w:left="695" w:right="135"/>
      </w:pPr>
      <w:r>
        <w:rPr/>
        <w:pict>
          <v:shape style="position:absolute;margin-left:91.538452pt;margin-top:22.219448pt;width:4.55pt;height:4.5pt;mso-position-horizontal-relative:page;mso-position-vertical-relative:paragraph;z-index:15804928"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При недостаточном контроле АД пациентам с СН и АГ рекомендуется рассмотреть возможность добавления  к терапии</w:t>
      </w:r>
      <w:r>
        <w:rPr>
          <w:spacing w:val="-18"/>
        </w:rPr>
        <w:t> </w:t>
      </w:r>
      <w:r>
        <w:rPr/>
        <w:t>дигидропиридиновых</w:t>
      </w:r>
      <w:r>
        <w:rPr>
          <w:spacing w:val="-17"/>
        </w:rPr>
        <w:t> </w:t>
      </w:r>
      <w:r>
        <w:rPr/>
        <w:t>АК</w:t>
      </w:r>
      <w:r>
        <w:rPr>
          <w:spacing w:val="-17"/>
        </w:rPr>
        <w:t> </w:t>
      </w:r>
      <w:r>
        <w:rPr/>
        <w:t>для</w:t>
      </w:r>
      <w:r>
        <w:rPr>
          <w:spacing w:val="-18"/>
        </w:rPr>
        <w:t> </w:t>
      </w:r>
      <w:r>
        <w:rPr/>
        <w:t>достижения</w:t>
      </w:r>
      <w:r>
        <w:rPr>
          <w:spacing w:val="-17"/>
        </w:rPr>
        <w:t> </w:t>
      </w:r>
      <w:r>
        <w:rPr/>
        <w:t>целевого</w:t>
      </w:r>
      <w:r>
        <w:rPr>
          <w:spacing w:val="-17"/>
        </w:rPr>
        <w:t> </w:t>
      </w:r>
      <w:r>
        <w:rPr/>
        <w:t>АД [21,</w:t>
      </w:r>
      <w:r>
        <w:rPr>
          <w:spacing w:val="-2"/>
        </w:rPr>
        <w:t> </w:t>
      </w:r>
      <w:r>
        <w:rPr/>
        <w:t>22].</w:t>
      </w:r>
    </w:p>
    <w:p>
      <w:pPr>
        <w:pStyle w:val="Heading3"/>
        <w:spacing w:before="272"/>
      </w:pPr>
      <w:r>
        <w:rPr>
          <w:w w:val="105"/>
        </w:rPr>
        <w:t>ЕОК/ЕОАГ IIbC (УУР C, УДД 5)</w:t>
      </w:r>
    </w:p>
    <w:p>
      <w:pPr>
        <w:pStyle w:val="BodyText"/>
        <w:spacing w:line="256" w:lineRule="auto" w:before="296"/>
        <w:ind w:left="695" w:right="137"/>
      </w:pPr>
      <w:r>
        <w:rPr/>
        <w:pict>
          <v:shape style="position:absolute;margin-left:91.538452pt;margin-top:22.219473pt;width:4.55pt;height:4.5pt;mso-position-horizontal-relative:page;mso-position-vertical-relative:paragraph;z-index:15805440"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и СН с сохраненной ФВ рекомендуется руководствоваться теми же пороговыми и целевыми значениями АД, что и при сниженной ФВ [174–176].</w:t>
      </w:r>
    </w:p>
    <w:p>
      <w:pPr>
        <w:pStyle w:val="Heading3"/>
      </w:pPr>
      <w:r>
        <w:rPr>
          <w:w w:val="105"/>
        </w:rPr>
        <w:t>ЕОК/ЕОАГ IIaB (УУР С, УДД 5)</w:t>
      </w:r>
    </w:p>
    <w:p>
      <w:pPr>
        <w:pStyle w:val="BodyText"/>
        <w:spacing w:line="256" w:lineRule="auto" w:before="296"/>
        <w:ind w:left="695" w:right="139"/>
      </w:pPr>
      <w:r>
        <w:rPr/>
        <w:pict>
          <v:shape style="position:absolute;margin-left:91.538452pt;margin-top:22.219448pt;width:4.55pt;height:4.5pt;mso-position-horizontal-relative:page;mso-position-vertical-relative:paragraph;z-index:15805952"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Всем пациентам с </w:t>
      </w:r>
      <w:r>
        <w:rPr>
          <w:spacing w:val="-3"/>
        </w:rPr>
        <w:t>ГЛЖ </w:t>
      </w:r>
      <w:r>
        <w:rPr/>
        <w:t>рекомендуется назначение блокаторов </w:t>
      </w:r>
      <w:r>
        <w:rPr>
          <w:spacing w:val="-9"/>
        </w:rPr>
        <w:t>РААС</w:t>
      </w:r>
      <w:r>
        <w:rPr>
          <w:spacing w:val="-8"/>
        </w:rPr>
        <w:t> </w:t>
      </w:r>
      <w:r>
        <w:rPr/>
        <w:t>в</w:t>
      </w:r>
      <w:r>
        <w:rPr>
          <w:spacing w:val="-8"/>
        </w:rPr>
        <w:t> </w:t>
      </w:r>
      <w:r>
        <w:rPr/>
        <w:t>комбинации</w:t>
      </w:r>
      <w:r>
        <w:rPr>
          <w:spacing w:val="-8"/>
        </w:rPr>
        <w:t> </w:t>
      </w:r>
      <w:r>
        <w:rPr/>
        <w:t>с</w:t>
      </w:r>
      <w:r>
        <w:rPr>
          <w:spacing w:val="-7"/>
        </w:rPr>
        <w:t> </w:t>
      </w:r>
      <w:r>
        <w:rPr/>
        <w:t>АК</w:t>
      </w:r>
      <w:r>
        <w:rPr>
          <w:spacing w:val="-8"/>
        </w:rPr>
        <w:t> </w:t>
      </w:r>
      <w:r>
        <w:rPr/>
        <w:t>или</w:t>
      </w:r>
      <w:r>
        <w:rPr>
          <w:spacing w:val="-8"/>
        </w:rPr>
        <w:t> </w:t>
      </w:r>
      <w:r>
        <w:rPr/>
        <w:t>диуретиком</w:t>
      </w:r>
      <w:r>
        <w:rPr>
          <w:spacing w:val="-7"/>
        </w:rPr>
        <w:t> </w:t>
      </w:r>
      <w:r>
        <w:rPr/>
        <w:t>в</w:t>
      </w:r>
      <w:r>
        <w:rPr>
          <w:spacing w:val="-8"/>
        </w:rPr>
        <w:t> </w:t>
      </w:r>
      <w:r>
        <w:rPr/>
        <w:t>связи</w:t>
      </w:r>
      <w:r>
        <w:rPr>
          <w:spacing w:val="-8"/>
        </w:rPr>
        <w:t> </w:t>
      </w:r>
      <w:r>
        <w:rPr/>
        <w:t>с</w:t>
      </w:r>
      <w:r>
        <w:rPr>
          <w:spacing w:val="-8"/>
        </w:rPr>
        <w:t> </w:t>
      </w:r>
      <w:r>
        <w:rPr/>
        <w:t>доказанным влиянием на процессы ремоделирования ЛЖ</w:t>
      </w:r>
      <w:r>
        <w:rPr>
          <w:spacing w:val="-12"/>
        </w:rPr>
        <w:t> </w:t>
      </w:r>
      <w:r>
        <w:rPr/>
        <w:t>[177].</w:t>
      </w:r>
    </w:p>
    <w:p>
      <w:pPr>
        <w:pStyle w:val="Heading3"/>
        <w:spacing w:before="272"/>
      </w:pPr>
      <w:r>
        <w:rPr>
          <w:w w:val="105"/>
        </w:rPr>
        <w:t>ЕОК/ЕОАГ IА (УУР А, УДД 1)</w:t>
      </w:r>
    </w:p>
    <w:p>
      <w:pPr>
        <w:pStyle w:val="BodyText"/>
        <w:spacing w:line="256" w:lineRule="auto" w:before="296"/>
        <w:ind w:left="695" w:right="132"/>
      </w:pPr>
      <w:r>
        <w:rPr/>
        <w:pict>
          <v:shape style="position:absolute;margin-left:91.538452pt;margin-top:22.219454pt;width:4.55pt;height:4.5pt;mso-position-horizontal-relative:page;mso-position-vertical-relative:paragraph;z-index:15806464"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У пациентов с АГ и ГЛЖ моложе 65 лет и при отсутствии ХБП рекомендуется снижать САД до значений 120–130 мм рт. ст. в связи с доказанными преимуществами в отношении снижения СС исходов и смертности [107, 178–180].</w:t>
      </w:r>
    </w:p>
    <w:p>
      <w:pPr>
        <w:pStyle w:val="Heading3"/>
      </w:pPr>
      <w:r>
        <w:rPr>
          <w:w w:val="105"/>
        </w:rPr>
        <w:t>ЕОК/ЕОАГ IIaB (УУР А, УДД 1)</w:t>
      </w:r>
    </w:p>
    <w:p>
      <w:pPr>
        <w:pStyle w:val="ListParagraph"/>
        <w:numPr>
          <w:ilvl w:val="2"/>
          <w:numId w:val="6"/>
        </w:numPr>
        <w:tabs>
          <w:tab w:pos="1395" w:val="left" w:leader="none"/>
          <w:tab w:pos="4225" w:val="left" w:leader="none"/>
          <w:tab w:pos="6932" w:val="left" w:leader="none"/>
        </w:tabs>
        <w:spacing w:line="256" w:lineRule="auto" w:before="296" w:after="0"/>
        <w:ind w:left="695" w:right="132" w:firstLine="0"/>
        <w:jc w:val="both"/>
        <w:rPr>
          <w:b/>
          <w:sz w:val="27"/>
        </w:rPr>
      </w:pPr>
      <w:r>
        <w:rPr>
          <w:b/>
          <w:sz w:val="27"/>
        </w:rPr>
        <w:t>Артериальная</w:t>
        <w:tab/>
        <w:t>гипертензия,</w:t>
        <w:tab/>
      </w:r>
      <w:r>
        <w:rPr>
          <w:b/>
          <w:spacing w:val="-1"/>
          <w:w w:val="95"/>
          <w:sz w:val="27"/>
        </w:rPr>
        <w:t>фибрилляция </w:t>
      </w:r>
      <w:r>
        <w:rPr>
          <w:b/>
          <w:sz w:val="27"/>
        </w:rPr>
        <w:t>предсердий и другие</w:t>
      </w:r>
      <w:r>
        <w:rPr>
          <w:b/>
          <w:spacing w:val="13"/>
          <w:sz w:val="27"/>
        </w:rPr>
        <w:t> </w:t>
      </w:r>
      <w:r>
        <w:rPr>
          <w:b/>
          <w:sz w:val="27"/>
        </w:rPr>
        <w:t>аритмии</w:t>
      </w:r>
    </w:p>
    <w:p>
      <w:pPr>
        <w:spacing w:line="256" w:lineRule="auto" w:before="271"/>
        <w:ind w:left="695" w:right="140" w:firstLine="0"/>
        <w:jc w:val="both"/>
        <w:rPr>
          <w:i/>
          <w:sz w:val="27"/>
        </w:rPr>
      </w:pPr>
      <w:r>
        <w:rPr>
          <w:i/>
          <w:w w:val="105"/>
          <w:sz w:val="27"/>
        </w:rPr>
        <w:t>Ведение пациентов с АГ в сочетании с фибрилляцией предсердий </w:t>
      </w:r>
      <w:r>
        <w:rPr>
          <w:i/>
          <w:w w:val="105"/>
          <w:sz w:val="27"/>
        </w:rPr>
        <w:t>проводится в соответствии с действующими клиническими рекомендациями.</w:t>
      </w:r>
    </w:p>
    <w:p>
      <w:pPr>
        <w:pStyle w:val="BodyText"/>
        <w:spacing w:line="256" w:lineRule="auto" w:before="272"/>
        <w:ind w:left="695" w:right="138"/>
      </w:pPr>
      <w:r>
        <w:rPr/>
        <w:pict>
          <v:shape style="position:absolute;margin-left:91.538452pt;margin-top:21.019457pt;width:4.55pt;height:4.5pt;mso-position-horizontal-relative:page;mso-position-vertical-relative:paragraph;z-index:15806976" coordorigin="1831,420" coordsize="91,90" path="m1888,510l1863,510,1853,506,1835,488,1831,478,1831,453,1835,442,1853,425,1863,420,1888,420,1899,425,1916,442,1921,453,1921,465,1921,478,1916,488,1899,506,1888,510xe" filled="true" fillcolor="#000000" stroked="false">
            <v:path arrowok="t"/>
            <v:fill type="solid"/>
            <w10:wrap type="none"/>
          </v:shape>
        </w:pict>
      </w:r>
      <w:r>
        <w:rPr/>
        <w:t>Всех пациентов с ФП рекомендуется обследовать для исключения АГ [181].</w:t>
      </w:r>
    </w:p>
    <w:p>
      <w:pPr>
        <w:pStyle w:val="Heading3"/>
      </w:pPr>
      <w:r>
        <w:rPr>
          <w:w w:val="105"/>
        </w:rPr>
        <w:t>ЕОК/ЕОАГ IC (УУР C, УДД 5)</w:t>
      </w:r>
    </w:p>
    <w:p>
      <w:pPr>
        <w:pStyle w:val="BodyText"/>
        <w:spacing w:line="256" w:lineRule="auto" w:before="296"/>
        <w:ind w:left="695" w:right="132"/>
      </w:pPr>
      <w:r>
        <w:rPr/>
        <w:pict>
          <v:shape style="position:absolute;margin-left:91.538452pt;margin-top:22.219461pt;width:4.55pt;height:4.5pt;mso-position-horizontal-relative:page;mso-position-vertical-relative:paragraph;z-index:15807488"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и ФП при необходимости контроля ЧСС в качестве компонента АГТ рекомендуется назначать ББ или недигидропиридиновые АК (Приложение Б6) [181].</w:t>
      </w:r>
    </w:p>
    <w:p>
      <w:pPr>
        <w:spacing w:after="0" w:line="256" w:lineRule="auto"/>
        <w:sectPr>
          <w:pgSz w:w="11900" w:h="16840"/>
          <w:pgMar w:top="0" w:bottom="280" w:left="1420" w:right="1520"/>
        </w:sectPr>
      </w:pPr>
    </w:p>
    <w:p>
      <w:pPr>
        <w:pStyle w:val="Heading3"/>
        <w:spacing w:before="16"/>
      </w:pPr>
      <w:r>
        <w:rPr>
          <w:w w:val="105"/>
        </w:rPr>
        <w:t>ЕОК/ЕОАГ IIaB (УУР C, УДД 5)</w:t>
      </w:r>
    </w:p>
    <w:p>
      <w:pPr>
        <w:spacing w:line="256" w:lineRule="auto" w:before="296"/>
        <w:ind w:left="695" w:right="134" w:firstLine="0"/>
        <w:jc w:val="both"/>
        <w:rPr>
          <w:i/>
          <w:sz w:val="27"/>
        </w:rPr>
      </w:pPr>
      <w:r>
        <w:rPr>
          <w:b/>
          <w:w w:val="105"/>
          <w:sz w:val="27"/>
        </w:rPr>
        <w:t>Комментарии. </w:t>
      </w:r>
      <w:r>
        <w:rPr>
          <w:i/>
          <w:w w:val="105"/>
          <w:sz w:val="27"/>
        </w:rPr>
        <w:t>Индивидуальный выбор доз ББ или </w:t>
      </w:r>
      <w:r>
        <w:rPr>
          <w:i/>
          <w:w w:val="105"/>
          <w:sz w:val="27"/>
        </w:rPr>
        <w:t>недигидропиридиновых АК препаратов должен быть ориентирован на целевые значения ЧСС не выше 110 в минуту в состоянии покоя [182].</w:t>
      </w:r>
    </w:p>
    <w:p>
      <w:pPr>
        <w:pStyle w:val="BodyText"/>
        <w:spacing w:line="390" w:lineRule="exact" w:before="244"/>
        <w:ind w:left="695" w:right="130"/>
      </w:pPr>
      <w:r>
        <w:rPr/>
        <w:pict>
          <v:shape style="position:absolute;margin-left:91.538452pt;margin-top:21.047089pt;width:4.55pt;height:4.5pt;mso-position-horizontal-relative:page;mso-position-vertical-relative:paragraph;z-index:15808000" coordorigin="1831,421" coordsize="91,90" path="m1888,511l1863,511,1853,506,1835,489,1831,478,1831,453,1835,443,1853,425,1863,421,1888,421,1899,425,1916,443,1921,453,1921,466,1921,478,1916,489,1899,506,1888,511xe" filled="true" fillcolor="#000000" stroked="false">
            <v:path arrowok="t"/>
            <v:fill type="solid"/>
            <w10:wrap type="none"/>
          </v:shape>
        </w:pict>
      </w:r>
      <w:r>
        <w:rPr/>
        <w:t>Пациентам с АГ в сочетании с ФП при числе баллов по шкале CHA</w:t>
      </w:r>
      <w:r>
        <w:rPr>
          <w:position w:val="-7"/>
        </w:rPr>
        <w:t>2</w:t>
      </w:r>
      <w:r>
        <w:rPr/>
        <w:t>DS</w:t>
      </w:r>
      <w:r>
        <w:rPr>
          <w:position w:val="-7"/>
        </w:rPr>
        <w:t>2</w:t>
      </w:r>
      <w:r>
        <w:rPr/>
        <w:t>-Vasc </w:t>
      </w:r>
      <w:r>
        <w:rPr>
          <w:rFonts w:ascii="Times New Roman" w:hAnsi="Times New Roman"/>
        </w:rPr>
        <w:t>≥</w:t>
      </w:r>
      <w:r>
        <w:rPr/>
        <w:t>2 для мужчин и </w:t>
      </w:r>
      <w:r>
        <w:rPr>
          <w:rFonts w:ascii="Times New Roman" w:hAnsi="Times New Roman"/>
        </w:rPr>
        <w:t>≥</w:t>
      </w:r>
      <w:r>
        <w:rPr/>
        <w:t>3 для женщин рекомендуется проводить профилактику инсульта с помощью пероральных антикоагулянтов (шкала предсталена в Таблице 4, Приложение Г3) [183].</w:t>
      </w:r>
    </w:p>
    <w:p>
      <w:pPr>
        <w:pStyle w:val="Heading3"/>
        <w:spacing w:before="299"/>
      </w:pPr>
      <w:r>
        <w:rPr>
          <w:w w:val="105"/>
        </w:rPr>
        <w:t>ЕОК/ЕОАГ IА (УУР А, УДД 1)</w:t>
      </w:r>
    </w:p>
    <w:p>
      <w:pPr>
        <w:pStyle w:val="BodyText"/>
        <w:spacing w:line="390" w:lineRule="exact" w:before="267"/>
        <w:ind w:left="695" w:right="130"/>
      </w:pPr>
      <w:r>
        <w:rPr/>
        <w:pict>
          <v:shape style="position:absolute;margin-left:91.538452pt;margin-top:22.197069pt;width:4.55pt;height:4.5pt;mso-position-horizontal-relative:page;mso-position-vertical-relative:paragraph;z-index:15808512" coordorigin="1831,444" coordsize="91,90" path="m1888,534l1863,534,1853,529,1835,512,1831,501,1831,476,1835,466,1853,448,1863,444,1888,444,1899,448,1916,466,1921,476,1921,489,1921,501,1916,512,1899,529,1888,534xe" filled="true" fillcolor="#000000" stroked="false">
            <v:path arrowok="t"/>
            <v:fill type="solid"/>
            <w10:wrap type="none"/>
          </v:shape>
        </w:pict>
      </w:r>
      <w:r>
        <w:rPr/>
        <w:t>Назначение пероральных антикоагулянтов рекомендовано пациентам с ФП, имеющим 1 балл по шкале </w:t>
      </w:r>
      <w:r>
        <w:rPr>
          <w:spacing w:val="-4"/>
        </w:rPr>
        <w:t>CHA</w:t>
      </w:r>
      <w:r>
        <w:rPr>
          <w:spacing w:val="-4"/>
          <w:position w:val="-7"/>
        </w:rPr>
        <w:t>2</w:t>
      </w:r>
      <w:r>
        <w:rPr>
          <w:spacing w:val="-4"/>
        </w:rPr>
        <w:t>DS</w:t>
      </w:r>
      <w:r>
        <w:rPr>
          <w:spacing w:val="-4"/>
          <w:position w:val="-7"/>
        </w:rPr>
        <w:t>2</w:t>
      </w:r>
      <w:r>
        <w:rPr>
          <w:spacing w:val="-4"/>
        </w:rPr>
        <w:t>-VASc,</w:t>
      </w:r>
      <w:r>
        <w:rPr>
          <w:spacing w:val="59"/>
        </w:rPr>
        <w:t> </w:t>
      </w:r>
      <w:r>
        <w:rPr/>
        <w:t>учитывая индивидуальные особенности и предпочтения пациента [182,184].</w:t>
      </w:r>
    </w:p>
    <w:p>
      <w:pPr>
        <w:pStyle w:val="Heading3"/>
        <w:spacing w:before="300"/>
      </w:pPr>
      <w:r>
        <w:rPr>
          <w:w w:val="105"/>
        </w:rPr>
        <w:t>ЕОК/ЕОАГ IIaB (УУР C, УДД 5)</w:t>
      </w:r>
    </w:p>
    <w:p>
      <w:pPr>
        <w:spacing w:line="256" w:lineRule="auto" w:before="296"/>
        <w:ind w:left="695" w:right="135" w:firstLine="0"/>
        <w:jc w:val="both"/>
        <w:rPr>
          <w:i/>
          <w:sz w:val="27"/>
        </w:rPr>
      </w:pPr>
      <w:r>
        <w:rPr>
          <w:b/>
          <w:w w:val="105"/>
          <w:sz w:val="27"/>
        </w:rPr>
        <w:t>Комментарии.</w:t>
      </w:r>
      <w:r>
        <w:rPr>
          <w:b/>
          <w:spacing w:val="-11"/>
          <w:w w:val="105"/>
          <w:sz w:val="27"/>
        </w:rPr>
        <w:t> </w:t>
      </w:r>
      <w:r>
        <w:rPr>
          <w:i/>
          <w:w w:val="105"/>
          <w:sz w:val="27"/>
        </w:rPr>
        <w:t>Развитие</w:t>
      </w:r>
      <w:r>
        <w:rPr>
          <w:i/>
          <w:spacing w:val="-10"/>
          <w:w w:val="105"/>
          <w:sz w:val="27"/>
        </w:rPr>
        <w:t> </w:t>
      </w:r>
      <w:r>
        <w:rPr>
          <w:i/>
          <w:w w:val="105"/>
          <w:sz w:val="27"/>
        </w:rPr>
        <w:t>ФП</w:t>
      </w:r>
      <w:r>
        <w:rPr>
          <w:i/>
          <w:spacing w:val="-11"/>
          <w:w w:val="105"/>
          <w:sz w:val="27"/>
        </w:rPr>
        <w:t> </w:t>
      </w:r>
      <w:r>
        <w:rPr>
          <w:i/>
          <w:w w:val="105"/>
          <w:sz w:val="27"/>
        </w:rPr>
        <w:t>у</w:t>
      </w:r>
      <w:r>
        <w:rPr>
          <w:i/>
          <w:spacing w:val="-10"/>
          <w:w w:val="105"/>
          <w:sz w:val="27"/>
        </w:rPr>
        <w:t> </w:t>
      </w:r>
      <w:r>
        <w:rPr>
          <w:i/>
          <w:w w:val="105"/>
          <w:sz w:val="27"/>
        </w:rPr>
        <w:t>пациентов</w:t>
      </w:r>
      <w:r>
        <w:rPr>
          <w:i/>
          <w:spacing w:val="-10"/>
          <w:w w:val="105"/>
          <w:sz w:val="27"/>
        </w:rPr>
        <w:t> </w:t>
      </w:r>
      <w:r>
        <w:rPr>
          <w:i/>
          <w:w w:val="105"/>
          <w:sz w:val="27"/>
        </w:rPr>
        <w:t>АГ</w:t>
      </w:r>
      <w:r>
        <w:rPr>
          <w:i/>
          <w:spacing w:val="-11"/>
          <w:w w:val="105"/>
          <w:sz w:val="27"/>
        </w:rPr>
        <w:t> </w:t>
      </w:r>
      <w:r>
        <w:rPr>
          <w:i/>
          <w:w w:val="105"/>
          <w:sz w:val="27"/>
        </w:rPr>
        <w:t>ухудшает</w:t>
      </w:r>
      <w:r>
        <w:rPr>
          <w:i/>
          <w:spacing w:val="-10"/>
          <w:w w:val="105"/>
          <w:sz w:val="27"/>
        </w:rPr>
        <w:t> </w:t>
      </w:r>
      <w:r>
        <w:rPr>
          <w:i/>
          <w:w w:val="105"/>
          <w:sz w:val="27"/>
        </w:rPr>
        <w:t>прогноз </w:t>
      </w:r>
      <w:r>
        <w:rPr>
          <w:i/>
          <w:w w:val="105"/>
          <w:sz w:val="27"/>
        </w:rPr>
        <w:t>заболевания, значимо повышает риск развития инсульта (кардиоэмболического</w:t>
      </w:r>
      <w:r>
        <w:rPr>
          <w:i/>
          <w:spacing w:val="48"/>
          <w:w w:val="105"/>
          <w:sz w:val="27"/>
        </w:rPr>
        <w:t> </w:t>
      </w:r>
      <w:r>
        <w:rPr>
          <w:i/>
          <w:w w:val="105"/>
          <w:sz w:val="27"/>
        </w:rPr>
        <w:t>генеза)</w:t>
      </w:r>
      <w:r>
        <w:rPr>
          <w:i/>
          <w:spacing w:val="49"/>
          <w:w w:val="105"/>
          <w:sz w:val="27"/>
        </w:rPr>
        <w:t> </w:t>
      </w:r>
      <w:r>
        <w:rPr>
          <w:i/>
          <w:w w:val="105"/>
          <w:sz w:val="27"/>
        </w:rPr>
        <w:t>и</w:t>
      </w:r>
      <w:r>
        <w:rPr>
          <w:i/>
          <w:spacing w:val="49"/>
          <w:w w:val="105"/>
          <w:sz w:val="27"/>
        </w:rPr>
        <w:t> </w:t>
      </w:r>
      <w:r>
        <w:rPr>
          <w:i/>
          <w:w w:val="105"/>
          <w:sz w:val="27"/>
        </w:rPr>
        <w:t>сердечной</w:t>
      </w:r>
      <w:r>
        <w:rPr>
          <w:i/>
          <w:spacing w:val="49"/>
          <w:w w:val="105"/>
          <w:sz w:val="27"/>
        </w:rPr>
        <w:t> </w:t>
      </w:r>
      <w:r>
        <w:rPr>
          <w:i/>
          <w:w w:val="105"/>
          <w:sz w:val="27"/>
        </w:rPr>
        <w:t>недостаточности.</w:t>
      </w:r>
      <w:r>
        <w:rPr>
          <w:i/>
          <w:spacing w:val="49"/>
          <w:w w:val="105"/>
          <w:sz w:val="27"/>
        </w:rPr>
        <w:t> </w:t>
      </w:r>
      <w:r>
        <w:rPr>
          <w:i/>
          <w:w w:val="105"/>
          <w:sz w:val="27"/>
        </w:rPr>
        <w:t>АГ</w:t>
      </w:r>
    </w:p>
    <w:p>
      <w:pPr>
        <w:spacing w:line="256" w:lineRule="auto" w:before="1"/>
        <w:ind w:left="695" w:right="129" w:firstLine="0"/>
        <w:jc w:val="both"/>
        <w:rPr>
          <w:i/>
          <w:sz w:val="27"/>
        </w:rPr>
      </w:pPr>
      <w:r>
        <w:rPr>
          <w:i/>
          <w:w w:val="105"/>
          <w:sz w:val="27"/>
        </w:rPr>
        <w:t>— самое распространенное сопутствующее заболевание у </w:t>
      </w:r>
      <w:r>
        <w:rPr>
          <w:i/>
          <w:w w:val="105"/>
          <w:sz w:val="27"/>
        </w:rPr>
        <w:t>пациентов</w:t>
      </w:r>
      <w:r>
        <w:rPr>
          <w:i/>
          <w:spacing w:val="-17"/>
          <w:w w:val="105"/>
          <w:sz w:val="27"/>
        </w:rPr>
        <w:t> </w:t>
      </w:r>
      <w:r>
        <w:rPr>
          <w:i/>
          <w:w w:val="105"/>
          <w:sz w:val="27"/>
        </w:rPr>
        <w:t>с</w:t>
      </w:r>
      <w:r>
        <w:rPr>
          <w:i/>
          <w:spacing w:val="-17"/>
          <w:w w:val="105"/>
          <w:sz w:val="27"/>
        </w:rPr>
        <w:t> </w:t>
      </w:r>
      <w:r>
        <w:rPr>
          <w:i/>
          <w:w w:val="105"/>
          <w:sz w:val="27"/>
        </w:rPr>
        <w:t>ФП.</w:t>
      </w:r>
      <w:r>
        <w:rPr>
          <w:i/>
          <w:spacing w:val="-17"/>
          <w:w w:val="105"/>
          <w:sz w:val="27"/>
        </w:rPr>
        <w:t> </w:t>
      </w:r>
      <w:r>
        <w:rPr>
          <w:i/>
          <w:w w:val="105"/>
          <w:sz w:val="27"/>
        </w:rPr>
        <w:t>В</w:t>
      </w:r>
      <w:r>
        <w:rPr>
          <w:i/>
          <w:spacing w:val="-17"/>
          <w:w w:val="105"/>
          <w:sz w:val="27"/>
        </w:rPr>
        <w:t> </w:t>
      </w:r>
      <w:r>
        <w:rPr>
          <w:i/>
          <w:w w:val="105"/>
          <w:sz w:val="27"/>
        </w:rPr>
        <w:t>отсутствие</w:t>
      </w:r>
      <w:r>
        <w:rPr>
          <w:i/>
          <w:spacing w:val="-16"/>
          <w:w w:val="105"/>
          <w:sz w:val="27"/>
        </w:rPr>
        <w:t> </w:t>
      </w:r>
      <w:r>
        <w:rPr>
          <w:i/>
          <w:w w:val="105"/>
          <w:sz w:val="27"/>
        </w:rPr>
        <w:t>противопоказаний</w:t>
      </w:r>
      <w:r>
        <w:rPr>
          <w:i/>
          <w:spacing w:val="-18"/>
          <w:w w:val="105"/>
          <w:sz w:val="27"/>
        </w:rPr>
        <w:t> </w:t>
      </w:r>
      <w:r>
        <w:rPr>
          <w:i/>
          <w:w w:val="105"/>
          <w:sz w:val="27"/>
        </w:rPr>
        <w:t>пациенты</w:t>
      </w:r>
      <w:r>
        <w:rPr>
          <w:i/>
          <w:spacing w:val="-21"/>
          <w:w w:val="105"/>
          <w:sz w:val="27"/>
        </w:rPr>
        <w:t> </w:t>
      </w:r>
      <w:r>
        <w:rPr>
          <w:i/>
          <w:w w:val="105"/>
          <w:sz w:val="27"/>
        </w:rPr>
        <w:t>ФП должны получать пероральные антикоагулянты для профилактики</w:t>
      </w:r>
      <w:r>
        <w:rPr>
          <w:i/>
          <w:spacing w:val="-43"/>
          <w:w w:val="105"/>
          <w:sz w:val="27"/>
        </w:rPr>
        <w:t> </w:t>
      </w:r>
      <w:r>
        <w:rPr>
          <w:i/>
          <w:w w:val="105"/>
          <w:sz w:val="27"/>
        </w:rPr>
        <w:t>инсульта</w:t>
      </w:r>
      <w:r>
        <w:rPr>
          <w:i/>
          <w:spacing w:val="-42"/>
          <w:w w:val="105"/>
          <w:sz w:val="27"/>
        </w:rPr>
        <w:t> </w:t>
      </w:r>
      <w:r>
        <w:rPr>
          <w:i/>
          <w:w w:val="105"/>
          <w:sz w:val="27"/>
        </w:rPr>
        <w:t>и</w:t>
      </w:r>
      <w:r>
        <w:rPr>
          <w:i/>
          <w:spacing w:val="-43"/>
          <w:w w:val="105"/>
          <w:sz w:val="27"/>
        </w:rPr>
        <w:t> </w:t>
      </w:r>
      <w:r>
        <w:rPr>
          <w:i/>
          <w:w w:val="105"/>
          <w:sz w:val="27"/>
        </w:rPr>
        <w:t>других</w:t>
      </w:r>
      <w:r>
        <w:rPr>
          <w:i/>
          <w:spacing w:val="-42"/>
          <w:w w:val="105"/>
          <w:sz w:val="27"/>
        </w:rPr>
        <w:t> </w:t>
      </w:r>
      <w:r>
        <w:rPr>
          <w:i/>
          <w:w w:val="105"/>
          <w:sz w:val="27"/>
        </w:rPr>
        <w:t>эмболий.</w:t>
      </w:r>
      <w:r>
        <w:rPr>
          <w:i/>
          <w:spacing w:val="-43"/>
          <w:w w:val="105"/>
          <w:sz w:val="27"/>
        </w:rPr>
        <w:t> </w:t>
      </w:r>
      <w:r>
        <w:rPr>
          <w:i/>
          <w:w w:val="105"/>
          <w:sz w:val="27"/>
        </w:rPr>
        <w:t>Адекватный</w:t>
      </w:r>
      <w:r>
        <w:rPr>
          <w:i/>
          <w:spacing w:val="-42"/>
          <w:w w:val="105"/>
          <w:sz w:val="27"/>
        </w:rPr>
        <w:t> </w:t>
      </w:r>
      <w:r>
        <w:rPr>
          <w:i/>
          <w:w w:val="105"/>
          <w:sz w:val="27"/>
        </w:rPr>
        <w:t>контроль АГ у пациентов, получающих антикоагулянты, способствует снижению частоты кровотечений. Оральные антикоагулянты следует применять с осторожностью у пациентов со значительно повышенным АД (САД </w:t>
      </w:r>
      <w:r>
        <w:rPr>
          <w:rFonts w:ascii="Times New Roman" w:hAnsi="Times New Roman"/>
          <w:i/>
          <w:w w:val="105"/>
          <w:sz w:val="27"/>
        </w:rPr>
        <w:t>≥</w:t>
      </w:r>
      <w:r>
        <w:rPr>
          <w:i/>
          <w:w w:val="105"/>
          <w:sz w:val="27"/>
        </w:rPr>
        <w:t>180 мм рт. ст. и/или</w:t>
      </w:r>
      <w:r>
        <w:rPr>
          <w:i/>
          <w:spacing w:val="56"/>
          <w:w w:val="105"/>
          <w:sz w:val="27"/>
        </w:rPr>
        <w:t> </w:t>
      </w:r>
      <w:r>
        <w:rPr>
          <w:i/>
          <w:w w:val="105"/>
          <w:sz w:val="27"/>
        </w:rPr>
        <w:t>ДАД</w:t>
      </w:r>
    </w:p>
    <w:p>
      <w:pPr>
        <w:spacing w:line="256" w:lineRule="auto" w:before="3"/>
        <w:ind w:left="695" w:right="129" w:firstLine="0"/>
        <w:jc w:val="both"/>
        <w:rPr>
          <w:i/>
          <w:sz w:val="27"/>
        </w:rPr>
      </w:pPr>
      <w:r>
        <w:rPr>
          <w:rFonts w:ascii="Times New Roman" w:hAnsi="Times New Roman"/>
          <w:i/>
          <w:w w:val="105"/>
          <w:sz w:val="27"/>
        </w:rPr>
        <w:t>≥</w:t>
      </w:r>
      <w:r>
        <w:rPr>
          <w:i/>
          <w:w w:val="105"/>
          <w:sz w:val="27"/>
        </w:rPr>
        <w:t>100</w:t>
      </w:r>
      <w:r>
        <w:rPr>
          <w:i/>
          <w:spacing w:val="-21"/>
          <w:w w:val="105"/>
          <w:sz w:val="27"/>
        </w:rPr>
        <w:t> </w:t>
      </w:r>
      <w:r>
        <w:rPr>
          <w:i/>
          <w:w w:val="105"/>
          <w:sz w:val="27"/>
        </w:rPr>
        <w:t>мм</w:t>
      </w:r>
      <w:r>
        <w:rPr>
          <w:i/>
          <w:spacing w:val="-20"/>
          <w:w w:val="105"/>
          <w:sz w:val="27"/>
        </w:rPr>
        <w:t> </w:t>
      </w:r>
      <w:r>
        <w:rPr>
          <w:i/>
          <w:w w:val="105"/>
          <w:sz w:val="27"/>
        </w:rPr>
        <w:t>рт.</w:t>
      </w:r>
      <w:r>
        <w:rPr>
          <w:i/>
          <w:spacing w:val="-21"/>
          <w:w w:val="105"/>
          <w:sz w:val="27"/>
        </w:rPr>
        <w:t> </w:t>
      </w:r>
      <w:r>
        <w:rPr>
          <w:i/>
          <w:w w:val="105"/>
          <w:sz w:val="27"/>
        </w:rPr>
        <w:t>ст.),</w:t>
      </w:r>
      <w:r>
        <w:rPr>
          <w:i/>
          <w:spacing w:val="-20"/>
          <w:w w:val="105"/>
          <w:sz w:val="27"/>
        </w:rPr>
        <w:t> </w:t>
      </w:r>
      <w:r>
        <w:rPr>
          <w:i/>
          <w:w w:val="105"/>
          <w:sz w:val="27"/>
        </w:rPr>
        <w:t>при</w:t>
      </w:r>
      <w:r>
        <w:rPr>
          <w:i/>
          <w:spacing w:val="-21"/>
          <w:w w:val="105"/>
          <w:sz w:val="27"/>
        </w:rPr>
        <w:t> </w:t>
      </w:r>
      <w:r>
        <w:rPr>
          <w:i/>
          <w:w w:val="105"/>
          <w:sz w:val="27"/>
        </w:rPr>
        <w:t>этом</w:t>
      </w:r>
      <w:r>
        <w:rPr>
          <w:i/>
          <w:spacing w:val="-20"/>
          <w:w w:val="105"/>
          <w:sz w:val="27"/>
        </w:rPr>
        <w:t> </w:t>
      </w:r>
      <w:r>
        <w:rPr>
          <w:i/>
          <w:w w:val="105"/>
          <w:sz w:val="27"/>
        </w:rPr>
        <w:t>необходимо</w:t>
      </w:r>
      <w:r>
        <w:rPr>
          <w:i/>
          <w:spacing w:val="-20"/>
          <w:w w:val="105"/>
          <w:sz w:val="27"/>
        </w:rPr>
        <w:t> </w:t>
      </w:r>
      <w:r>
        <w:rPr>
          <w:i/>
          <w:w w:val="105"/>
          <w:sz w:val="27"/>
        </w:rPr>
        <w:t>применить</w:t>
      </w:r>
      <w:r>
        <w:rPr>
          <w:i/>
          <w:spacing w:val="-21"/>
          <w:w w:val="105"/>
          <w:sz w:val="27"/>
        </w:rPr>
        <w:t> </w:t>
      </w:r>
      <w:r>
        <w:rPr>
          <w:i/>
          <w:w w:val="105"/>
          <w:sz w:val="27"/>
        </w:rPr>
        <w:t>срочные</w:t>
      </w:r>
      <w:r>
        <w:rPr>
          <w:i/>
          <w:spacing w:val="-20"/>
          <w:w w:val="105"/>
          <w:sz w:val="27"/>
        </w:rPr>
        <w:t> </w:t>
      </w:r>
      <w:r>
        <w:rPr>
          <w:i/>
          <w:w w:val="105"/>
          <w:sz w:val="27"/>
        </w:rPr>
        <w:t>меры </w:t>
      </w:r>
      <w:r>
        <w:rPr>
          <w:i/>
          <w:w w:val="105"/>
          <w:sz w:val="27"/>
        </w:rPr>
        <w:t>для</w:t>
      </w:r>
      <w:r>
        <w:rPr>
          <w:i/>
          <w:spacing w:val="-20"/>
          <w:w w:val="105"/>
          <w:sz w:val="27"/>
        </w:rPr>
        <w:t> </w:t>
      </w:r>
      <w:r>
        <w:rPr>
          <w:i/>
          <w:w w:val="105"/>
          <w:sz w:val="27"/>
        </w:rPr>
        <w:t>достижения</w:t>
      </w:r>
      <w:r>
        <w:rPr>
          <w:i/>
          <w:spacing w:val="-20"/>
          <w:w w:val="105"/>
          <w:sz w:val="27"/>
        </w:rPr>
        <w:t> </w:t>
      </w:r>
      <w:r>
        <w:rPr>
          <w:i/>
          <w:w w:val="105"/>
          <w:sz w:val="27"/>
        </w:rPr>
        <w:t>контроля</w:t>
      </w:r>
      <w:r>
        <w:rPr>
          <w:i/>
          <w:spacing w:val="-19"/>
          <w:w w:val="105"/>
          <w:sz w:val="27"/>
        </w:rPr>
        <w:t> </w:t>
      </w:r>
      <w:r>
        <w:rPr>
          <w:i/>
          <w:w w:val="105"/>
          <w:sz w:val="27"/>
        </w:rPr>
        <w:t>АД;</w:t>
      </w:r>
      <w:r>
        <w:rPr>
          <w:i/>
          <w:spacing w:val="-20"/>
          <w:w w:val="105"/>
          <w:sz w:val="27"/>
        </w:rPr>
        <w:t> </w:t>
      </w:r>
      <w:r>
        <w:rPr>
          <w:i/>
          <w:w w:val="105"/>
          <w:sz w:val="27"/>
        </w:rPr>
        <w:t>целью</w:t>
      </w:r>
      <w:r>
        <w:rPr>
          <w:i/>
          <w:spacing w:val="-20"/>
          <w:w w:val="105"/>
          <w:sz w:val="27"/>
        </w:rPr>
        <w:t> </w:t>
      </w:r>
      <w:r>
        <w:rPr>
          <w:i/>
          <w:w w:val="105"/>
          <w:sz w:val="27"/>
        </w:rPr>
        <w:t>является</w:t>
      </w:r>
      <w:r>
        <w:rPr>
          <w:i/>
          <w:spacing w:val="-19"/>
          <w:w w:val="105"/>
          <w:sz w:val="27"/>
        </w:rPr>
        <w:t> </w:t>
      </w:r>
      <w:r>
        <w:rPr>
          <w:i/>
          <w:w w:val="105"/>
          <w:sz w:val="27"/>
        </w:rPr>
        <w:t>снижение</w:t>
      </w:r>
      <w:r>
        <w:rPr>
          <w:i/>
          <w:spacing w:val="-20"/>
          <w:w w:val="105"/>
          <w:sz w:val="27"/>
        </w:rPr>
        <w:t> </w:t>
      </w:r>
      <w:r>
        <w:rPr>
          <w:i/>
          <w:spacing w:val="-3"/>
          <w:w w:val="105"/>
          <w:sz w:val="27"/>
        </w:rPr>
        <w:t>САД</w:t>
      </w:r>
      <w:r>
        <w:rPr>
          <w:i/>
          <w:spacing w:val="-20"/>
          <w:w w:val="105"/>
          <w:sz w:val="27"/>
        </w:rPr>
        <w:t> </w:t>
      </w:r>
      <w:r>
        <w:rPr>
          <w:i/>
          <w:w w:val="105"/>
          <w:sz w:val="27"/>
        </w:rPr>
        <w:t>как минимум &lt;140 мм рт. ст., ДАД </w:t>
      </w:r>
      <w:r>
        <w:rPr>
          <w:i/>
          <w:spacing w:val="2"/>
          <w:w w:val="105"/>
          <w:sz w:val="27"/>
        </w:rPr>
        <w:t>&lt;90 </w:t>
      </w:r>
      <w:r>
        <w:rPr>
          <w:i/>
          <w:w w:val="105"/>
          <w:sz w:val="27"/>
        </w:rPr>
        <w:t>мм рт. ст. Целесообразно оценить возможность снижения </w:t>
      </w:r>
      <w:r>
        <w:rPr>
          <w:i/>
          <w:spacing w:val="-3"/>
          <w:w w:val="105"/>
          <w:sz w:val="27"/>
        </w:rPr>
        <w:t>САД </w:t>
      </w:r>
      <w:r>
        <w:rPr>
          <w:i/>
          <w:w w:val="105"/>
          <w:sz w:val="27"/>
        </w:rPr>
        <w:t>до &lt;130 мм рт. ст. [181, 185].</w:t>
      </w:r>
    </w:p>
    <w:p>
      <w:pPr>
        <w:pStyle w:val="Heading3"/>
        <w:numPr>
          <w:ilvl w:val="2"/>
          <w:numId w:val="6"/>
        </w:numPr>
        <w:tabs>
          <w:tab w:pos="1583" w:val="left" w:leader="none"/>
        </w:tabs>
        <w:spacing w:line="256" w:lineRule="auto" w:before="272" w:after="0"/>
        <w:ind w:left="695" w:right="131" w:firstLine="0"/>
        <w:jc w:val="both"/>
      </w:pPr>
      <w:r>
        <w:rPr/>
        <w:t>Артериальная гипертензия и цереброваскулярная болезнь</w:t>
      </w:r>
    </w:p>
    <w:p>
      <w:pPr>
        <w:pStyle w:val="BodyText"/>
        <w:spacing w:line="256" w:lineRule="auto" w:before="271"/>
        <w:ind w:left="695" w:right="128"/>
      </w:pPr>
      <w:r>
        <w:rPr/>
        <w:pict>
          <v:shape style="position:absolute;margin-left:91.538452pt;margin-top:20.969460pt;width:4.55pt;height:4.5pt;mso-position-horizontal-relative:page;mso-position-vertical-relative:paragraph;z-index:15809024" coordorigin="1831,419" coordsize="91,90" path="m1888,509l1863,509,1853,505,1835,487,1831,477,1831,452,1835,441,1853,424,1863,419,1888,419,1899,424,1916,441,1921,452,1921,464,1921,477,1916,487,1899,505,1888,509xe" filled="true" fillcolor="#000000" stroked="false">
            <v:path arrowok="t"/>
            <v:fill type="solid"/>
            <w10:wrap type="none"/>
          </v:shape>
        </w:pict>
      </w:r>
      <w:r>
        <w:rPr/>
        <w:t>Пациентам с внутримозговой гематомой и </w:t>
      </w:r>
      <w:r>
        <w:rPr>
          <w:spacing w:val="-3"/>
        </w:rPr>
        <w:t>САД </w:t>
      </w:r>
      <w:r>
        <w:rPr/>
        <w:t>&lt; 200 мм рт. ст. не рекомендуется незамедлительное снижение АД для профилактики осложнений (в том числе</w:t>
      </w:r>
      <w:r>
        <w:rPr>
          <w:spacing w:val="63"/>
        </w:rPr>
        <w:t> </w:t>
      </w:r>
      <w:r>
        <w:rPr/>
        <w:t>гипоперфузии</w:t>
      </w:r>
    </w:p>
    <w:p>
      <w:pPr>
        <w:spacing w:after="0" w:line="256" w:lineRule="auto"/>
        <w:sectPr>
          <w:pgSz w:w="11900" w:h="16840"/>
          <w:pgMar w:top="0" w:bottom="0" w:left="1420" w:right="1520"/>
        </w:sectPr>
      </w:pPr>
    </w:p>
    <w:p>
      <w:pPr>
        <w:pStyle w:val="BodyText"/>
        <w:spacing w:line="256" w:lineRule="auto" w:before="16"/>
        <w:ind w:left="695" w:right="133"/>
      </w:pPr>
      <w:r>
        <w:rPr/>
        <w:t>головного мозга или увеличения размеров очага поражения) [186-192].</w:t>
      </w:r>
    </w:p>
    <w:p>
      <w:pPr>
        <w:pStyle w:val="Heading3"/>
      </w:pPr>
      <w:r>
        <w:rPr>
          <w:w w:val="105"/>
        </w:rPr>
        <w:t>ЕОК/ЕОАГ IIIA (УУР A, УДД 2)</w:t>
      </w:r>
    </w:p>
    <w:p>
      <w:pPr>
        <w:pStyle w:val="BodyText"/>
        <w:spacing w:line="256" w:lineRule="auto" w:before="296"/>
        <w:ind w:left="695" w:right="129"/>
      </w:pPr>
      <w:r>
        <w:rPr/>
        <w:pict>
          <v:shape style="position:absolute;margin-left:91.538452pt;margin-top:22.21944pt;width:4.55pt;height:4.5pt;mso-position-horizontal-relative:page;mso-position-vertical-relative:paragraph;z-index:15809536"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внутримозговой гематомой при САД </w:t>
      </w:r>
      <w:r>
        <w:rPr>
          <w:rFonts w:ascii="Times New Roman" w:hAnsi="Times New Roman"/>
        </w:rPr>
        <w:t>≥</w:t>
      </w:r>
      <w:r>
        <w:rPr/>
        <w:t>220 мм рт. ст. рекомендовано осторожное снижение АД до уровня &lt;180 мм рт. ст. с помощью в/в терапии для профилактики осложнений (в том числе гипоперфузии головного мозга или увеличения размеров очага поражения) [191, 192].</w:t>
      </w:r>
    </w:p>
    <w:p>
      <w:pPr>
        <w:pStyle w:val="Heading3"/>
        <w:spacing w:before="272"/>
      </w:pPr>
      <w:r>
        <w:rPr>
          <w:w w:val="105"/>
        </w:rPr>
        <w:t>ЕОК/ЕОАГ IIaB (УУР С, УДД 5)</w:t>
      </w:r>
    </w:p>
    <w:p>
      <w:pPr>
        <w:pStyle w:val="BodyText"/>
        <w:spacing w:line="256" w:lineRule="auto" w:before="296"/>
        <w:ind w:left="695" w:right="131"/>
      </w:pPr>
      <w:r>
        <w:rPr/>
        <w:pict>
          <v:shape style="position:absolute;margin-left:91.538452pt;margin-top:22.219482pt;width:4.55pt;height:4.5pt;mso-position-horizontal-relative:page;mso-position-vertical-relative:paragraph;z-index:15810048"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c острым ишемическим инсультом рутинное снижение</w:t>
      </w:r>
      <w:r>
        <w:rPr>
          <w:spacing w:val="-10"/>
        </w:rPr>
        <w:t> </w:t>
      </w:r>
      <w:r>
        <w:rPr/>
        <w:t>АД</w:t>
      </w:r>
      <w:r>
        <w:rPr>
          <w:spacing w:val="-9"/>
        </w:rPr>
        <w:t> </w:t>
      </w:r>
      <w:r>
        <w:rPr/>
        <w:t>не</w:t>
      </w:r>
      <w:r>
        <w:rPr>
          <w:spacing w:val="-10"/>
        </w:rPr>
        <w:t> </w:t>
      </w:r>
      <w:r>
        <w:rPr/>
        <w:t>рекомендуется</w:t>
      </w:r>
      <w:r>
        <w:rPr>
          <w:spacing w:val="-10"/>
        </w:rPr>
        <w:t> </w:t>
      </w:r>
      <w:r>
        <w:rPr/>
        <w:t>для</w:t>
      </w:r>
      <w:r>
        <w:rPr>
          <w:spacing w:val="-9"/>
        </w:rPr>
        <w:t> </w:t>
      </w:r>
      <w:r>
        <w:rPr/>
        <w:t>профилактики</w:t>
      </w:r>
      <w:r>
        <w:rPr>
          <w:spacing w:val="-10"/>
        </w:rPr>
        <w:t> </w:t>
      </w:r>
      <w:r>
        <w:rPr/>
        <w:t>осложнений (в том числе гипоперфузии головного мозга)</w:t>
      </w:r>
      <w:r>
        <w:rPr>
          <w:spacing w:val="10"/>
        </w:rPr>
        <w:t> </w:t>
      </w:r>
      <w:r>
        <w:rPr/>
        <w:t>[190-195].</w:t>
      </w:r>
    </w:p>
    <w:p>
      <w:pPr>
        <w:pStyle w:val="Heading3"/>
        <w:spacing w:before="272"/>
      </w:pPr>
      <w:r>
        <w:rPr>
          <w:w w:val="105"/>
        </w:rPr>
        <w:t>ЕОК/ЕОАГ IIIA (УУР A, УДД 1)</w:t>
      </w:r>
    </w:p>
    <w:p>
      <w:pPr>
        <w:pStyle w:val="BodyText"/>
        <w:spacing w:line="256" w:lineRule="auto" w:before="296"/>
        <w:ind w:left="695" w:right="131"/>
      </w:pPr>
      <w:r>
        <w:rPr/>
        <w:pict>
          <v:shape style="position:absolute;margin-left:91.538452pt;margin-top:22.219458pt;width:4.55pt;height:4.5pt;mso-position-horizontal-relative:page;mso-position-vertical-relative:paragraph;z-index:15810560"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острым ишемическим инсультом, которым планируется проведение внутривенной тромболитической терапии, АД рекомендуется осторожно снизить и поддерживать на &lt;180/105 мм рт. ст. в течение как минимум 24 часов после тромболизиса в связи с доказанными преимуществами в отношении прогноза неврологического восстановления [193, 196, 197].</w:t>
      </w:r>
    </w:p>
    <w:p>
      <w:pPr>
        <w:pStyle w:val="Heading3"/>
        <w:spacing w:before="273"/>
      </w:pPr>
      <w:r>
        <w:rPr>
          <w:w w:val="105"/>
        </w:rPr>
        <w:t>ЕОК/ЕОАГ IIaB (УУР С, УДД 3)</w:t>
      </w:r>
    </w:p>
    <w:p>
      <w:pPr>
        <w:pStyle w:val="BodyText"/>
        <w:spacing w:line="256" w:lineRule="auto" w:before="296"/>
        <w:ind w:left="695" w:right="131"/>
      </w:pPr>
      <w:r>
        <w:rPr/>
        <w:pict>
          <v:shape style="position:absolute;margin-left:91.538452pt;margin-top:22.219475pt;width:4.55pt;height:4.5pt;mso-position-horizontal-relative:page;mso-position-vertical-relative:paragraph;z-index:15811072"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w:t>
      </w:r>
      <w:r>
        <w:rPr>
          <w:spacing w:val="-3"/>
        </w:rPr>
        <w:t>САД </w:t>
      </w:r>
      <w:r>
        <w:rPr>
          <w:rFonts w:ascii="Times New Roman" w:hAnsi="Times New Roman"/>
        </w:rPr>
        <w:t>≥ </w:t>
      </w:r>
      <w:r>
        <w:rPr/>
        <w:t>220 и/или ДАД </w:t>
      </w:r>
      <w:r>
        <w:rPr>
          <w:rFonts w:ascii="Times New Roman" w:hAnsi="Times New Roman"/>
        </w:rPr>
        <w:t>≥</w:t>
      </w:r>
      <w:r>
        <w:rPr/>
        <w:t>120 мм рт. ст., которым не проводился тромболизис, рекомендуется рассмотреть возможность целесообразности лекарственной терапии с целью снижения АД на 15% в течение первых суток после инсульта принимается на основании оценки клинической ситуации [21, 22,</w:t>
      </w:r>
      <w:r>
        <w:rPr>
          <w:spacing w:val="-4"/>
        </w:rPr>
        <w:t> </w:t>
      </w:r>
      <w:r>
        <w:rPr/>
        <w:t>193].</w:t>
      </w:r>
    </w:p>
    <w:p>
      <w:pPr>
        <w:pStyle w:val="Heading3"/>
        <w:spacing w:before="272"/>
      </w:pPr>
      <w:r>
        <w:rPr>
          <w:w w:val="105"/>
        </w:rPr>
        <w:t>ЕОК/ЕОАГ IIbC (УУР C, УДД 5)</w:t>
      </w:r>
    </w:p>
    <w:p>
      <w:pPr>
        <w:pStyle w:val="BodyText"/>
        <w:spacing w:line="256" w:lineRule="auto" w:before="296"/>
        <w:ind w:left="695" w:right="130"/>
      </w:pPr>
      <w:r>
        <w:rPr/>
        <w:pict>
          <v:shape style="position:absolute;margin-left:91.538452pt;margin-top:22.219458pt;width:4.55pt;height:4.5pt;mso-position-horizontal-relative:page;mso-position-vertical-relative:paragraph;z-index:15811584" coordorigin="1831,444" coordsize="91,90" path="m1888,534l1863,534,1853,530,1835,512,1831,502,1831,477,1835,466,1853,449,1863,444,1888,444,1899,449,1916,466,1921,477,1921,489,1921,502,1916,512,1899,530,1888,534xe" filled="true" fillcolor="#000000" stroked="false">
            <v:path arrowok="t"/>
            <v:fill type="solid"/>
            <w10:wrap type="none"/>
          </v:shape>
        </w:pict>
      </w:r>
      <w:r>
        <w:rPr/>
        <w:t>Пациентам с АГ, перенесшим острое цереброваскулярное нарушение, с целью сокращения риска повторного острого нарушения мозгового кровообращения (ОНМК) назначение АГТ рекомендовано сразу после транзиторной ишемической атаки (ТИА) и через несколько дней после ишемического инсульта [185, 198, 199].</w:t>
      </w:r>
    </w:p>
    <w:p>
      <w:pPr>
        <w:pStyle w:val="Heading3"/>
        <w:spacing w:before="273"/>
      </w:pPr>
      <w:r>
        <w:rPr>
          <w:w w:val="105"/>
        </w:rPr>
        <w:t>ЕОК/ЕОАГ IА (УУР С, УДД 4)</w:t>
      </w:r>
    </w:p>
    <w:p>
      <w:pPr>
        <w:spacing w:after="0"/>
        <w:sectPr>
          <w:pgSz w:w="11900" w:h="16840"/>
          <w:pgMar w:top="0" w:bottom="0" w:left="1420" w:right="1520"/>
        </w:sectPr>
      </w:pPr>
    </w:p>
    <w:p>
      <w:pPr>
        <w:pStyle w:val="BodyText"/>
        <w:spacing w:line="256" w:lineRule="auto" w:before="16"/>
        <w:ind w:left="695" w:right="136"/>
      </w:pPr>
      <w:r>
        <w:rPr/>
        <w:pict>
          <v:shape style="position:absolute;margin-left:91.538452pt;margin-top:8.219480pt;width:4.55pt;height:4.5pt;mso-position-horizontal-relative:page;mso-position-vertical-relative:paragraph;z-index:15812096" coordorigin="1831,164" coordsize="91,90" path="m1888,254l1863,254,1853,250,1835,232,1831,222,1831,197,1835,186,1853,169,1863,164,1888,164,1899,169,1916,186,1921,197,1921,209,1921,222,1916,232,1899,250,1888,254xe" filled="true" fillcolor="#000000" stroked="false">
            <v:path arrowok="t"/>
            <v:fill type="solid"/>
            <w10:wrap type="none"/>
          </v:shape>
        </w:pict>
      </w:r>
      <w:r>
        <w:rPr/>
        <w:t>Всем пациентам с АГ после ишемического инсульта или ТИА моложе 65 лет и без ХБП рекомендуется снижать САД до целевых значений 120–130 мм рт. ст. в связи с доказанными преимуществами в отношении снижения СС смертности [108, 185, 199, 200].</w:t>
      </w:r>
    </w:p>
    <w:p>
      <w:pPr>
        <w:pStyle w:val="Heading3"/>
        <w:spacing w:before="272"/>
      </w:pPr>
      <w:r>
        <w:rPr>
          <w:w w:val="105"/>
        </w:rPr>
        <w:t>ЕОК/ЕОАГ IIaB (УУР B, УДД 2)</w:t>
      </w:r>
    </w:p>
    <w:p>
      <w:pPr>
        <w:pStyle w:val="BodyText"/>
        <w:spacing w:line="256" w:lineRule="auto" w:before="297"/>
        <w:ind w:left="695" w:right="131"/>
      </w:pPr>
      <w:r>
        <w:rPr/>
        <w:pict>
          <v:shape style="position:absolute;margin-left:91.538452pt;margin-top:22.269461pt;width:4.55pt;height:4.5pt;mso-position-horizontal-relative:page;mso-position-vertical-relative:paragraph;z-index:15812608" coordorigin="1831,445" coordsize="91,90" path="m1888,535l1863,535,1853,531,1835,513,1831,503,1831,478,1835,467,1853,450,1863,445,1888,445,1899,450,1916,467,1921,478,1921,490,1921,503,1916,513,1899,531,1888,535xe" filled="true" fillcolor="#000000" stroked="false">
            <v:path arrowok="t"/>
            <v:fill type="solid"/>
            <w10:wrap type="none"/>
          </v:shape>
        </w:pict>
      </w:r>
      <w:r>
        <w:rPr/>
        <w:t>АГТ, направленная на снижение риска инсульта и рекомендованная всем пациентам с ЦВБ, включает блокатор </w:t>
      </w:r>
      <w:r>
        <w:rPr>
          <w:spacing w:val="-9"/>
        </w:rPr>
        <w:t>РААС </w:t>
      </w:r>
      <w:r>
        <w:rPr/>
        <w:t>в</w:t>
      </w:r>
      <w:r>
        <w:rPr>
          <w:spacing w:val="-8"/>
        </w:rPr>
        <w:t> </w:t>
      </w:r>
      <w:r>
        <w:rPr/>
        <w:t>сочетании</w:t>
      </w:r>
      <w:r>
        <w:rPr>
          <w:spacing w:val="-8"/>
        </w:rPr>
        <w:t> </w:t>
      </w:r>
      <w:r>
        <w:rPr/>
        <w:t>с</w:t>
      </w:r>
      <w:r>
        <w:rPr>
          <w:spacing w:val="-9"/>
        </w:rPr>
        <w:t> </w:t>
      </w:r>
      <w:r>
        <w:rPr/>
        <w:t>АК</w:t>
      </w:r>
      <w:r>
        <w:rPr>
          <w:spacing w:val="-8"/>
        </w:rPr>
        <w:t> </w:t>
      </w:r>
      <w:r>
        <w:rPr/>
        <w:t>или</w:t>
      </w:r>
      <w:r>
        <w:rPr>
          <w:spacing w:val="-8"/>
        </w:rPr>
        <w:t> </w:t>
      </w:r>
      <w:r>
        <w:rPr/>
        <w:t>тиазидоподобным</w:t>
      </w:r>
      <w:r>
        <w:rPr>
          <w:spacing w:val="-9"/>
        </w:rPr>
        <w:t> </w:t>
      </w:r>
      <w:r>
        <w:rPr/>
        <w:t>диуретиком</w:t>
      </w:r>
      <w:r>
        <w:rPr>
          <w:spacing w:val="-8"/>
        </w:rPr>
        <w:t> </w:t>
      </w:r>
      <w:r>
        <w:rPr/>
        <w:t>[108, 153,</w:t>
      </w:r>
      <w:r>
        <w:rPr>
          <w:spacing w:val="-2"/>
        </w:rPr>
        <w:t> </w:t>
      </w:r>
      <w:r>
        <w:rPr/>
        <w:t>198].</w:t>
      </w:r>
    </w:p>
    <w:p>
      <w:pPr>
        <w:pStyle w:val="Heading3"/>
      </w:pPr>
      <w:r>
        <w:rPr>
          <w:w w:val="105"/>
        </w:rPr>
        <w:t>ЕОК/ЕОАГ IA (УУР А, УДД 1)</w:t>
      </w:r>
    </w:p>
    <w:p>
      <w:pPr>
        <w:spacing w:line="256" w:lineRule="auto" w:before="296"/>
        <w:ind w:left="695" w:right="131" w:firstLine="0"/>
        <w:jc w:val="both"/>
        <w:rPr>
          <w:i/>
          <w:sz w:val="27"/>
        </w:rPr>
      </w:pPr>
      <w:r>
        <w:rPr>
          <w:b/>
          <w:w w:val="105"/>
          <w:sz w:val="27"/>
        </w:rPr>
        <w:t>Комментарии. </w:t>
      </w:r>
      <w:r>
        <w:rPr>
          <w:i/>
          <w:w w:val="105"/>
          <w:sz w:val="27"/>
        </w:rPr>
        <w:t>У пациентов АГ с ЦВБ (дисциркуляторная </w:t>
      </w:r>
      <w:r>
        <w:rPr>
          <w:i/>
          <w:w w:val="105"/>
          <w:sz w:val="27"/>
        </w:rPr>
        <w:t>энцефалопатия II–III степени и/или ТИА/инсульт в анамнезе, гемодинамически значимый стеноз магистральных брахиоцефальных артерий) не следует резко снижать АД, так как у части пациентов может быть плохая индивидуальная переносимость более низких уровней АД вследствие нарушения ауторегуляции сосудов головного мозга. У этих пациентов целесообразно применение этапной (ступенчатой) схемы снижения АД.</w:t>
      </w:r>
    </w:p>
    <w:p>
      <w:pPr>
        <w:pStyle w:val="Heading3"/>
        <w:numPr>
          <w:ilvl w:val="2"/>
          <w:numId w:val="6"/>
        </w:numPr>
        <w:tabs>
          <w:tab w:pos="1782" w:val="left" w:leader="none"/>
          <w:tab w:pos="1783" w:val="left" w:leader="none"/>
          <w:tab w:pos="4126" w:val="left" w:leader="none"/>
          <w:tab w:pos="6263" w:val="left" w:leader="none"/>
          <w:tab w:pos="6808" w:val="left" w:leader="none"/>
          <w:tab w:pos="8685" w:val="left" w:leader="none"/>
        </w:tabs>
        <w:spacing w:line="256" w:lineRule="auto" w:before="274" w:after="0"/>
        <w:ind w:left="695" w:right="141" w:firstLine="0"/>
        <w:jc w:val="left"/>
      </w:pPr>
      <w:r>
        <w:rPr/>
        <w:t>Артериальная</w:t>
        <w:tab/>
        <w:t>гипертензия</w:t>
        <w:tab/>
        <w:t>у</w:t>
        <w:tab/>
        <w:t>пациентов</w:t>
        <w:tab/>
      </w:r>
      <w:r>
        <w:rPr>
          <w:spacing w:val="-17"/>
        </w:rPr>
        <w:t>с </w:t>
      </w:r>
      <w:r>
        <w:rPr/>
        <w:t>заболеванием периферических</w:t>
      </w:r>
      <w:r>
        <w:rPr>
          <w:spacing w:val="9"/>
        </w:rPr>
        <w:t> </w:t>
      </w:r>
      <w:r>
        <w:rPr/>
        <w:t>артерий</w:t>
      </w:r>
    </w:p>
    <w:p>
      <w:pPr>
        <w:pStyle w:val="BodyText"/>
        <w:spacing w:line="256" w:lineRule="auto" w:before="271"/>
        <w:ind w:left="695" w:right="131"/>
      </w:pPr>
      <w:r>
        <w:rPr/>
        <w:pict>
          <v:shape style="position:absolute;margin-left:91.538452pt;margin-top:20.969463pt;width:4.55pt;height:4.55pt;mso-position-horizontal-relative:page;mso-position-vertical-relative:paragraph;z-index:15813120"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w w:val="105"/>
        </w:rPr>
        <w:t>Пациентам с АГ в сочетании с периферическим атеросклерозом,</w:t>
      </w:r>
      <w:r>
        <w:rPr>
          <w:spacing w:val="-21"/>
          <w:w w:val="105"/>
        </w:rPr>
        <w:t> </w:t>
      </w:r>
      <w:r>
        <w:rPr>
          <w:w w:val="105"/>
        </w:rPr>
        <w:t>учитывая</w:t>
      </w:r>
      <w:r>
        <w:rPr>
          <w:spacing w:val="-21"/>
          <w:w w:val="105"/>
        </w:rPr>
        <w:t> </w:t>
      </w:r>
      <w:r>
        <w:rPr>
          <w:w w:val="105"/>
        </w:rPr>
        <w:t>высокий</w:t>
      </w:r>
      <w:r>
        <w:rPr>
          <w:spacing w:val="-21"/>
          <w:w w:val="105"/>
        </w:rPr>
        <w:t> </w:t>
      </w:r>
      <w:r>
        <w:rPr>
          <w:w w:val="105"/>
        </w:rPr>
        <w:t>риск</w:t>
      </w:r>
      <w:r>
        <w:rPr>
          <w:spacing w:val="-21"/>
          <w:w w:val="105"/>
        </w:rPr>
        <w:t> </w:t>
      </w:r>
      <w:r>
        <w:rPr>
          <w:w w:val="105"/>
        </w:rPr>
        <w:t>инфаркта</w:t>
      </w:r>
      <w:r>
        <w:rPr>
          <w:spacing w:val="-21"/>
          <w:w w:val="105"/>
        </w:rPr>
        <w:t> </w:t>
      </w:r>
      <w:r>
        <w:rPr>
          <w:w w:val="105"/>
        </w:rPr>
        <w:t>миокарда, инсульта, сердечной недостаточности и сердечно-сосудистой смерти, рекомендуется назначение АГТ с достижением целевого</w:t>
      </w:r>
      <w:r>
        <w:rPr>
          <w:spacing w:val="-8"/>
          <w:w w:val="105"/>
        </w:rPr>
        <w:t> </w:t>
      </w:r>
      <w:r>
        <w:rPr>
          <w:w w:val="105"/>
        </w:rPr>
        <w:t>АД</w:t>
      </w:r>
      <w:r>
        <w:rPr>
          <w:spacing w:val="-8"/>
          <w:w w:val="105"/>
        </w:rPr>
        <w:t> </w:t>
      </w:r>
      <w:r>
        <w:rPr>
          <w:w w:val="105"/>
        </w:rPr>
        <w:t>&lt;140/90</w:t>
      </w:r>
      <w:r>
        <w:rPr>
          <w:spacing w:val="-8"/>
          <w:w w:val="105"/>
        </w:rPr>
        <w:t> </w:t>
      </w:r>
      <w:r>
        <w:rPr>
          <w:w w:val="105"/>
        </w:rPr>
        <w:t>мм</w:t>
      </w:r>
      <w:r>
        <w:rPr>
          <w:spacing w:val="-8"/>
          <w:w w:val="105"/>
        </w:rPr>
        <w:t> </w:t>
      </w:r>
      <w:r>
        <w:rPr>
          <w:w w:val="105"/>
        </w:rPr>
        <w:t>рт.</w:t>
      </w:r>
      <w:r>
        <w:rPr>
          <w:spacing w:val="-8"/>
          <w:w w:val="105"/>
        </w:rPr>
        <w:t> </w:t>
      </w:r>
      <w:r>
        <w:rPr>
          <w:w w:val="105"/>
        </w:rPr>
        <w:t>ст.</w:t>
      </w:r>
      <w:r>
        <w:rPr>
          <w:spacing w:val="-8"/>
          <w:w w:val="105"/>
        </w:rPr>
        <w:t> </w:t>
      </w:r>
      <w:r>
        <w:rPr>
          <w:w w:val="105"/>
        </w:rPr>
        <w:t>[21,</w:t>
      </w:r>
      <w:r>
        <w:rPr>
          <w:spacing w:val="-8"/>
          <w:w w:val="105"/>
        </w:rPr>
        <w:t> </w:t>
      </w:r>
      <w:r>
        <w:rPr>
          <w:w w:val="105"/>
        </w:rPr>
        <w:t>22,</w:t>
      </w:r>
      <w:r>
        <w:rPr>
          <w:spacing w:val="-8"/>
          <w:w w:val="105"/>
        </w:rPr>
        <w:t> </w:t>
      </w:r>
      <w:r>
        <w:rPr>
          <w:spacing w:val="-7"/>
          <w:w w:val="105"/>
        </w:rPr>
        <w:t>107,</w:t>
      </w:r>
      <w:r>
        <w:rPr>
          <w:spacing w:val="-8"/>
          <w:w w:val="105"/>
        </w:rPr>
        <w:t> </w:t>
      </w:r>
      <w:r>
        <w:rPr>
          <w:w w:val="105"/>
        </w:rPr>
        <w:t>171,</w:t>
      </w:r>
      <w:r>
        <w:rPr>
          <w:spacing w:val="-8"/>
          <w:w w:val="105"/>
        </w:rPr>
        <w:t> </w:t>
      </w:r>
      <w:r>
        <w:rPr>
          <w:w w:val="105"/>
        </w:rPr>
        <w:t>201–203].</w:t>
      </w:r>
    </w:p>
    <w:p>
      <w:pPr>
        <w:pStyle w:val="Heading3"/>
        <w:spacing w:before="272"/>
      </w:pPr>
      <w:r>
        <w:rPr>
          <w:w w:val="105"/>
        </w:rPr>
        <w:t>ЕОК/ЕОАГ IА (УУР А, УДД 1)</w:t>
      </w:r>
    </w:p>
    <w:p>
      <w:pPr>
        <w:pStyle w:val="BodyText"/>
        <w:spacing w:line="256" w:lineRule="auto" w:before="296"/>
        <w:ind w:left="695" w:right="134"/>
      </w:pPr>
      <w:r>
        <w:rPr/>
        <w:pict>
          <v:shape style="position:absolute;margin-left:91.538452pt;margin-top:22.21946pt;width:4.55pt;height:4.55pt;mso-position-horizontal-relative:page;mso-position-vertical-relative:paragraph;z-index:15813632"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Всем пациентам с АГ в сочетании с атеросклерозом периферических артерий в качестве начальной терапии рекомендуется назначать комбинацию блокатора РААС и АК или диуретика [21, 22, 201, 202].</w:t>
      </w:r>
    </w:p>
    <w:p>
      <w:pPr>
        <w:pStyle w:val="Heading3"/>
        <w:spacing w:before="272"/>
      </w:pPr>
      <w:r>
        <w:rPr>
          <w:w w:val="105"/>
        </w:rPr>
        <w:t>ЕОК/ЕОАГ IIaВ (УУР А, УДД 1)</w:t>
      </w:r>
    </w:p>
    <w:p>
      <w:pPr>
        <w:pStyle w:val="BodyText"/>
        <w:spacing w:line="256" w:lineRule="auto" w:before="296"/>
        <w:ind w:left="695" w:right="133"/>
      </w:pPr>
      <w:r>
        <w:rPr/>
        <w:pict>
          <v:shape style="position:absolute;margin-left:91.538452pt;margin-top:22.219456pt;width:4.55pt;height:4.55pt;mso-position-horizontal-relative:page;mso-position-vertical-relative:paragraph;z-index:15814144"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Пациентам с атеросклерозом сонных артерий рекомендуется назначать АК и блокаторы РААС, так как препараты данных</w:t>
      </w:r>
    </w:p>
    <w:p>
      <w:pPr>
        <w:spacing w:after="0" w:line="256" w:lineRule="auto"/>
        <w:sectPr>
          <w:pgSz w:w="11900" w:h="16840"/>
          <w:pgMar w:top="0" w:bottom="280" w:left="1420" w:right="1520"/>
        </w:sectPr>
      </w:pPr>
    </w:p>
    <w:p>
      <w:pPr>
        <w:pStyle w:val="BodyText"/>
        <w:spacing w:line="256" w:lineRule="auto" w:before="16"/>
        <w:ind w:left="695" w:right="132"/>
      </w:pPr>
      <w:r>
        <w:rPr/>
        <w:t>групп более эффективно замедляют прогрессирование атеросклероза, чем диуретики и ББ [21, 22, 201–205].</w:t>
      </w:r>
    </w:p>
    <w:p>
      <w:pPr>
        <w:pStyle w:val="Heading3"/>
        <w:ind w:left="768"/>
      </w:pPr>
      <w:r>
        <w:rPr>
          <w:w w:val="105"/>
        </w:rPr>
        <w:t>ЕОК/ЕОАГ нет (УУР А, УДД 1)</w:t>
      </w:r>
    </w:p>
    <w:p>
      <w:pPr>
        <w:spacing w:line="256" w:lineRule="auto" w:before="296"/>
        <w:ind w:left="695" w:right="129" w:firstLine="0"/>
        <w:jc w:val="both"/>
        <w:rPr>
          <w:i/>
          <w:sz w:val="27"/>
        </w:rPr>
      </w:pPr>
      <w:r>
        <w:rPr>
          <w:b/>
          <w:w w:val="105"/>
          <w:sz w:val="27"/>
        </w:rPr>
        <w:t>Комментарии. </w:t>
      </w:r>
      <w:r>
        <w:rPr>
          <w:i/>
          <w:w w:val="105"/>
          <w:sz w:val="27"/>
        </w:rPr>
        <w:t>На основании данных РКИ установлено,</w:t>
      </w:r>
      <w:r>
        <w:rPr>
          <w:i/>
          <w:spacing w:val="60"/>
          <w:w w:val="105"/>
          <w:sz w:val="27"/>
        </w:rPr>
        <w:t> </w:t>
      </w:r>
      <w:r>
        <w:rPr>
          <w:i/>
          <w:w w:val="105"/>
          <w:sz w:val="27"/>
        </w:rPr>
        <w:t>что </w:t>
      </w:r>
      <w:r>
        <w:rPr>
          <w:i/>
          <w:w w:val="105"/>
          <w:sz w:val="27"/>
        </w:rPr>
        <w:t>контроль АГ замедляет прогрессирование атеросклероза сонных артерий. АК, ИАПФ и их комбинация в этом случае более эффективны,</w:t>
      </w:r>
      <w:r>
        <w:rPr>
          <w:i/>
          <w:spacing w:val="-25"/>
          <w:w w:val="105"/>
          <w:sz w:val="27"/>
        </w:rPr>
        <w:t> </w:t>
      </w:r>
      <w:r>
        <w:rPr>
          <w:i/>
          <w:w w:val="105"/>
          <w:sz w:val="27"/>
        </w:rPr>
        <w:t>чем</w:t>
      </w:r>
      <w:r>
        <w:rPr>
          <w:i/>
          <w:spacing w:val="-25"/>
          <w:w w:val="105"/>
          <w:sz w:val="27"/>
        </w:rPr>
        <w:t> </w:t>
      </w:r>
      <w:r>
        <w:rPr>
          <w:i/>
          <w:w w:val="105"/>
          <w:sz w:val="27"/>
        </w:rPr>
        <w:t>диуретики</w:t>
      </w:r>
      <w:r>
        <w:rPr>
          <w:i/>
          <w:spacing w:val="-25"/>
          <w:w w:val="105"/>
          <w:sz w:val="27"/>
        </w:rPr>
        <w:t> </w:t>
      </w:r>
      <w:r>
        <w:rPr>
          <w:i/>
          <w:w w:val="105"/>
          <w:sz w:val="27"/>
        </w:rPr>
        <w:t>и</w:t>
      </w:r>
      <w:r>
        <w:rPr>
          <w:i/>
          <w:spacing w:val="-25"/>
          <w:w w:val="105"/>
          <w:sz w:val="27"/>
        </w:rPr>
        <w:t> </w:t>
      </w:r>
      <w:r>
        <w:rPr>
          <w:i/>
          <w:w w:val="105"/>
          <w:sz w:val="27"/>
        </w:rPr>
        <w:t>ББ</w:t>
      </w:r>
      <w:r>
        <w:rPr>
          <w:i/>
          <w:spacing w:val="-25"/>
          <w:w w:val="105"/>
          <w:sz w:val="27"/>
        </w:rPr>
        <w:t> </w:t>
      </w:r>
      <w:r>
        <w:rPr>
          <w:i/>
          <w:w w:val="105"/>
          <w:sz w:val="27"/>
        </w:rPr>
        <w:t>[204,</w:t>
      </w:r>
      <w:r>
        <w:rPr>
          <w:i/>
          <w:spacing w:val="-24"/>
          <w:w w:val="105"/>
          <w:sz w:val="27"/>
        </w:rPr>
        <w:t> </w:t>
      </w:r>
      <w:r>
        <w:rPr>
          <w:i/>
          <w:w w:val="105"/>
          <w:sz w:val="27"/>
        </w:rPr>
        <w:t>205].</w:t>
      </w:r>
      <w:r>
        <w:rPr>
          <w:i/>
          <w:spacing w:val="-25"/>
          <w:w w:val="105"/>
          <w:sz w:val="27"/>
        </w:rPr>
        <w:t> </w:t>
      </w:r>
      <w:r>
        <w:rPr>
          <w:i/>
          <w:w w:val="105"/>
          <w:sz w:val="27"/>
        </w:rPr>
        <w:t>Следует</w:t>
      </w:r>
      <w:r>
        <w:rPr>
          <w:i/>
          <w:spacing w:val="-25"/>
          <w:w w:val="105"/>
          <w:sz w:val="27"/>
        </w:rPr>
        <w:t> </w:t>
      </w:r>
      <w:r>
        <w:rPr>
          <w:i/>
          <w:w w:val="105"/>
          <w:sz w:val="27"/>
        </w:rPr>
        <w:t>учитывать, что пациенты с каротидным атеросклерозом имеют высокий риск атероэмболического инсульта и </w:t>
      </w:r>
      <w:r>
        <w:rPr>
          <w:i/>
          <w:spacing w:val="-4"/>
          <w:w w:val="105"/>
          <w:sz w:val="27"/>
        </w:rPr>
        <w:t>СС </w:t>
      </w:r>
      <w:r>
        <w:rPr>
          <w:i/>
          <w:w w:val="105"/>
          <w:sz w:val="27"/>
        </w:rPr>
        <w:t>осложнений, в связи с чем АГТ должна сочетаться с назначением статинов и антитромбоцитарных препаратов. Снижение АД у пациентов с двусторонним стенозом сонных артерий следует проводить осторожно, начиная с монотерапии и тщательно отслеживая побочные эффекты [21,</w:t>
      </w:r>
      <w:r>
        <w:rPr>
          <w:i/>
          <w:spacing w:val="-17"/>
          <w:w w:val="105"/>
          <w:sz w:val="27"/>
        </w:rPr>
        <w:t> </w:t>
      </w:r>
      <w:r>
        <w:rPr>
          <w:i/>
          <w:w w:val="105"/>
          <w:sz w:val="27"/>
        </w:rPr>
        <w:t>22].</w:t>
      </w:r>
    </w:p>
    <w:p>
      <w:pPr>
        <w:pStyle w:val="BodyText"/>
        <w:spacing w:line="256" w:lineRule="auto" w:before="275"/>
        <w:ind w:left="695" w:right="131"/>
      </w:pPr>
      <w:r>
        <w:rPr/>
        <w:pict>
          <v:shape style="position:absolute;margin-left:91.538452pt;margin-top:21.169441pt;width:4.55pt;height:4.55pt;mso-position-horizontal-relative:page;mso-position-vertical-relative:paragraph;z-index:15814656" coordorigin="1831,423" coordsize="91,91" path="m1876,513l1863,513,1853,509,1835,491,1831,481,1831,456,1835,445,1853,428,1863,423,1888,423,1899,428,1916,445,1921,456,1921,468,1921,481,1916,491,1899,509,1888,513,1876,513xe" filled="true" fillcolor="#000000" stroked="false">
            <v:path arrowok="t"/>
            <v:fill type="solid"/>
            <w10:wrap type="none"/>
          </v:shape>
        </w:pict>
      </w:r>
      <w:r>
        <w:rPr/>
        <w:t>У пациентов с периферическим атеросклерозом рекомендуется рассмотреть возможность назначения ББ в качестве АГТ, особенно при наличии показаний к их применению для снижения выраженности симптоматики [21, 22].</w:t>
      </w:r>
    </w:p>
    <w:p>
      <w:pPr>
        <w:pStyle w:val="Heading3"/>
        <w:spacing w:before="272"/>
      </w:pPr>
      <w:r>
        <w:rPr>
          <w:w w:val="105"/>
        </w:rPr>
        <w:t>ЕОК/ЕОАГ IIbC (УУР С, УДД 5)</w:t>
      </w:r>
    </w:p>
    <w:p>
      <w:pPr>
        <w:pStyle w:val="ListParagraph"/>
        <w:numPr>
          <w:ilvl w:val="2"/>
          <w:numId w:val="6"/>
        </w:numPr>
        <w:tabs>
          <w:tab w:pos="1793" w:val="left" w:leader="none"/>
          <w:tab w:pos="1794" w:val="left" w:leader="none"/>
          <w:tab w:pos="4134" w:val="left" w:leader="none"/>
          <w:tab w:pos="6268" w:val="left" w:leader="none"/>
          <w:tab w:pos="6811" w:val="left" w:leader="none"/>
          <w:tab w:pos="8685" w:val="left" w:leader="none"/>
        </w:tabs>
        <w:spacing w:line="256" w:lineRule="auto" w:before="296" w:after="0"/>
        <w:ind w:left="695" w:right="142" w:firstLine="0"/>
        <w:jc w:val="left"/>
        <w:rPr>
          <w:b/>
          <w:sz w:val="27"/>
        </w:rPr>
      </w:pPr>
      <w:r>
        <w:rPr>
          <w:b/>
          <w:sz w:val="27"/>
        </w:rPr>
        <w:t>Артериальная</w:t>
        <w:tab/>
        <w:t>гипертензия</w:t>
        <w:tab/>
        <w:t>у</w:t>
        <w:tab/>
        <w:t>пациентов</w:t>
        <w:tab/>
      </w:r>
      <w:r>
        <w:rPr>
          <w:b/>
          <w:spacing w:val="-18"/>
          <w:sz w:val="27"/>
        </w:rPr>
        <w:t>с </w:t>
      </w:r>
      <w:r>
        <w:rPr>
          <w:b/>
          <w:sz w:val="27"/>
        </w:rPr>
        <w:t>заболеваниями</w:t>
      </w:r>
      <w:r>
        <w:rPr>
          <w:b/>
          <w:spacing w:val="5"/>
          <w:sz w:val="27"/>
        </w:rPr>
        <w:t> </w:t>
      </w:r>
      <w:r>
        <w:rPr>
          <w:b/>
          <w:sz w:val="27"/>
        </w:rPr>
        <w:t>легких</w:t>
      </w:r>
    </w:p>
    <w:p>
      <w:pPr>
        <w:pStyle w:val="BodyText"/>
        <w:spacing w:line="256" w:lineRule="auto" w:before="271"/>
        <w:ind w:left="695" w:right="128"/>
      </w:pPr>
      <w:r>
        <w:rPr/>
        <w:pict>
          <v:shape style="position:absolute;margin-left:91.538452pt;margin-top:20.969469pt;width:4.55pt;height:4.55pt;mso-position-horizontal-relative:page;mso-position-vertical-relative:paragraph;z-index:15815168"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t>Пациентам с АГ в сочетании с бронхиальной астмой (БА) и/или ХОБЛ с целью достижения целевого уровня АД в качестве стартовой АГТ не рекомедовано назначение ББ, рекомендуется назначение блокаторов РААС и АК [206–211].</w:t>
      </w:r>
    </w:p>
    <w:p>
      <w:pPr>
        <w:pStyle w:val="Heading3"/>
      </w:pPr>
      <w:r>
        <w:rPr>
          <w:w w:val="105"/>
        </w:rPr>
        <w:t>ЕОК/ЕОАГ нет (УУР B, УДД 1)</w:t>
      </w:r>
    </w:p>
    <w:p>
      <w:pPr>
        <w:spacing w:line="256" w:lineRule="auto" w:before="296"/>
        <w:ind w:left="695" w:right="132" w:firstLine="0"/>
        <w:jc w:val="both"/>
        <w:rPr>
          <w:i/>
          <w:sz w:val="27"/>
        </w:rPr>
      </w:pPr>
      <w:r>
        <w:rPr>
          <w:b/>
          <w:sz w:val="27"/>
        </w:rPr>
        <w:t>Комментарии. </w:t>
      </w:r>
      <w:r>
        <w:rPr>
          <w:i/>
          <w:sz w:val="27"/>
        </w:rPr>
        <w:t>Сочетание АГ с </w:t>
      </w:r>
      <w:r>
        <w:rPr>
          <w:i/>
          <w:spacing w:val="-3"/>
          <w:sz w:val="27"/>
        </w:rPr>
        <w:t>ХОБЛ </w:t>
      </w:r>
      <w:r>
        <w:rPr>
          <w:i/>
          <w:sz w:val="27"/>
        </w:rPr>
        <w:t>и/или бронхиальной </w:t>
      </w:r>
      <w:r>
        <w:rPr>
          <w:i/>
          <w:sz w:val="27"/>
        </w:rPr>
        <w:t>астмой обуславливает особенности проведения</w:t>
      </w:r>
      <w:r>
        <w:rPr>
          <w:i/>
          <w:spacing w:val="39"/>
          <w:sz w:val="27"/>
        </w:rPr>
        <w:t> </w:t>
      </w:r>
      <w:r>
        <w:rPr>
          <w:i/>
          <w:sz w:val="27"/>
        </w:rPr>
        <w:t>АГТ.</w:t>
      </w:r>
    </w:p>
    <w:p>
      <w:pPr>
        <w:spacing w:line="256" w:lineRule="auto" w:before="271"/>
        <w:ind w:left="695" w:right="129" w:firstLine="0"/>
        <w:jc w:val="both"/>
        <w:rPr>
          <w:i/>
          <w:sz w:val="27"/>
        </w:rPr>
      </w:pPr>
      <w:r>
        <w:rPr>
          <w:i/>
          <w:w w:val="105"/>
          <w:sz w:val="27"/>
        </w:rPr>
        <w:t>Пациентам с БА и/или </w:t>
      </w:r>
      <w:r>
        <w:rPr>
          <w:i/>
          <w:spacing w:val="-3"/>
          <w:w w:val="105"/>
          <w:sz w:val="27"/>
        </w:rPr>
        <w:t>ХОБЛ </w:t>
      </w:r>
      <w:r>
        <w:rPr>
          <w:i/>
          <w:w w:val="105"/>
          <w:sz w:val="27"/>
        </w:rPr>
        <w:t>назначение петлевых и тиазидных </w:t>
      </w:r>
      <w:r>
        <w:rPr>
          <w:i/>
          <w:w w:val="105"/>
          <w:sz w:val="27"/>
        </w:rPr>
        <w:t>диуретиков требует осторожности, в связи с высокой вероятностью развития гипокалиемии при их совместном применении с </w:t>
      </w:r>
      <w:r>
        <w:rPr>
          <w:rFonts w:ascii="Times New Roman" w:hAnsi="Times New Roman"/>
          <w:i/>
          <w:w w:val="105"/>
          <w:sz w:val="27"/>
        </w:rPr>
        <w:t>β</w:t>
      </w:r>
      <w:r>
        <w:rPr>
          <w:i/>
          <w:w w:val="105"/>
          <w:sz w:val="27"/>
        </w:rPr>
        <w:t>2-агонистами и особенно — системными </w:t>
      </w:r>
      <w:r>
        <w:rPr>
          <w:i/>
          <w:w w:val="105"/>
          <w:sz w:val="27"/>
        </w:rPr>
        <w:t>стероидами.</w:t>
      </w:r>
    </w:p>
    <w:p>
      <w:pPr>
        <w:spacing w:line="256" w:lineRule="auto" w:before="272"/>
        <w:ind w:left="695" w:right="138" w:firstLine="0"/>
        <w:jc w:val="both"/>
        <w:rPr>
          <w:i/>
          <w:sz w:val="27"/>
        </w:rPr>
      </w:pPr>
      <w:r>
        <w:rPr>
          <w:i/>
          <w:w w:val="110"/>
          <w:sz w:val="27"/>
        </w:rPr>
        <w:t>ББ могут стать причиной развития бронхоспазма, особенно </w:t>
      </w:r>
      <w:r>
        <w:rPr>
          <w:i/>
          <w:w w:val="110"/>
          <w:sz w:val="27"/>
        </w:rPr>
        <w:t>неселективные, в связи с чем не должны рутинно назначаться пациентам с ХОБЛ и противопоказаны пациентам с БА. Ряд</w:t>
      </w:r>
    </w:p>
    <w:p>
      <w:pPr>
        <w:spacing w:after="0" w:line="256" w:lineRule="auto"/>
        <w:jc w:val="both"/>
        <w:rPr>
          <w:sz w:val="27"/>
        </w:rPr>
        <w:sectPr>
          <w:pgSz w:w="11900" w:h="16840"/>
          <w:pgMar w:top="0" w:bottom="0" w:left="1420" w:right="1520"/>
        </w:sectPr>
      </w:pPr>
    </w:p>
    <w:p>
      <w:pPr>
        <w:spacing w:line="256" w:lineRule="auto" w:before="16"/>
        <w:ind w:left="695" w:right="137" w:firstLine="0"/>
        <w:jc w:val="both"/>
        <w:rPr>
          <w:i/>
          <w:sz w:val="27"/>
        </w:rPr>
      </w:pPr>
      <w:r>
        <w:rPr>
          <w:i/>
          <w:w w:val="105"/>
          <w:sz w:val="27"/>
        </w:rPr>
        <w:t>исследований, проведенных у ограниченного числа пациентов, </w:t>
      </w:r>
      <w:r>
        <w:rPr>
          <w:i/>
          <w:w w:val="105"/>
          <w:sz w:val="27"/>
        </w:rPr>
        <w:t>показали, что применение небольших доз высокоселективных ББ не ухудшает и может даже несколько улучшать бронхиальную проходимость [210].</w:t>
      </w:r>
    </w:p>
    <w:p>
      <w:pPr>
        <w:spacing w:line="256" w:lineRule="auto" w:before="272"/>
        <w:ind w:left="695" w:right="130" w:firstLine="0"/>
        <w:jc w:val="both"/>
        <w:rPr>
          <w:i/>
          <w:sz w:val="27"/>
        </w:rPr>
      </w:pPr>
      <w:r>
        <w:rPr>
          <w:i/>
          <w:w w:val="105"/>
          <w:sz w:val="27"/>
        </w:rPr>
        <w:t>Применение АК у пациентов с </w:t>
      </w:r>
      <w:r>
        <w:rPr>
          <w:i/>
          <w:spacing w:val="-3"/>
          <w:w w:val="105"/>
          <w:sz w:val="27"/>
        </w:rPr>
        <w:t>ХОБЛ </w:t>
      </w:r>
      <w:r>
        <w:rPr>
          <w:i/>
          <w:w w:val="105"/>
          <w:sz w:val="27"/>
        </w:rPr>
        <w:t>и/или БА безопасно и даже </w:t>
      </w:r>
      <w:r>
        <w:rPr>
          <w:i/>
          <w:w w:val="105"/>
          <w:sz w:val="27"/>
        </w:rPr>
        <w:t>способствует снижению гиперреактивности бронхов и повышению бронходилатирующего эффекта </w:t>
      </w:r>
      <w:r>
        <w:rPr>
          <w:rFonts w:ascii="Times New Roman" w:hAnsi="Times New Roman"/>
          <w:i/>
          <w:w w:val="105"/>
          <w:sz w:val="27"/>
        </w:rPr>
        <w:t>β</w:t>
      </w:r>
      <w:r>
        <w:rPr>
          <w:i/>
          <w:w w:val="105"/>
          <w:sz w:val="27"/>
        </w:rPr>
        <w:t>2-агонистов.</w:t>
      </w:r>
      <w:r>
        <w:rPr>
          <w:i/>
          <w:spacing w:val="-33"/>
          <w:w w:val="105"/>
          <w:sz w:val="27"/>
        </w:rPr>
        <w:t> </w:t>
      </w:r>
      <w:r>
        <w:rPr>
          <w:i/>
          <w:w w:val="105"/>
          <w:sz w:val="27"/>
        </w:rPr>
        <w:t>Таким </w:t>
      </w:r>
      <w:r>
        <w:rPr>
          <w:i/>
          <w:w w:val="105"/>
          <w:sz w:val="27"/>
        </w:rPr>
        <w:t>образом, наравне с изменением образа жизни (в первую очередь — отказом от курения) в качестве стартовой АГТ предопочтительно использование блокаторов </w:t>
      </w:r>
      <w:r>
        <w:rPr>
          <w:i/>
          <w:spacing w:val="-9"/>
          <w:w w:val="105"/>
          <w:sz w:val="27"/>
        </w:rPr>
        <w:t>РААС </w:t>
      </w:r>
      <w:r>
        <w:rPr>
          <w:i/>
          <w:w w:val="105"/>
          <w:sz w:val="27"/>
        </w:rPr>
        <w:t>и АК. При недостижении целевого АД или наличии сопутствующих заболеваний с соответствующими показаниями можно рассмотреть добавление/назначение тиазидных или тиазидоподобных</w:t>
      </w:r>
      <w:r>
        <w:rPr>
          <w:i/>
          <w:spacing w:val="-18"/>
          <w:w w:val="105"/>
          <w:sz w:val="27"/>
        </w:rPr>
        <w:t> </w:t>
      </w:r>
      <w:r>
        <w:rPr>
          <w:i/>
          <w:w w:val="105"/>
          <w:sz w:val="27"/>
        </w:rPr>
        <w:t>диуретиков</w:t>
      </w:r>
      <w:r>
        <w:rPr>
          <w:i/>
          <w:spacing w:val="-18"/>
          <w:w w:val="105"/>
          <w:sz w:val="27"/>
        </w:rPr>
        <w:t> </w:t>
      </w:r>
      <w:r>
        <w:rPr>
          <w:i/>
          <w:w w:val="105"/>
          <w:sz w:val="27"/>
        </w:rPr>
        <w:t>и</w:t>
      </w:r>
      <w:r>
        <w:rPr>
          <w:i/>
          <w:spacing w:val="-17"/>
          <w:w w:val="105"/>
          <w:sz w:val="27"/>
        </w:rPr>
        <w:t> </w:t>
      </w:r>
      <w:r>
        <w:rPr>
          <w:i/>
          <w:w w:val="105"/>
          <w:sz w:val="27"/>
        </w:rPr>
        <w:t>высокоселективных</w:t>
      </w:r>
      <w:r>
        <w:rPr>
          <w:i/>
          <w:spacing w:val="-18"/>
          <w:w w:val="105"/>
          <w:sz w:val="27"/>
        </w:rPr>
        <w:t> </w:t>
      </w:r>
      <w:r>
        <w:rPr>
          <w:i/>
          <w:w w:val="105"/>
          <w:sz w:val="27"/>
        </w:rPr>
        <w:t>ББ</w:t>
      </w:r>
      <w:r>
        <w:rPr>
          <w:i/>
          <w:spacing w:val="-17"/>
          <w:w w:val="105"/>
          <w:sz w:val="27"/>
        </w:rPr>
        <w:t> </w:t>
      </w:r>
      <w:r>
        <w:rPr>
          <w:i/>
          <w:w w:val="105"/>
          <w:sz w:val="27"/>
        </w:rPr>
        <w:t>[21,</w:t>
      </w:r>
      <w:r>
        <w:rPr>
          <w:i/>
          <w:spacing w:val="-18"/>
          <w:w w:val="105"/>
          <w:sz w:val="27"/>
        </w:rPr>
        <w:t> </w:t>
      </w:r>
      <w:r>
        <w:rPr>
          <w:i/>
          <w:w w:val="105"/>
          <w:sz w:val="27"/>
        </w:rPr>
        <w:t>22].</w:t>
      </w:r>
    </w:p>
    <w:p>
      <w:pPr>
        <w:spacing w:line="256" w:lineRule="auto" w:before="274"/>
        <w:ind w:left="695" w:right="128" w:firstLine="0"/>
        <w:jc w:val="both"/>
        <w:rPr>
          <w:i/>
          <w:sz w:val="27"/>
        </w:rPr>
      </w:pPr>
      <w:r>
        <w:rPr>
          <w:i/>
          <w:w w:val="105"/>
          <w:sz w:val="27"/>
        </w:rPr>
        <w:t>Пациенты с АГ с бронхообструктивной патологией часто </w:t>
      </w:r>
      <w:r>
        <w:rPr>
          <w:i/>
          <w:w w:val="105"/>
          <w:sz w:val="27"/>
        </w:rPr>
        <w:t>применяют</w:t>
      </w:r>
      <w:r>
        <w:rPr>
          <w:i/>
          <w:spacing w:val="-35"/>
          <w:w w:val="105"/>
          <w:sz w:val="27"/>
        </w:rPr>
        <w:t> </w:t>
      </w:r>
      <w:r>
        <w:rPr>
          <w:i/>
          <w:w w:val="105"/>
          <w:sz w:val="27"/>
        </w:rPr>
        <w:t>бронхолитические</w:t>
      </w:r>
      <w:r>
        <w:rPr>
          <w:i/>
          <w:spacing w:val="-35"/>
          <w:w w:val="105"/>
          <w:sz w:val="27"/>
        </w:rPr>
        <w:t> </w:t>
      </w:r>
      <w:r>
        <w:rPr>
          <w:i/>
          <w:w w:val="105"/>
          <w:sz w:val="27"/>
        </w:rPr>
        <w:t>и</w:t>
      </w:r>
      <w:r>
        <w:rPr>
          <w:i/>
          <w:spacing w:val="-35"/>
          <w:w w:val="105"/>
          <w:sz w:val="27"/>
        </w:rPr>
        <w:t> </w:t>
      </w:r>
      <w:r>
        <w:rPr>
          <w:i/>
          <w:w w:val="105"/>
          <w:sz w:val="27"/>
        </w:rPr>
        <w:t>глюкокортикостероидные</w:t>
      </w:r>
      <w:r>
        <w:rPr>
          <w:i/>
          <w:spacing w:val="-35"/>
          <w:w w:val="105"/>
          <w:sz w:val="27"/>
        </w:rPr>
        <w:t> </w:t>
      </w:r>
      <w:r>
        <w:rPr>
          <w:i/>
          <w:w w:val="105"/>
          <w:sz w:val="27"/>
        </w:rPr>
        <w:t>(ГКС) препараты. Системное и длительное применение </w:t>
      </w:r>
      <w:r>
        <w:rPr>
          <w:i/>
          <w:spacing w:val="-4"/>
          <w:w w:val="105"/>
          <w:sz w:val="27"/>
        </w:rPr>
        <w:t>ГКС </w:t>
      </w:r>
      <w:r>
        <w:rPr>
          <w:i/>
          <w:w w:val="105"/>
          <w:sz w:val="27"/>
        </w:rPr>
        <w:t>способствует повышению АД. При применении ингаляционных </w:t>
      </w:r>
      <w:r>
        <w:rPr>
          <w:i/>
          <w:spacing w:val="-4"/>
          <w:w w:val="105"/>
          <w:sz w:val="27"/>
        </w:rPr>
        <w:t>ГКС </w:t>
      </w:r>
      <w:r>
        <w:rPr>
          <w:i/>
          <w:w w:val="105"/>
          <w:sz w:val="27"/>
        </w:rPr>
        <w:t>подобные эффекты</w:t>
      </w:r>
      <w:r>
        <w:rPr>
          <w:i/>
          <w:spacing w:val="-16"/>
          <w:w w:val="105"/>
          <w:sz w:val="27"/>
        </w:rPr>
        <w:t> </w:t>
      </w:r>
      <w:r>
        <w:rPr>
          <w:i/>
          <w:w w:val="105"/>
          <w:sz w:val="27"/>
        </w:rPr>
        <w:t>незначительны.</w:t>
      </w:r>
    </w:p>
    <w:p>
      <w:pPr>
        <w:pStyle w:val="Heading3"/>
        <w:numPr>
          <w:ilvl w:val="2"/>
          <w:numId w:val="6"/>
        </w:numPr>
        <w:tabs>
          <w:tab w:pos="1987" w:val="left" w:leader="none"/>
          <w:tab w:pos="1988" w:val="left" w:leader="none"/>
          <w:tab w:pos="4523" w:val="left" w:leader="none"/>
          <w:tab w:pos="6851" w:val="left" w:leader="none"/>
          <w:tab w:pos="7626" w:val="left" w:leader="none"/>
        </w:tabs>
        <w:spacing w:line="256" w:lineRule="auto" w:before="272" w:after="0"/>
        <w:ind w:left="695" w:right="135" w:firstLine="0"/>
        <w:jc w:val="left"/>
      </w:pPr>
      <w:r>
        <w:rPr/>
        <w:t>Артериальная</w:t>
        <w:tab/>
        <w:t>гипертензия</w:t>
        <w:tab/>
        <w:t>и</w:t>
        <w:tab/>
      </w:r>
      <w:r>
        <w:rPr>
          <w:spacing w:val="-3"/>
        </w:rPr>
        <w:t>синдром </w:t>
      </w:r>
      <w:r>
        <w:rPr/>
        <w:t>обструктивного апноэ</w:t>
      </w:r>
      <w:r>
        <w:rPr>
          <w:spacing w:val="8"/>
        </w:rPr>
        <w:t> </w:t>
      </w:r>
      <w:r>
        <w:rPr/>
        <w:t>сна</w:t>
      </w:r>
    </w:p>
    <w:p>
      <w:pPr>
        <w:pStyle w:val="BodyText"/>
        <w:spacing w:line="256" w:lineRule="auto" w:before="271"/>
        <w:ind w:left="695" w:right="130"/>
      </w:pPr>
      <w:r>
        <w:rPr/>
        <w:pict>
          <v:shape style="position:absolute;margin-left:91.538452pt;margin-top:20.969471pt;width:4.55pt;height:4.55pt;mso-position-horizontal-relative:page;mso-position-vertical-relative:paragraph;z-index:15815680"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t>Для улучшения контроля АГ у пациентов с синдромом обструктивного апноэ во время сна (СОАС) рекомендуется применение CPAP (“сипап”) — терапии (от англ. Constant Positive Airway Pressure), заключающейся в создании непрерывного положительного давления в дыхательных путях аппаратным методом) [21].</w:t>
      </w:r>
    </w:p>
    <w:p>
      <w:pPr>
        <w:pStyle w:val="Heading3"/>
        <w:spacing w:before="273"/>
        <w:jc w:val="both"/>
      </w:pPr>
      <w:r>
        <w:rPr>
          <w:w w:val="105"/>
        </w:rPr>
        <w:t>ЕОК/ЕОАГ нет (УУР C, УДД 5)</w:t>
      </w:r>
    </w:p>
    <w:p>
      <w:pPr>
        <w:spacing w:line="256" w:lineRule="auto" w:before="296"/>
        <w:ind w:left="695" w:right="130" w:firstLine="0"/>
        <w:jc w:val="both"/>
        <w:rPr>
          <w:i/>
          <w:sz w:val="27"/>
        </w:rPr>
      </w:pPr>
      <w:r>
        <w:rPr>
          <w:b/>
          <w:w w:val="105"/>
          <w:sz w:val="27"/>
        </w:rPr>
        <w:t>Комментарии. </w:t>
      </w:r>
      <w:r>
        <w:rPr>
          <w:i/>
          <w:spacing w:val="-10"/>
          <w:w w:val="105"/>
          <w:sz w:val="27"/>
        </w:rPr>
        <w:t>СОАС </w:t>
      </w:r>
      <w:r>
        <w:rPr>
          <w:i/>
          <w:w w:val="105"/>
          <w:sz w:val="27"/>
        </w:rPr>
        <w:t>характеризуется периодическим </w:t>
      </w:r>
      <w:r>
        <w:rPr>
          <w:i/>
          <w:w w:val="105"/>
          <w:sz w:val="27"/>
        </w:rPr>
        <w:t>спадением верхних дыхательных путей на уровне глотки и прекращением легочной вентиляции при сохраняющихся дыхательных усилиях во время сна с последовательным снижением насыщения кислородом крови, грубой фрагментацией сна и выраженной дневной сонливостью. При </w:t>
      </w:r>
      <w:r>
        <w:rPr>
          <w:i/>
          <w:spacing w:val="-8"/>
          <w:w w:val="105"/>
          <w:sz w:val="27"/>
        </w:rPr>
        <w:t>СОАС, </w:t>
      </w:r>
      <w:r>
        <w:rPr>
          <w:i/>
          <w:w w:val="105"/>
          <w:sz w:val="27"/>
        </w:rPr>
        <w:t>особенно тяжелой степени (индекс апноэ/гипопноэ &gt;30), происходит активация СНС, что приводит к повышению или недостаточному снижению АД в ночные часы, развитию эндотелиальной дисфункции, оксидативного стресса и увеличению</w:t>
      </w:r>
      <w:r>
        <w:rPr>
          <w:i/>
          <w:spacing w:val="-22"/>
          <w:w w:val="105"/>
          <w:sz w:val="27"/>
        </w:rPr>
        <w:t> </w:t>
      </w:r>
      <w:r>
        <w:rPr>
          <w:i/>
          <w:w w:val="105"/>
          <w:sz w:val="27"/>
        </w:rPr>
        <w:t>риска</w:t>
      </w:r>
      <w:r>
        <w:rPr>
          <w:i/>
          <w:spacing w:val="-22"/>
          <w:w w:val="105"/>
          <w:sz w:val="27"/>
        </w:rPr>
        <w:t> </w:t>
      </w:r>
      <w:r>
        <w:rPr>
          <w:i/>
          <w:w w:val="105"/>
          <w:sz w:val="27"/>
        </w:rPr>
        <w:t>развития</w:t>
      </w:r>
      <w:r>
        <w:rPr>
          <w:i/>
          <w:spacing w:val="-22"/>
          <w:w w:val="105"/>
          <w:sz w:val="27"/>
        </w:rPr>
        <w:t> </w:t>
      </w:r>
      <w:r>
        <w:rPr>
          <w:i/>
          <w:spacing w:val="-4"/>
          <w:w w:val="105"/>
          <w:sz w:val="27"/>
        </w:rPr>
        <w:t>ССО.</w:t>
      </w:r>
      <w:r>
        <w:rPr>
          <w:i/>
          <w:spacing w:val="-21"/>
          <w:w w:val="105"/>
          <w:sz w:val="27"/>
        </w:rPr>
        <w:t> </w:t>
      </w:r>
      <w:r>
        <w:rPr>
          <w:i/>
          <w:w w:val="105"/>
          <w:sz w:val="27"/>
        </w:rPr>
        <w:t>На</w:t>
      </w:r>
      <w:r>
        <w:rPr>
          <w:i/>
          <w:spacing w:val="-22"/>
          <w:w w:val="105"/>
          <w:sz w:val="27"/>
        </w:rPr>
        <w:t> </w:t>
      </w:r>
      <w:r>
        <w:rPr>
          <w:i/>
          <w:w w:val="105"/>
          <w:sz w:val="27"/>
        </w:rPr>
        <w:t>наличие</w:t>
      </w:r>
      <w:r>
        <w:rPr>
          <w:i/>
          <w:spacing w:val="-22"/>
          <w:w w:val="105"/>
          <w:sz w:val="27"/>
        </w:rPr>
        <w:t> </w:t>
      </w:r>
      <w:r>
        <w:rPr>
          <w:i/>
          <w:spacing w:val="-10"/>
          <w:w w:val="105"/>
          <w:sz w:val="27"/>
        </w:rPr>
        <w:t>СОАС</w:t>
      </w:r>
      <w:r>
        <w:rPr>
          <w:i/>
          <w:spacing w:val="-22"/>
          <w:w w:val="105"/>
          <w:sz w:val="27"/>
        </w:rPr>
        <w:t> </w:t>
      </w:r>
      <w:r>
        <w:rPr>
          <w:i/>
          <w:w w:val="105"/>
          <w:sz w:val="27"/>
        </w:rPr>
        <w:t>должны</w:t>
      </w:r>
      <w:r>
        <w:rPr>
          <w:i/>
          <w:spacing w:val="-21"/>
          <w:w w:val="105"/>
          <w:sz w:val="27"/>
        </w:rPr>
        <w:t> </w:t>
      </w:r>
      <w:r>
        <w:rPr>
          <w:i/>
          <w:w w:val="105"/>
          <w:sz w:val="27"/>
        </w:rPr>
        <w:t>быть</w:t>
      </w:r>
    </w:p>
    <w:p>
      <w:pPr>
        <w:spacing w:after="0" w:line="256" w:lineRule="auto"/>
        <w:jc w:val="both"/>
        <w:rPr>
          <w:sz w:val="27"/>
        </w:rPr>
        <w:sectPr>
          <w:pgSz w:w="11900" w:h="16840"/>
          <w:pgMar w:top="0" w:bottom="0" w:left="1420" w:right="1520"/>
        </w:sectPr>
      </w:pPr>
    </w:p>
    <w:p>
      <w:pPr>
        <w:spacing w:line="256" w:lineRule="auto" w:before="16"/>
        <w:ind w:left="695" w:right="130" w:firstLine="0"/>
        <w:jc w:val="both"/>
        <w:rPr>
          <w:i/>
          <w:sz w:val="27"/>
        </w:rPr>
      </w:pPr>
      <w:r>
        <w:rPr>
          <w:i/>
          <w:w w:val="105"/>
          <w:sz w:val="27"/>
        </w:rPr>
        <w:t>обследованы пациенты с АГ с ожирением, резистентностью к </w:t>
      </w:r>
      <w:r>
        <w:rPr>
          <w:i/>
          <w:w w:val="105"/>
          <w:sz w:val="27"/>
        </w:rPr>
        <w:t>АГТ, у которых по результатам СМАД имеется недостаточное снижение или повышение АД в ночные часы. Признаками, позволяющими заподозрить СОАС, являются: беспокойный,</w:t>
      </w:r>
    </w:p>
    <w:p>
      <w:pPr>
        <w:spacing w:line="256" w:lineRule="auto" w:before="2"/>
        <w:ind w:left="695" w:right="131" w:firstLine="0"/>
        <w:jc w:val="both"/>
        <w:rPr>
          <w:i/>
          <w:sz w:val="27"/>
        </w:rPr>
      </w:pPr>
      <w:r>
        <w:rPr>
          <w:i/>
          <w:w w:val="105"/>
          <w:sz w:val="27"/>
        </w:rPr>
        <w:t>«неосвежающий» сон; учащенное ночное мочеиспускание; дневная </w:t>
      </w:r>
      <w:r>
        <w:rPr>
          <w:i/>
          <w:w w:val="105"/>
          <w:sz w:val="27"/>
        </w:rPr>
        <w:t>сонливость; разбитость, утренние головные боли; хроническая усталость; снижение памяти и внимания; громкий, прерывистый храп; остановки дыхания во сне; увеличение массы тела и снижение потенции.</w:t>
      </w:r>
    </w:p>
    <w:p>
      <w:pPr>
        <w:spacing w:line="256" w:lineRule="auto" w:before="272"/>
        <w:ind w:left="695" w:right="141" w:firstLine="0"/>
        <w:jc w:val="both"/>
        <w:rPr>
          <w:i/>
          <w:sz w:val="27"/>
        </w:rPr>
      </w:pPr>
      <w:r>
        <w:rPr>
          <w:i/>
          <w:sz w:val="27"/>
        </w:rPr>
        <w:t>Для скрининга СОАС можно использовать опросник шкалы </w:t>
      </w:r>
      <w:r>
        <w:rPr>
          <w:i/>
          <w:sz w:val="27"/>
        </w:rPr>
        <w:t>сонливости по Эпфорт (Epworth Sleepiness Scale) (Таблица П5, Приложение Г3), компьютерную пульсоксиметрию.</w:t>
      </w:r>
    </w:p>
    <w:p>
      <w:pPr>
        <w:spacing w:line="256" w:lineRule="auto" w:before="271"/>
        <w:ind w:left="695" w:right="129" w:firstLine="0"/>
        <w:jc w:val="both"/>
        <w:rPr>
          <w:i/>
          <w:sz w:val="27"/>
        </w:rPr>
      </w:pPr>
      <w:r>
        <w:rPr>
          <w:i/>
          <w:w w:val="105"/>
          <w:sz w:val="27"/>
        </w:rPr>
        <w:t>Для постановки диагноза и оценки степени тяжести СОАС </w:t>
      </w:r>
      <w:r>
        <w:rPr>
          <w:i/>
          <w:w w:val="105"/>
          <w:sz w:val="27"/>
        </w:rPr>
        <w:t>проводится респираторное или кардиореспираторное мониторирование. Золотой стандарт выявления СОАС — полисомнографическое исследование.</w:t>
      </w:r>
    </w:p>
    <w:p>
      <w:pPr>
        <w:spacing w:line="256" w:lineRule="auto" w:before="272"/>
        <w:ind w:left="695" w:right="132" w:firstLine="0"/>
        <w:jc w:val="both"/>
        <w:rPr>
          <w:i/>
          <w:sz w:val="27"/>
        </w:rPr>
      </w:pPr>
      <w:r>
        <w:rPr>
          <w:i/>
          <w:w w:val="105"/>
          <w:sz w:val="27"/>
        </w:rPr>
        <w:t>Лечение пациентов с </w:t>
      </w:r>
      <w:r>
        <w:rPr>
          <w:i/>
          <w:spacing w:val="-10"/>
          <w:w w:val="105"/>
          <w:sz w:val="27"/>
        </w:rPr>
        <w:t>СОАС </w:t>
      </w:r>
      <w:r>
        <w:rPr>
          <w:i/>
          <w:w w:val="105"/>
          <w:sz w:val="27"/>
        </w:rPr>
        <w:t>включает снижение веса у пациентов </w:t>
      </w:r>
      <w:r>
        <w:rPr>
          <w:i/>
          <w:w w:val="105"/>
          <w:sz w:val="27"/>
        </w:rPr>
        <w:t>с ожирением, отказ от курения, приема транквилизаторов и снотворных препаратов, а также проведение мероприятий, направленных на обеспечение свободного носового дыхания. Основной метод лечения пациентов с </w:t>
      </w:r>
      <w:r>
        <w:rPr>
          <w:i/>
          <w:spacing w:val="-10"/>
          <w:w w:val="105"/>
          <w:sz w:val="27"/>
        </w:rPr>
        <w:t>СОАС </w:t>
      </w:r>
      <w:r>
        <w:rPr>
          <w:i/>
          <w:w w:val="105"/>
          <w:sz w:val="27"/>
        </w:rPr>
        <w:t>— </w:t>
      </w:r>
      <w:r>
        <w:rPr>
          <w:i/>
          <w:spacing w:val="-5"/>
          <w:w w:val="105"/>
          <w:sz w:val="27"/>
        </w:rPr>
        <w:t>CPAP </w:t>
      </w:r>
      <w:r>
        <w:rPr>
          <w:i/>
          <w:w w:val="105"/>
          <w:sz w:val="27"/>
        </w:rPr>
        <w:t>терапия (создание постоянного положительного давления воздуха в дыхательных</w:t>
      </w:r>
      <w:r>
        <w:rPr>
          <w:i/>
          <w:spacing w:val="-14"/>
          <w:w w:val="105"/>
          <w:sz w:val="27"/>
        </w:rPr>
        <w:t> </w:t>
      </w:r>
      <w:r>
        <w:rPr>
          <w:i/>
          <w:w w:val="105"/>
          <w:sz w:val="27"/>
        </w:rPr>
        <w:t>путях</w:t>
      </w:r>
      <w:r>
        <w:rPr>
          <w:i/>
          <w:spacing w:val="-13"/>
          <w:w w:val="105"/>
          <w:sz w:val="27"/>
        </w:rPr>
        <w:t> </w:t>
      </w:r>
      <w:r>
        <w:rPr>
          <w:i/>
          <w:w w:val="105"/>
          <w:sz w:val="27"/>
        </w:rPr>
        <w:t>—</w:t>
      </w:r>
      <w:r>
        <w:rPr>
          <w:i/>
          <w:spacing w:val="-13"/>
          <w:w w:val="105"/>
          <w:sz w:val="27"/>
        </w:rPr>
        <w:t> </w:t>
      </w:r>
      <w:r>
        <w:rPr>
          <w:i/>
          <w:w w:val="105"/>
          <w:sz w:val="27"/>
        </w:rPr>
        <w:t>Continuous</w:t>
      </w:r>
      <w:r>
        <w:rPr>
          <w:i/>
          <w:spacing w:val="-11"/>
          <w:w w:val="105"/>
          <w:sz w:val="27"/>
        </w:rPr>
        <w:t> </w:t>
      </w:r>
      <w:r>
        <w:rPr>
          <w:i/>
          <w:w w:val="105"/>
          <w:sz w:val="27"/>
        </w:rPr>
        <w:t>Positive</w:t>
      </w:r>
      <w:r>
        <w:rPr>
          <w:i/>
          <w:spacing w:val="-11"/>
          <w:w w:val="105"/>
          <w:sz w:val="27"/>
        </w:rPr>
        <w:t> </w:t>
      </w:r>
      <w:r>
        <w:rPr>
          <w:i/>
          <w:w w:val="105"/>
          <w:sz w:val="27"/>
        </w:rPr>
        <w:t>Airways</w:t>
      </w:r>
      <w:r>
        <w:rPr>
          <w:i/>
          <w:spacing w:val="-10"/>
          <w:w w:val="105"/>
          <w:sz w:val="27"/>
        </w:rPr>
        <w:t> </w:t>
      </w:r>
      <w:r>
        <w:rPr>
          <w:i/>
          <w:w w:val="105"/>
          <w:sz w:val="27"/>
        </w:rPr>
        <w:t>Pressure).</w:t>
      </w:r>
      <w:r>
        <w:rPr>
          <w:i/>
          <w:spacing w:val="-11"/>
          <w:w w:val="105"/>
          <w:sz w:val="27"/>
        </w:rPr>
        <w:t> </w:t>
      </w:r>
      <w:r>
        <w:rPr>
          <w:i/>
          <w:w w:val="105"/>
          <w:sz w:val="27"/>
        </w:rPr>
        <w:t>При </w:t>
      </w:r>
      <w:r>
        <w:rPr>
          <w:i/>
          <w:spacing w:val="-5"/>
          <w:w w:val="105"/>
          <w:sz w:val="27"/>
        </w:rPr>
        <w:t>CPAP </w:t>
      </w:r>
      <w:r>
        <w:rPr>
          <w:i/>
          <w:w w:val="105"/>
          <w:sz w:val="27"/>
        </w:rPr>
        <w:t>терапии поток нагнетаемого под давлением воздуха предотвращает</w:t>
      </w:r>
      <w:r>
        <w:rPr>
          <w:i/>
          <w:spacing w:val="-10"/>
          <w:w w:val="105"/>
          <w:sz w:val="27"/>
        </w:rPr>
        <w:t> </w:t>
      </w:r>
      <w:r>
        <w:rPr>
          <w:i/>
          <w:w w:val="105"/>
          <w:sz w:val="27"/>
        </w:rPr>
        <w:t>спадение</w:t>
      </w:r>
      <w:r>
        <w:rPr>
          <w:i/>
          <w:spacing w:val="-9"/>
          <w:w w:val="105"/>
          <w:sz w:val="27"/>
        </w:rPr>
        <w:t> </w:t>
      </w:r>
      <w:r>
        <w:rPr>
          <w:i/>
          <w:w w:val="105"/>
          <w:sz w:val="27"/>
        </w:rPr>
        <w:t>верхних</w:t>
      </w:r>
      <w:r>
        <w:rPr>
          <w:i/>
          <w:spacing w:val="-9"/>
          <w:w w:val="105"/>
          <w:sz w:val="27"/>
        </w:rPr>
        <w:t> </w:t>
      </w:r>
      <w:r>
        <w:rPr>
          <w:i/>
          <w:w w:val="105"/>
          <w:sz w:val="27"/>
        </w:rPr>
        <w:t>дыхательных</w:t>
      </w:r>
      <w:r>
        <w:rPr>
          <w:i/>
          <w:spacing w:val="-10"/>
          <w:w w:val="105"/>
          <w:sz w:val="27"/>
        </w:rPr>
        <w:t> </w:t>
      </w:r>
      <w:r>
        <w:rPr>
          <w:i/>
          <w:w w:val="105"/>
          <w:sz w:val="27"/>
        </w:rPr>
        <w:t>путей.</w:t>
      </w:r>
      <w:r>
        <w:rPr>
          <w:i/>
          <w:spacing w:val="-9"/>
          <w:w w:val="105"/>
          <w:sz w:val="27"/>
        </w:rPr>
        <w:t> </w:t>
      </w:r>
      <w:r>
        <w:rPr>
          <w:i/>
          <w:w w:val="105"/>
          <w:sz w:val="27"/>
        </w:rPr>
        <w:t>Для</w:t>
      </w:r>
      <w:r>
        <w:rPr>
          <w:i/>
          <w:spacing w:val="-9"/>
          <w:w w:val="105"/>
          <w:sz w:val="27"/>
        </w:rPr>
        <w:t> </w:t>
      </w:r>
      <w:r>
        <w:rPr>
          <w:i/>
          <w:spacing w:val="-5"/>
          <w:w w:val="105"/>
          <w:sz w:val="27"/>
        </w:rPr>
        <w:t>СРАР </w:t>
      </w:r>
      <w:r>
        <w:rPr>
          <w:i/>
          <w:w w:val="105"/>
          <w:sz w:val="27"/>
        </w:rPr>
        <w:t>терапии применяются аппараты с индивидуальными</w:t>
      </w:r>
      <w:r>
        <w:rPr>
          <w:i/>
          <w:spacing w:val="-43"/>
          <w:w w:val="105"/>
          <w:sz w:val="27"/>
        </w:rPr>
        <w:t> </w:t>
      </w:r>
      <w:r>
        <w:rPr>
          <w:i/>
          <w:w w:val="105"/>
          <w:sz w:val="27"/>
        </w:rPr>
        <w:t>режимами вентиляции, обеспечивающими максимально эффективное </w:t>
      </w:r>
      <w:r>
        <w:rPr>
          <w:i/>
          <w:spacing w:val="-6"/>
          <w:w w:val="105"/>
          <w:sz w:val="27"/>
        </w:rPr>
        <w:t>их </w:t>
      </w:r>
      <w:r>
        <w:rPr>
          <w:i/>
          <w:w w:val="105"/>
          <w:sz w:val="27"/>
        </w:rPr>
        <w:t>использование</w:t>
      </w:r>
      <w:r>
        <w:rPr>
          <w:i/>
          <w:spacing w:val="-6"/>
          <w:w w:val="105"/>
          <w:sz w:val="27"/>
        </w:rPr>
        <w:t> </w:t>
      </w:r>
      <w:r>
        <w:rPr>
          <w:i/>
          <w:w w:val="105"/>
          <w:sz w:val="27"/>
        </w:rPr>
        <w:t>[212].</w:t>
      </w:r>
    </w:p>
    <w:p>
      <w:pPr>
        <w:pStyle w:val="Heading3"/>
        <w:numPr>
          <w:ilvl w:val="2"/>
          <w:numId w:val="6"/>
        </w:numPr>
        <w:tabs>
          <w:tab w:pos="1728" w:val="left" w:leader="none"/>
        </w:tabs>
        <w:spacing w:line="256" w:lineRule="auto" w:before="275" w:after="0"/>
        <w:ind w:left="695" w:right="131" w:firstLine="0"/>
        <w:jc w:val="left"/>
      </w:pPr>
      <w:r>
        <w:rPr/>
        <w:t>Артериальная гипертензия в периоперационном периоде</w:t>
      </w:r>
    </w:p>
    <w:p>
      <w:pPr>
        <w:pStyle w:val="BodyText"/>
        <w:spacing w:line="256" w:lineRule="auto" w:before="271"/>
        <w:ind w:left="695" w:right="129"/>
      </w:pPr>
      <w:r>
        <w:rPr/>
        <w:pict>
          <v:shape style="position:absolute;margin-left:91.538452pt;margin-top:20.969452pt;width:4.55pt;height:4.55pt;mso-position-horizontal-relative:page;mso-position-vertical-relative:paragraph;z-index:15816192"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t>При впервые выявленной АГ перед плановым хирургическим вмешательством рекомендуется провести обследование в объеме, предусмотренном п. 2 данных рекомендаций, с целью выявления ПОМ и оценки CC риска [21].</w:t>
      </w:r>
    </w:p>
    <w:p>
      <w:pPr>
        <w:pStyle w:val="Heading3"/>
        <w:spacing w:before="272"/>
        <w:jc w:val="both"/>
      </w:pPr>
      <w:r>
        <w:rPr>
          <w:w w:val="105"/>
        </w:rPr>
        <w:t>ЕОК/ЕОАГ IС (УУР C, УДД 5)</w:t>
      </w:r>
    </w:p>
    <w:p>
      <w:pPr>
        <w:pStyle w:val="BodyText"/>
        <w:spacing w:line="256" w:lineRule="auto" w:before="296"/>
        <w:ind w:left="695" w:right="137"/>
      </w:pPr>
      <w:r>
        <w:rPr/>
        <w:pict>
          <v:shape style="position:absolute;margin-left:91.538452pt;margin-top:22.219454pt;width:4.55pt;height:4.55pt;mso-position-horizontal-relative:page;mso-position-vertical-relative:paragraph;z-index:15816704"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Всем пациентам с АГ рекомендуется избегать существенных колебаний АД (более 10%) в периоперационном периоде [21, 213, 214].</w:t>
      </w:r>
    </w:p>
    <w:p>
      <w:pPr>
        <w:spacing w:after="0" w:line="256" w:lineRule="auto"/>
        <w:sectPr>
          <w:pgSz w:w="11900" w:h="16840"/>
          <w:pgMar w:top="0" w:bottom="0" w:left="1420" w:right="1520"/>
        </w:sectPr>
      </w:pPr>
    </w:p>
    <w:p>
      <w:pPr>
        <w:pStyle w:val="Heading3"/>
        <w:spacing w:before="16"/>
      </w:pPr>
      <w:r>
        <w:rPr>
          <w:w w:val="105"/>
        </w:rPr>
        <w:t>ЕОК/ЕОАГ IС (УУР B, УДД 2)</w:t>
      </w:r>
    </w:p>
    <w:p>
      <w:pPr>
        <w:spacing w:line="256" w:lineRule="auto" w:before="296"/>
        <w:ind w:left="695" w:right="131" w:firstLine="0"/>
        <w:jc w:val="both"/>
        <w:rPr>
          <w:sz w:val="27"/>
        </w:rPr>
      </w:pPr>
      <w:r>
        <w:rPr>
          <w:b/>
          <w:w w:val="105"/>
          <w:sz w:val="27"/>
        </w:rPr>
        <w:t>Комментарии. </w:t>
      </w:r>
      <w:r>
        <w:rPr>
          <w:i/>
          <w:w w:val="105"/>
          <w:sz w:val="27"/>
        </w:rPr>
        <w:t>Можно не откладывать некардиохирургическое </w:t>
      </w:r>
      <w:r>
        <w:rPr>
          <w:i/>
          <w:w w:val="105"/>
          <w:sz w:val="27"/>
        </w:rPr>
        <w:t>вмешательство у пациентов с АГ 1–2-й степени (САД&lt;180 мм рт. ст. и ДАД &lt;110 мм рт. ст.) </w:t>
      </w:r>
      <w:r>
        <w:rPr>
          <w:w w:val="105"/>
          <w:sz w:val="27"/>
        </w:rPr>
        <w:t>[21].</w:t>
      </w:r>
    </w:p>
    <w:p>
      <w:pPr>
        <w:pStyle w:val="BodyText"/>
        <w:spacing w:line="256" w:lineRule="auto" w:before="272"/>
        <w:ind w:left="695" w:right="132"/>
      </w:pPr>
      <w:r>
        <w:rPr/>
        <w:pict>
          <v:shape style="position:absolute;margin-left:91.538452pt;margin-top:21.019468pt;width:4.55pt;height:4.55pt;mso-position-horizontal-relative:page;mso-position-vertical-relative:paragraph;z-index:15817216" coordorigin="1831,420" coordsize="91,91" path="m1876,510l1863,510,1853,506,1835,488,1831,478,1831,453,1835,442,1853,425,1863,420,1888,420,1899,425,1916,442,1921,453,1921,465,1921,478,1916,488,1899,506,1888,510,1876,510xe" filled="true" fillcolor="#000000" stroked="false">
            <v:path arrowok="t"/>
            <v:fill type="solid"/>
            <w10:wrap type="none"/>
          </v:shape>
        </w:pict>
      </w:r>
      <w:r>
        <w:rPr/>
        <w:t>Пациентам с АГ, длительно получающим ББ, рекомендуется продолжить терапию в периоперационном периоде для контроля АД. [215, 216].</w:t>
      </w:r>
    </w:p>
    <w:p>
      <w:pPr>
        <w:pStyle w:val="Heading3"/>
      </w:pPr>
      <w:r>
        <w:rPr>
          <w:w w:val="105"/>
        </w:rPr>
        <w:t>ЕОК/ЕОАГ IВ (УУР А, УДД 3)</w:t>
      </w:r>
    </w:p>
    <w:p>
      <w:pPr>
        <w:pStyle w:val="BodyText"/>
        <w:spacing w:line="256" w:lineRule="auto" w:before="296"/>
        <w:ind w:left="695" w:right="138"/>
      </w:pPr>
      <w:r>
        <w:rPr/>
        <w:pict>
          <v:shape style="position:absolute;margin-left:91.538452pt;margin-top:22.219475pt;width:4.55pt;height:4.55pt;mso-position-horizontal-relative:page;mso-position-vertical-relative:paragraph;z-index:15817728"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Резкая отмена ББ или препаратов центрального действия (например, клонидина) потенциально опасна и не рекомендуется [217, 218].</w:t>
      </w:r>
    </w:p>
    <w:p>
      <w:pPr>
        <w:pStyle w:val="Heading3"/>
      </w:pPr>
      <w:r>
        <w:rPr>
          <w:w w:val="105"/>
        </w:rPr>
        <w:t>ЕОК/ЕОАГ IIIВ (УУР С, УДД 4)</w:t>
      </w:r>
    </w:p>
    <w:p>
      <w:pPr>
        <w:pStyle w:val="BodyText"/>
        <w:spacing w:line="256" w:lineRule="auto" w:before="296"/>
        <w:ind w:left="695" w:right="131"/>
      </w:pPr>
      <w:r>
        <w:rPr/>
        <w:pict>
          <v:shape style="position:absolute;margin-left:91.538452pt;margin-top:22.219452pt;width:4.55pt;height:4.55pt;mso-position-horizontal-relative:page;mso-position-vertical-relative:paragraph;z-index:15818240"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Пациентам с АГ перед некардиохирургическим вмешательством для снижения риска интраоперационной гипотензии рекомендуется временная отмена блокаторов </w:t>
      </w:r>
      <w:r>
        <w:rPr>
          <w:spacing w:val="-9"/>
        </w:rPr>
        <w:t>РААС </w:t>
      </w:r>
      <w:r>
        <w:rPr/>
        <w:t>[21].</w:t>
      </w:r>
    </w:p>
    <w:p>
      <w:pPr>
        <w:pStyle w:val="Heading3"/>
        <w:spacing w:before="272"/>
      </w:pPr>
      <w:r>
        <w:rPr>
          <w:w w:val="105"/>
        </w:rPr>
        <w:t>ЕОК/ЕОАГ IIaC (УУР С, УДД 5)</w:t>
      </w:r>
    </w:p>
    <w:p>
      <w:pPr>
        <w:pStyle w:val="ListParagraph"/>
        <w:numPr>
          <w:ilvl w:val="2"/>
          <w:numId w:val="6"/>
        </w:numPr>
        <w:tabs>
          <w:tab w:pos="1620" w:val="left" w:leader="none"/>
        </w:tabs>
        <w:spacing w:line="240" w:lineRule="auto" w:before="296" w:after="0"/>
        <w:ind w:left="1619" w:right="0" w:hanging="925"/>
        <w:jc w:val="left"/>
        <w:rPr>
          <w:b/>
          <w:sz w:val="27"/>
        </w:rPr>
      </w:pPr>
      <w:r>
        <w:rPr>
          <w:b/>
          <w:sz w:val="27"/>
        </w:rPr>
        <w:t>Резистентная артериальная</w:t>
      </w:r>
      <w:r>
        <w:rPr>
          <w:b/>
          <w:spacing w:val="10"/>
          <w:sz w:val="27"/>
        </w:rPr>
        <w:t> </w:t>
      </w:r>
      <w:r>
        <w:rPr>
          <w:b/>
          <w:sz w:val="27"/>
        </w:rPr>
        <w:t>гипертензия</w:t>
      </w:r>
    </w:p>
    <w:p>
      <w:pPr>
        <w:pStyle w:val="BodyText"/>
        <w:spacing w:line="256" w:lineRule="auto" w:before="296"/>
        <w:ind w:left="695" w:right="138"/>
      </w:pPr>
      <w:r>
        <w:rPr/>
        <w:t>Резистентная к терапии АГ (т.е. резистентная АГ) устанавливается на основании следующих критериев:</w:t>
      </w:r>
    </w:p>
    <w:p>
      <w:pPr>
        <w:pStyle w:val="ListParagraph"/>
        <w:numPr>
          <w:ilvl w:val="0"/>
          <w:numId w:val="7"/>
        </w:numPr>
        <w:tabs>
          <w:tab w:pos="975" w:val="left" w:leader="none"/>
        </w:tabs>
        <w:spacing w:line="256" w:lineRule="auto" w:before="271" w:after="0"/>
        <w:ind w:left="695" w:right="131" w:firstLine="0"/>
        <w:jc w:val="both"/>
        <w:rPr>
          <w:sz w:val="27"/>
        </w:rPr>
      </w:pPr>
      <w:r>
        <w:rPr>
          <w:sz w:val="27"/>
        </w:rPr>
        <w:t>соблюдение мероприятий по изменению образа жизни </w:t>
      </w:r>
      <w:r>
        <w:rPr>
          <w:spacing w:val="-12"/>
          <w:sz w:val="27"/>
        </w:rPr>
        <w:t>и </w:t>
      </w:r>
      <w:r>
        <w:rPr>
          <w:sz w:val="27"/>
        </w:rPr>
        <w:t>лечение с использованием оптимальных (или максимальных переносимых) доз трех и более лекарственных препаратов, включая</w:t>
      </w:r>
      <w:r>
        <w:rPr>
          <w:spacing w:val="-14"/>
          <w:sz w:val="27"/>
        </w:rPr>
        <w:t> </w:t>
      </w:r>
      <w:r>
        <w:rPr>
          <w:sz w:val="27"/>
        </w:rPr>
        <w:t>ингибитор</w:t>
      </w:r>
      <w:r>
        <w:rPr>
          <w:spacing w:val="-14"/>
          <w:sz w:val="27"/>
        </w:rPr>
        <w:t> </w:t>
      </w:r>
      <w:r>
        <w:rPr>
          <w:sz w:val="27"/>
        </w:rPr>
        <w:t>АПФ</w:t>
      </w:r>
      <w:r>
        <w:rPr>
          <w:spacing w:val="-14"/>
          <w:sz w:val="27"/>
        </w:rPr>
        <w:t> </w:t>
      </w:r>
      <w:r>
        <w:rPr>
          <w:sz w:val="27"/>
        </w:rPr>
        <w:t>или</w:t>
      </w:r>
      <w:r>
        <w:rPr>
          <w:spacing w:val="-14"/>
          <w:sz w:val="27"/>
        </w:rPr>
        <w:t> </w:t>
      </w:r>
      <w:r>
        <w:rPr>
          <w:spacing w:val="-5"/>
          <w:sz w:val="27"/>
        </w:rPr>
        <w:t>БРА,</w:t>
      </w:r>
      <w:r>
        <w:rPr>
          <w:spacing w:val="-13"/>
          <w:sz w:val="27"/>
        </w:rPr>
        <w:t> </w:t>
      </w:r>
      <w:r>
        <w:rPr>
          <w:sz w:val="27"/>
        </w:rPr>
        <w:t>АК</w:t>
      </w:r>
      <w:r>
        <w:rPr>
          <w:spacing w:val="-14"/>
          <w:sz w:val="27"/>
        </w:rPr>
        <w:t> </w:t>
      </w:r>
      <w:r>
        <w:rPr>
          <w:sz w:val="27"/>
        </w:rPr>
        <w:t>и</w:t>
      </w:r>
      <w:r>
        <w:rPr>
          <w:spacing w:val="-14"/>
          <w:sz w:val="27"/>
        </w:rPr>
        <w:t> </w:t>
      </w:r>
      <w:r>
        <w:rPr>
          <w:sz w:val="27"/>
        </w:rPr>
        <w:t>диуретик</w:t>
      </w:r>
      <w:r>
        <w:rPr>
          <w:spacing w:val="-14"/>
          <w:sz w:val="27"/>
        </w:rPr>
        <w:t> </w:t>
      </w:r>
      <w:r>
        <w:rPr>
          <w:sz w:val="27"/>
        </w:rPr>
        <w:t>не</w:t>
      </w:r>
      <w:r>
        <w:rPr>
          <w:spacing w:val="-14"/>
          <w:sz w:val="27"/>
        </w:rPr>
        <w:t> </w:t>
      </w:r>
      <w:r>
        <w:rPr>
          <w:sz w:val="27"/>
        </w:rPr>
        <w:t>приводит</w:t>
      </w:r>
      <w:r>
        <w:rPr>
          <w:spacing w:val="-13"/>
          <w:sz w:val="27"/>
        </w:rPr>
        <w:t> </w:t>
      </w:r>
      <w:r>
        <w:rPr>
          <w:sz w:val="27"/>
        </w:rPr>
        <w:t>к снижению</w:t>
      </w:r>
      <w:r>
        <w:rPr>
          <w:spacing w:val="-6"/>
          <w:sz w:val="27"/>
        </w:rPr>
        <w:t> </w:t>
      </w:r>
      <w:r>
        <w:rPr>
          <w:spacing w:val="-3"/>
          <w:sz w:val="27"/>
        </w:rPr>
        <w:t>САД</w:t>
      </w:r>
      <w:r>
        <w:rPr>
          <w:spacing w:val="-5"/>
          <w:sz w:val="27"/>
        </w:rPr>
        <w:t> </w:t>
      </w:r>
      <w:r>
        <w:rPr>
          <w:sz w:val="27"/>
        </w:rPr>
        <w:t>и</w:t>
      </w:r>
      <w:r>
        <w:rPr>
          <w:spacing w:val="-5"/>
          <w:sz w:val="27"/>
        </w:rPr>
        <w:t> </w:t>
      </w:r>
      <w:r>
        <w:rPr>
          <w:sz w:val="27"/>
        </w:rPr>
        <w:t>ДАД</w:t>
      </w:r>
      <w:r>
        <w:rPr>
          <w:spacing w:val="-5"/>
          <w:sz w:val="27"/>
        </w:rPr>
        <w:t> </w:t>
      </w:r>
      <w:r>
        <w:rPr>
          <w:sz w:val="27"/>
        </w:rPr>
        <w:t>до</w:t>
      </w:r>
      <w:r>
        <w:rPr>
          <w:spacing w:val="-6"/>
          <w:sz w:val="27"/>
        </w:rPr>
        <w:t> </w:t>
      </w:r>
      <w:r>
        <w:rPr>
          <w:sz w:val="27"/>
        </w:rPr>
        <w:t>значений</w:t>
      </w:r>
      <w:r>
        <w:rPr>
          <w:spacing w:val="-5"/>
          <w:sz w:val="27"/>
        </w:rPr>
        <w:t> </w:t>
      </w:r>
      <w:r>
        <w:rPr>
          <w:sz w:val="27"/>
        </w:rPr>
        <w:t>&lt;140</w:t>
      </w:r>
      <w:r>
        <w:rPr>
          <w:spacing w:val="-5"/>
          <w:sz w:val="27"/>
        </w:rPr>
        <w:t> </w:t>
      </w:r>
      <w:r>
        <w:rPr>
          <w:sz w:val="27"/>
        </w:rPr>
        <w:t>мм</w:t>
      </w:r>
      <w:r>
        <w:rPr>
          <w:spacing w:val="-5"/>
          <w:sz w:val="27"/>
        </w:rPr>
        <w:t> </w:t>
      </w:r>
      <w:r>
        <w:rPr>
          <w:sz w:val="27"/>
        </w:rPr>
        <w:t>рт.</w:t>
      </w:r>
      <w:r>
        <w:rPr>
          <w:spacing w:val="-6"/>
          <w:sz w:val="27"/>
        </w:rPr>
        <w:t> </w:t>
      </w:r>
      <w:r>
        <w:rPr>
          <w:sz w:val="27"/>
        </w:rPr>
        <w:t>ст.</w:t>
      </w:r>
      <w:r>
        <w:rPr>
          <w:spacing w:val="-5"/>
          <w:sz w:val="27"/>
        </w:rPr>
        <w:t> </w:t>
      </w:r>
      <w:r>
        <w:rPr>
          <w:sz w:val="27"/>
        </w:rPr>
        <w:t>и/или</w:t>
      </w:r>
      <w:r>
        <w:rPr>
          <w:spacing w:val="-5"/>
          <w:sz w:val="27"/>
        </w:rPr>
        <w:t> </w:t>
      </w:r>
      <w:r>
        <w:rPr>
          <w:sz w:val="27"/>
        </w:rPr>
        <w:t>&lt;90</w:t>
      </w:r>
      <w:r>
        <w:rPr>
          <w:spacing w:val="-5"/>
          <w:sz w:val="27"/>
        </w:rPr>
        <w:t> </w:t>
      </w:r>
      <w:r>
        <w:rPr>
          <w:sz w:val="27"/>
        </w:rPr>
        <w:t>мм рт. ст.</w:t>
      </w:r>
      <w:r>
        <w:rPr>
          <w:spacing w:val="-2"/>
          <w:sz w:val="27"/>
        </w:rPr>
        <w:t> </w:t>
      </w:r>
      <w:r>
        <w:rPr>
          <w:sz w:val="27"/>
        </w:rPr>
        <w:t>соответственно;</w:t>
      </w:r>
    </w:p>
    <w:p>
      <w:pPr>
        <w:pStyle w:val="ListParagraph"/>
        <w:numPr>
          <w:ilvl w:val="0"/>
          <w:numId w:val="7"/>
        </w:numPr>
        <w:tabs>
          <w:tab w:pos="885" w:val="left" w:leader="none"/>
        </w:tabs>
        <w:spacing w:line="256" w:lineRule="auto" w:before="273" w:after="0"/>
        <w:ind w:left="695" w:right="131" w:firstLine="0"/>
        <w:jc w:val="both"/>
        <w:rPr>
          <w:sz w:val="27"/>
        </w:rPr>
      </w:pPr>
      <w:r>
        <w:rPr>
          <w:sz w:val="27"/>
        </w:rPr>
        <w:t>неадекватность контроля АД подтверждена с помощью</w:t>
      </w:r>
      <w:r>
        <w:rPr>
          <w:spacing w:val="-42"/>
          <w:sz w:val="27"/>
        </w:rPr>
        <w:t> </w:t>
      </w:r>
      <w:r>
        <w:rPr>
          <w:sz w:val="27"/>
        </w:rPr>
        <w:t>СМАД и/или</w:t>
      </w:r>
      <w:r>
        <w:rPr>
          <w:spacing w:val="-3"/>
          <w:sz w:val="27"/>
        </w:rPr>
        <w:t> </w:t>
      </w:r>
      <w:r>
        <w:rPr>
          <w:sz w:val="27"/>
        </w:rPr>
        <w:t>ДМАД;</w:t>
      </w:r>
    </w:p>
    <w:p>
      <w:pPr>
        <w:pStyle w:val="ListParagraph"/>
        <w:numPr>
          <w:ilvl w:val="0"/>
          <w:numId w:val="7"/>
        </w:numPr>
        <w:tabs>
          <w:tab w:pos="932" w:val="left" w:leader="none"/>
        </w:tabs>
        <w:spacing w:line="240" w:lineRule="auto" w:before="271" w:after="0"/>
        <w:ind w:left="931" w:right="0" w:hanging="237"/>
        <w:jc w:val="left"/>
        <w:rPr>
          <w:sz w:val="27"/>
        </w:rPr>
      </w:pPr>
      <w:r>
        <w:rPr>
          <w:sz w:val="27"/>
        </w:rPr>
        <w:t>подтверждена приверженность пациента к</w:t>
      </w:r>
      <w:r>
        <w:rPr>
          <w:spacing w:val="-8"/>
          <w:sz w:val="27"/>
        </w:rPr>
        <w:t> </w:t>
      </w:r>
      <w:r>
        <w:rPr>
          <w:sz w:val="27"/>
        </w:rPr>
        <w:t>лечению</w:t>
      </w:r>
    </w:p>
    <w:p>
      <w:pPr>
        <w:pStyle w:val="ListParagraph"/>
        <w:numPr>
          <w:ilvl w:val="0"/>
          <w:numId w:val="7"/>
        </w:numPr>
        <w:tabs>
          <w:tab w:pos="1050" w:val="left" w:leader="none"/>
          <w:tab w:pos="1051" w:val="left" w:leader="none"/>
          <w:tab w:pos="2735" w:val="left" w:leader="none"/>
          <w:tab w:pos="4140" w:val="left" w:leader="none"/>
          <w:tab w:pos="7257" w:val="left" w:leader="none"/>
          <w:tab w:pos="7662" w:val="left" w:leader="none"/>
        </w:tabs>
        <w:spacing w:line="256" w:lineRule="auto" w:before="296" w:after="0"/>
        <w:ind w:left="695" w:right="129" w:firstLine="0"/>
        <w:jc w:val="left"/>
        <w:rPr>
          <w:sz w:val="27"/>
        </w:rPr>
      </w:pPr>
      <w:r>
        <w:rPr>
          <w:sz w:val="27"/>
        </w:rPr>
        <w:t>исключены</w:t>
        <w:tab/>
        <w:t>причины</w:t>
        <w:tab/>
        <w:t>псевдорезистентности</w:t>
        <w:tab/>
        <w:t>и</w:t>
        <w:tab/>
      </w:r>
      <w:r>
        <w:rPr>
          <w:spacing w:val="-3"/>
          <w:sz w:val="27"/>
        </w:rPr>
        <w:t>причины </w:t>
      </w:r>
      <w:r>
        <w:rPr>
          <w:sz w:val="27"/>
        </w:rPr>
        <w:t>вторичной</w:t>
      </w:r>
      <w:r>
        <w:rPr>
          <w:spacing w:val="-3"/>
          <w:sz w:val="27"/>
        </w:rPr>
        <w:t> </w:t>
      </w:r>
      <w:r>
        <w:rPr>
          <w:sz w:val="27"/>
        </w:rPr>
        <w:t>АГ.</w:t>
      </w:r>
    </w:p>
    <w:p>
      <w:pPr>
        <w:pStyle w:val="BodyText"/>
        <w:spacing w:line="256" w:lineRule="auto" w:before="270"/>
        <w:ind w:left="695"/>
        <w:jc w:val="left"/>
      </w:pPr>
      <w:r>
        <w:rPr/>
        <w:t>Прежде чем диагностировать резистентную АГ, необходимо исключить причины псевдорезистентности:</w:t>
      </w:r>
    </w:p>
    <w:p>
      <w:pPr>
        <w:spacing w:after="0" w:line="256" w:lineRule="auto"/>
        <w:jc w:val="left"/>
        <w:sectPr>
          <w:pgSz w:w="11900" w:h="16840"/>
          <w:pgMar w:top="0" w:bottom="0" w:left="1420" w:right="1520"/>
        </w:sectPr>
      </w:pPr>
    </w:p>
    <w:p>
      <w:pPr>
        <w:pStyle w:val="ListParagraph"/>
        <w:numPr>
          <w:ilvl w:val="0"/>
          <w:numId w:val="7"/>
        </w:numPr>
        <w:tabs>
          <w:tab w:pos="1497" w:val="left" w:leader="none"/>
        </w:tabs>
        <w:spacing w:line="256" w:lineRule="auto" w:before="16" w:after="0"/>
        <w:ind w:left="695" w:right="138" w:firstLine="0"/>
        <w:jc w:val="both"/>
        <w:rPr>
          <w:sz w:val="27"/>
        </w:rPr>
      </w:pPr>
      <w:r>
        <w:rPr>
          <w:sz w:val="27"/>
        </w:rPr>
        <w:t>низкая приверженность к назначенной терапии является частой причиной псевдорезистентности, она выявляется</w:t>
      </w:r>
      <w:r>
        <w:rPr>
          <w:spacing w:val="66"/>
          <w:sz w:val="27"/>
        </w:rPr>
        <w:t> </w:t>
      </w:r>
      <w:r>
        <w:rPr>
          <w:sz w:val="27"/>
        </w:rPr>
        <w:t>у</w:t>
      </w:r>
    </w:p>
    <w:p>
      <w:pPr>
        <w:pStyle w:val="BodyText"/>
        <w:spacing w:line="256" w:lineRule="auto"/>
        <w:ind w:left="695" w:right="129"/>
      </w:pPr>
      <w:r>
        <w:rPr>
          <w:rFonts w:ascii="Times New Roman" w:hAnsi="Times New Roman"/>
        </w:rPr>
        <w:t>≤</w:t>
      </w:r>
      <w:r>
        <w:rPr/>
        <w:t>50% пациентов, которых обследовали с помощью методов прямого мониторинга контроля приема препаратов, этот показатель прямо зависит от количества назначенных таблеток [219].</w:t>
      </w:r>
    </w:p>
    <w:p>
      <w:pPr>
        <w:pStyle w:val="ListParagraph"/>
        <w:numPr>
          <w:ilvl w:val="0"/>
          <w:numId w:val="7"/>
        </w:numPr>
        <w:tabs>
          <w:tab w:pos="957" w:val="left" w:leader="none"/>
        </w:tabs>
        <w:spacing w:line="256" w:lineRule="auto" w:before="272" w:after="0"/>
        <w:ind w:left="695" w:right="133" w:firstLine="0"/>
        <w:jc w:val="both"/>
        <w:rPr>
          <w:sz w:val="27"/>
        </w:rPr>
      </w:pPr>
      <w:r>
        <w:rPr>
          <w:sz w:val="27"/>
        </w:rPr>
        <w:t>феномен «белого халата» (при котором АД, измеренное в медицинском учреждении, повышено, но по данным СМАД или ДМАД уровень АД контролируется) встречается нередко, в связи с чем рекомендуется подтвердить наличие АГ с помощью СМАД</w:t>
      </w:r>
      <w:r>
        <w:rPr>
          <w:spacing w:val="-14"/>
          <w:sz w:val="27"/>
        </w:rPr>
        <w:t> </w:t>
      </w:r>
      <w:r>
        <w:rPr>
          <w:sz w:val="27"/>
        </w:rPr>
        <w:t>или</w:t>
      </w:r>
      <w:r>
        <w:rPr>
          <w:spacing w:val="-13"/>
          <w:sz w:val="27"/>
        </w:rPr>
        <w:t> </w:t>
      </w:r>
      <w:r>
        <w:rPr>
          <w:sz w:val="27"/>
        </w:rPr>
        <w:t>ДМАД</w:t>
      </w:r>
      <w:r>
        <w:rPr>
          <w:spacing w:val="-13"/>
          <w:sz w:val="27"/>
        </w:rPr>
        <w:t> </w:t>
      </w:r>
      <w:r>
        <w:rPr>
          <w:sz w:val="27"/>
        </w:rPr>
        <w:t>до</w:t>
      </w:r>
      <w:r>
        <w:rPr>
          <w:spacing w:val="-13"/>
          <w:sz w:val="27"/>
        </w:rPr>
        <w:t> </w:t>
      </w:r>
      <w:r>
        <w:rPr>
          <w:sz w:val="27"/>
        </w:rPr>
        <w:t>установления</w:t>
      </w:r>
      <w:r>
        <w:rPr>
          <w:spacing w:val="-13"/>
          <w:sz w:val="27"/>
        </w:rPr>
        <w:t> </w:t>
      </w:r>
      <w:r>
        <w:rPr>
          <w:sz w:val="27"/>
        </w:rPr>
        <w:t>диагноза</w:t>
      </w:r>
      <w:r>
        <w:rPr>
          <w:spacing w:val="-13"/>
          <w:sz w:val="27"/>
        </w:rPr>
        <w:t> </w:t>
      </w:r>
      <w:r>
        <w:rPr>
          <w:sz w:val="27"/>
        </w:rPr>
        <w:t>резистентной</w:t>
      </w:r>
      <w:r>
        <w:rPr>
          <w:spacing w:val="-13"/>
          <w:sz w:val="27"/>
        </w:rPr>
        <w:t> </w:t>
      </w:r>
      <w:r>
        <w:rPr>
          <w:sz w:val="27"/>
        </w:rPr>
        <w:t>АГ.</w:t>
      </w:r>
    </w:p>
    <w:p>
      <w:pPr>
        <w:pStyle w:val="ListParagraph"/>
        <w:numPr>
          <w:ilvl w:val="0"/>
          <w:numId w:val="7"/>
        </w:numPr>
        <w:tabs>
          <w:tab w:pos="2156" w:val="left" w:leader="none"/>
          <w:tab w:pos="2157" w:val="left" w:leader="none"/>
        </w:tabs>
        <w:spacing w:line="256" w:lineRule="auto" w:before="272" w:after="0"/>
        <w:ind w:left="695" w:right="135" w:firstLine="0"/>
        <w:jc w:val="both"/>
        <w:rPr>
          <w:sz w:val="27"/>
        </w:rPr>
      </w:pPr>
      <w:r>
        <w:rPr>
          <w:sz w:val="27"/>
        </w:rPr>
        <w:t>нарушение правил измерения АД в медицинском учреждении, включая использование манжеты меньшего размера, может привести к ложному выявлению повышенного АД.</w:t>
      </w:r>
    </w:p>
    <w:p>
      <w:pPr>
        <w:pStyle w:val="ListParagraph"/>
        <w:numPr>
          <w:ilvl w:val="0"/>
          <w:numId w:val="7"/>
        </w:numPr>
        <w:tabs>
          <w:tab w:pos="1736" w:val="left" w:leader="none"/>
          <w:tab w:pos="1737" w:val="left" w:leader="none"/>
        </w:tabs>
        <w:spacing w:line="256" w:lineRule="auto" w:before="272" w:after="0"/>
        <w:ind w:left="695" w:right="135" w:firstLine="0"/>
        <w:jc w:val="both"/>
        <w:rPr>
          <w:sz w:val="27"/>
        </w:rPr>
      </w:pPr>
      <w:r>
        <w:rPr>
          <w:sz w:val="27"/>
        </w:rPr>
        <w:t>выраженный кальциноз плечевой артерии, особенно </w:t>
      </w:r>
      <w:r>
        <w:rPr>
          <w:spacing w:val="-11"/>
          <w:sz w:val="27"/>
        </w:rPr>
        <w:t>у </w:t>
      </w:r>
      <w:r>
        <w:rPr>
          <w:sz w:val="27"/>
        </w:rPr>
        <w:t>пожилых</w:t>
      </w:r>
      <w:r>
        <w:rPr>
          <w:spacing w:val="-3"/>
          <w:sz w:val="27"/>
        </w:rPr>
        <w:t> </w:t>
      </w:r>
      <w:r>
        <w:rPr>
          <w:sz w:val="27"/>
        </w:rPr>
        <w:t>пациентов.</w:t>
      </w:r>
    </w:p>
    <w:p>
      <w:pPr>
        <w:pStyle w:val="ListParagraph"/>
        <w:numPr>
          <w:ilvl w:val="0"/>
          <w:numId w:val="7"/>
        </w:numPr>
        <w:tabs>
          <w:tab w:pos="1126" w:val="left" w:leader="none"/>
        </w:tabs>
        <w:spacing w:line="256" w:lineRule="auto" w:before="271" w:after="0"/>
        <w:ind w:left="695" w:right="132" w:firstLine="0"/>
        <w:jc w:val="both"/>
        <w:rPr>
          <w:sz w:val="27"/>
        </w:rPr>
      </w:pPr>
      <w:r>
        <w:rPr>
          <w:sz w:val="27"/>
        </w:rPr>
        <w:t>клиническая инертность, приводящая к назначению нерациональных комбинаций и неадекватных доз</w:t>
      </w:r>
      <w:r>
        <w:rPr>
          <w:spacing w:val="-2"/>
          <w:sz w:val="27"/>
        </w:rPr>
        <w:t> </w:t>
      </w:r>
      <w:r>
        <w:rPr>
          <w:sz w:val="27"/>
        </w:rPr>
        <w:t>АГП.</w:t>
      </w:r>
    </w:p>
    <w:p>
      <w:pPr>
        <w:pStyle w:val="BodyText"/>
        <w:spacing w:before="271"/>
        <w:ind w:left="695"/>
      </w:pPr>
      <w:r>
        <w:rPr/>
        <w:t>Другие причины резистентной гипертензии:</w:t>
      </w:r>
    </w:p>
    <w:p>
      <w:pPr>
        <w:pStyle w:val="ListParagraph"/>
        <w:numPr>
          <w:ilvl w:val="0"/>
          <w:numId w:val="7"/>
        </w:numPr>
        <w:tabs>
          <w:tab w:pos="1615" w:val="left" w:leader="none"/>
          <w:tab w:pos="1616" w:val="left" w:leader="none"/>
        </w:tabs>
        <w:spacing w:line="256" w:lineRule="auto" w:before="296" w:after="0"/>
        <w:ind w:left="695" w:right="139" w:firstLine="0"/>
        <w:jc w:val="both"/>
        <w:rPr>
          <w:sz w:val="27"/>
        </w:rPr>
      </w:pPr>
      <w:r>
        <w:rPr>
          <w:sz w:val="27"/>
        </w:rPr>
        <w:t>образ жизни, включая ожирение или быструю</w:t>
      </w:r>
      <w:r>
        <w:rPr>
          <w:spacing w:val="-19"/>
          <w:sz w:val="27"/>
        </w:rPr>
        <w:t> </w:t>
      </w:r>
      <w:r>
        <w:rPr>
          <w:sz w:val="27"/>
        </w:rPr>
        <w:t>прибавку веса, чрезмерное употребление алкоголя или поваренной</w:t>
      </w:r>
      <w:r>
        <w:rPr>
          <w:spacing w:val="-1"/>
          <w:sz w:val="27"/>
        </w:rPr>
        <w:t> </w:t>
      </w:r>
      <w:r>
        <w:rPr>
          <w:spacing w:val="-3"/>
          <w:sz w:val="27"/>
        </w:rPr>
        <w:t>соли.</w:t>
      </w:r>
    </w:p>
    <w:p>
      <w:pPr>
        <w:pStyle w:val="ListParagraph"/>
        <w:numPr>
          <w:ilvl w:val="0"/>
          <w:numId w:val="7"/>
        </w:numPr>
        <w:tabs>
          <w:tab w:pos="3106" w:val="left" w:leader="none"/>
          <w:tab w:pos="3107" w:val="left" w:leader="none"/>
        </w:tabs>
        <w:spacing w:line="256" w:lineRule="auto" w:before="271" w:after="0"/>
        <w:ind w:left="695" w:right="132" w:firstLine="0"/>
        <w:jc w:val="both"/>
        <w:rPr>
          <w:sz w:val="27"/>
        </w:rPr>
      </w:pPr>
      <w:r>
        <w:rPr>
          <w:sz w:val="27"/>
        </w:rPr>
        <w:t>применение вазопрессоров или </w:t>
      </w:r>
      <w:r>
        <w:rPr>
          <w:spacing w:val="-3"/>
          <w:sz w:val="27"/>
        </w:rPr>
        <w:t>веществ, </w:t>
      </w:r>
      <w:r>
        <w:rPr>
          <w:sz w:val="27"/>
        </w:rPr>
        <w:t>способствующих задержке натрия, препаратов, назначенных  по поводу сопутствующих заболеваний, растительных препаратов, употребление наркотиков (кокаин и т.п.) или анаболических</w:t>
      </w:r>
      <w:r>
        <w:rPr>
          <w:spacing w:val="-2"/>
          <w:sz w:val="27"/>
        </w:rPr>
        <w:t> </w:t>
      </w:r>
      <w:r>
        <w:rPr>
          <w:sz w:val="27"/>
        </w:rPr>
        <w:t>стероидов</w:t>
      </w:r>
    </w:p>
    <w:p>
      <w:pPr>
        <w:pStyle w:val="ListParagraph"/>
        <w:numPr>
          <w:ilvl w:val="0"/>
          <w:numId w:val="7"/>
        </w:numPr>
        <w:tabs>
          <w:tab w:pos="877" w:val="left" w:leader="none"/>
        </w:tabs>
        <w:spacing w:line="240" w:lineRule="auto" w:before="272" w:after="0"/>
        <w:ind w:left="876" w:right="0" w:hanging="182"/>
        <w:jc w:val="both"/>
        <w:rPr>
          <w:sz w:val="27"/>
        </w:rPr>
      </w:pPr>
      <w:r>
        <w:rPr>
          <w:spacing w:val="-10"/>
          <w:sz w:val="27"/>
        </w:rPr>
        <w:t>СОАС</w:t>
      </w:r>
    </w:p>
    <w:p>
      <w:pPr>
        <w:pStyle w:val="ListParagraph"/>
        <w:numPr>
          <w:ilvl w:val="0"/>
          <w:numId w:val="7"/>
        </w:numPr>
        <w:tabs>
          <w:tab w:pos="978" w:val="left" w:leader="none"/>
        </w:tabs>
        <w:spacing w:line="256" w:lineRule="auto" w:before="296" w:after="0"/>
        <w:ind w:left="695" w:right="132" w:firstLine="0"/>
        <w:jc w:val="both"/>
        <w:rPr>
          <w:sz w:val="27"/>
        </w:rPr>
      </w:pPr>
      <w:r>
        <w:rPr>
          <w:sz w:val="27"/>
        </w:rPr>
        <w:t>выраженное ПОМ, особенно ХБП или жесткость крупных артерий [21,</w:t>
      </w:r>
      <w:r>
        <w:rPr>
          <w:spacing w:val="-4"/>
          <w:sz w:val="27"/>
        </w:rPr>
        <w:t> </w:t>
      </w:r>
      <w:r>
        <w:rPr>
          <w:sz w:val="27"/>
        </w:rPr>
        <w:t>22].</w:t>
      </w:r>
    </w:p>
    <w:p>
      <w:pPr>
        <w:pStyle w:val="BodyText"/>
        <w:spacing w:line="256" w:lineRule="auto" w:before="271"/>
        <w:ind w:left="695" w:right="135"/>
      </w:pPr>
      <w:r>
        <w:rPr/>
        <w:t>Истинная резистентная АГ встречается, не более чем в 10% случаев среди всей популяции пациентов АГ, однако в </w:t>
      </w:r>
      <w:r>
        <w:rPr>
          <w:spacing w:val="-3"/>
        </w:rPr>
        <w:t>отдельных </w:t>
      </w:r>
      <w:r>
        <w:rPr/>
        <w:t>группах пациентов, например, с ХБП, ее распространенность может доходить до 30% [21,220]. Истинная резистентная АГ часто наблюдается у пациентов с ожирением, метаболическим синлромом, </w:t>
      </w:r>
      <w:r>
        <w:rPr>
          <w:spacing w:val="-3"/>
        </w:rPr>
        <w:t>СД, </w:t>
      </w:r>
      <w:r>
        <w:rPr>
          <w:spacing w:val="-8"/>
        </w:rPr>
        <w:t>СОАС, </w:t>
      </w:r>
      <w:r>
        <w:rPr/>
        <w:t>множественным ПОМ,</w:t>
      </w:r>
    </w:p>
    <w:p>
      <w:pPr>
        <w:spacing w:after="0" w:line="256" w:lineRule="auto"/>
        <w:sectPr>
          <w:pgSz w:w="11900" w:h="16840"/>
          <w:pgMar w:top="0" w:bottom="0" w:left="1420" w:right="1520"/>
        </w:sectPr>
      </w:pPr>
    </w:p>
    <w:p>
      <w:pPr>
        <w:pStyle w:val="BodyText"/>
        <w:spacing w:line="256" w:lineRule="auto" w:before="16"/>
        <w:ind w:left="695" w:right="136"/>
      </w:pPr>
      <w:r>
        <w:rPr/>
        <w:t>при вторичных формах АГ. Тяжелое ПОМ (выраженная ГЛЖ, снижение функции почек, атеросклеротическое поражение артерий) способствует развитию резистентности к лечению.</w:t>
      </w:r>
    </w:p>
    <w:p>
      <w:pPr>
        <w:pStyle w:val="BodyText"/>
        <w:spacing w:line="256" w:lineRule="auto" w:before="272"/>
        <w:ind w:left="695" w:right="128"/>
      </w:pPr>
      <w:r>
        <w:rPr/>
        <w:pict>
          <v:shape style="position:absolute;margin-left:91.538452pt;margin-top:21.019444pt;width:4.55pt;height:4.55pt;mso-position-horizontal-relative:page;mso-position-vertical-relative:paragraph;z-index:15818752"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резистентной АГ рекомендовано усиление мероприятий по изменению образа жизни, особенно ограничение употребления соли с целью достижения целевого уровня АД [221].</w:t>
      </w:r>
    </w:p>
    <w:p>
      <w:pPr>
        <w:pStyle w:val="Heading3"/>
      </w:pPr>
      <w:r>
        <w:rPr>
          <w:w w:val="105"/>
        </w:rPr>
        <w:t>ЕОК/ЕОАГ IВ (УУР В, УДД 2)</w:t>
      </w:r>
    </w:p>
    <w:p>
      <w:pPr>
        <w:pStyle w:val="BodyText"/>
        <w:spacing w:line="256" w:lineRule="auto" w:before="296"/>
        <w:ind w:left="695" w:right="130"/>
      </w:pPr>
      <w:r>
        <w:rPr/>
        <w:pict>
          <v:shape style="position:absolute;margin-left:91.538452pt;margin-top:22.219469pt;width:4.55pt;height:4.55pt;mso-position-horizontal-relative:page;mso-position-vertical-relative:paragraph;z-index:15819264"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w w:val="105"/>
        </w:rPr>
        <w:t>Всем</w:t>
      </w:r>
      <w:r>
        <w:rPr>
          <w:spacing w:val="-47"/>
          <w:w w:val="105"/>
        </w:rPr>
        <w:t> </w:t>
      </w:r>
      <w:r>
        <w:rPr>
          <w:w w:val="105"/>
        </w:rPr>
        <w:t>пациентам</w:t>
      </w:r>
      <w:r>
        <w:rPr>
          <w:spacing w:val="-46"/>
          <w:w w:val="105"/>
        </w:rPr>
        <w:t> </w:t>
      </w:r>
      <w:r>
        <w:rPr>
          <w:w w:val="105"/>
        </w:rPr>
        <w:t>с</w:t>
      </w:r>
      <w:r>
        <w:rPr>
          <w:spacing w:val="-47"/>
          <w:w w:val="105"/>
        </w:rPr>
        <w:t> </w:t>
      </w:r>
      <w:r>
        <w:rPr>
          <w:w w:val="105"/>
        </w:rPr>
        <w:t>резистентной</w:t>
      </w:r>
      <w:r>
        <w:rPr>
          <w:spacing w:val="-46"/>
          <w:w w:val="105"/>
        </w:rPr>
        <w:t> </w:t>
      </w:r>
      <w:r>
        <w:rPr>
          <w:w w:val="105"/>
        </w:rPr>
        <w:t>АГ</w:t>
      </w:r>
      <w:r>
        <w:rPr>
          <w:spacing w:val="-47"/>
          <w:w w:val="105"/>
        </w:rPr>
        <w:t> </w:t>
      </w:r>
      <w:r>
        <w:rPr>
          <w:w w:val="105"/>
        </w:rPr>
        <w:t>рекомендовано</w:t>
      </w:r>
      <w:r>
        <w:rPr>
          <w:spacing w:val="-46"/>
          <w:w w:val="105"/>
        </w:rPr>
        <w:t> </w:t>
      </w:r>
      <w:r>
        <w:rPr>
          <w:w w:val="105"/>
        </w:rPr>
        <w:t>добавление к</w:t>
      </w:r>
      <w:r>
        <w:rPr>
          <w:spacing w:val="-10"/>
          <w:w w:val="105"/>
        </w:rPr>
        <w:t> </w:t>
      </w:r>
      <w:r>
        <w:rPr>
          <w:w w:val="105"/>
        </w:rPr>
        <w:t>проводимой</w:t>
      </w:r>
      <w:r>
        <w:rPr>
          <w:spacing w:val="-10"/>
          <w:w w:val="105"/>
        </w:rPr>
        <w:t> </w:t>
      </w:r>
      <w:r>
        <w:rPr>
          <w:w w:val="105"/>
        </w:rPr>
        <w:t>терапии</w:t>
      </w:r>
      <w:r>
        <w:rPr>
          <w:spacing w:val="-10"/>
          <w:w w:val="105"/>
        </w:rPr>
        <w:t> </w:t>
      </w:r>
      <w:r>
        <w:rPr>
          <w:w w:val="105"/>
        </w:rPr>
        <w:t>спиронолактона**</w:t>
      </w:r>
      <w:r>
        <w:rPr>
          <w:spacing w:val="-10"/>
          <w:w w:val="105"/>
        </w:rPr>
        <w:t> </w:t>
      </w:r>
      <w:r>
        <w:rPr>
          <w:w w:val="105"/>
        </w:rPr>
        <w:t>в</w:t>
      </w:r>
      <w:r>
        <w:rPr>
          <w:spacing w:val="-9"/>
          <w:w w:val="105"/>
        </w:rPr>
        <w:t> </w:t>
      </w:r>
      <w:r>
        <w:rPr>
          <w:w w:val="105"/>
        </w:rPr>
        <w:t>дозах</w:t>
      </w:r>
      <w:r>
        <w:rPr>
          <w:spacing w:val="-10"/>
          <w:w w:val="105"/>
        </w:rPr>
        <w:t> </w:t>
      </w:r>
      <w:r>
        <w:rPr>
          <w:w w:val="105"/>
        </w:rPr>
        <w:t>25-50</w:t>
      </w:r>
      <w:r>
        <w:rPr>
          <w:spacing w:val="-10"/>
          <w:w w:val="105"/>
        </w:rPr>
        <w:t> </w:t>
      </w:r>
      <w:r>
        <w:rPr>
          <w:w w:val="105"/>
        </w:rPr>
        <w:t>мг/сут для</w:t>
      </w:r>
      <w:r>
        <w:rPr>
          <w:spacing w:val="-14"/>
          <w:w w:val="105"/>
        </w:rPr>
        <w:t> </w:t>
      </w:r>
      <w:r>
        <w:rPr>
          <w:w w:val="105"/>
        </w:rPr>
        <w:t>достижения</w:t>
      </w:r>
      <w:r>
        <w:rPr>
          <w:spacing w:val="-13"/>
          <w:w w:val="105"/>
        </w:rPr>
        <w:t> </w:t>
      </w:r>
      <w:r>
        <w:rPr>
          <w:w w:val="105"/>
        </w:rPr>
        <w:t>целевого</w:t>
      </w:r>
      <w:r>
        <w:rPr>
          <w:spacing w:val="-13"/>
          <w:w w:val="105"/>
        </w:rPr>
        <w:t> </w:t>
      </w:r>
      <w:r>
        <w:rPr>
          <w:w w:val="105"/>
        </w:rPr>
        <w:t>уровня</w:t>
      </w:r>
      <w:r>
        <w:rPr>
          <w:spacing w:val="-14"/>
          <w:w w:val="105"/>
        </w:rPr>
        <w:t> </w:t>
      </w:r>
      <w:r>
        <w:rPr>
          <w:w w:val="105"/>
        </w:rPr>
        <w:t>АД</w:t>
      </w:r>
      <w:r>
        <w:rPr>
          <w:spacing w:val="-13"/>
          <w:w w:val="105"/>
        </w:rPr>
        <w:t> </w:t>
      </w:r>
      <w:r>
        <w:rPr>
          <w:spacing w:val="-6"/>
          <w:w w:val="105"/>
        </w:rPr>
        <w:t>[137,</w:t>
      </w:r>
      <w:r>
        <w:rPr>
          <w:spacing w:val="-13"/>
          <w:w w:val="105"/>
        </w:rPr>
        <w:t> </w:t>
      </w:r>
      <w:r>
        <w:rPr>
          <w:w w:val="105"/>
        </w:rPr>
        <w:t>222,</w:t>
      </w:r>
      <w:r>
        <w:rPr>
          <w:spacing w:val="-14"/>
          <w:w w:val="105"/>
        </w:rPr>
        <w:t> </w:t>
      </w:r>
      <w:r>
        <w:rPr>
          <w:w w:val="105"/>
        </w:rPr>
        <w:t>223].</w:t>
      </w:r>
    </w:p>
    <w:p>
      <w:pPr>
        <w:pStyle w:val="Heading3"/>
        <w:spacing w:before="272"/>
      </w:pPr>
      <w:r>
        <w:rPr>
          <w:w w:val="105"/>
        </w:rPr>
        <w:t>ЕОК/ЕОАГ IВ (УУР А, УДД 1)</w:t>
      </w:r>
    </w:p>
    <w:p>
      <w:pPr>
        <w:spacing w:line="256" w:lineRule="auto" w:before="296"/>
        <w:ind w:left="695" w:right="129" w:firstLine="0"/>
        <w:jc w:val="both"/>
        <w:rPr>
          <w:i/>
          <w:sz w:val="27"/>
        </w:rPr>
      </w:pPr>
      <w:r>
        <w:rPr>
          <w:b/>
          <w:w w:val="105"/>
          <w:sz w:val="27"/>
        </w:rPr>
        <w:t>Комментарии. </w:t>
      </w:r>
      <w:r>
        <w:rPr>
          <w:i/>
          <w:w w:val="105"/>
          <w:sz w:val="27"/>
        </w:rPr>
        <w:t>При непереносимости спиронолактона </w:t>
      </w:r>
      <w:r>
        <w:rPr>
          <w:i/>
          <w:w w:val="105"/>
          <w:sz w:val="27"/>
        </w:rPr>
        <w:t>рекомендовано добавление других диуретиков, включающих эплеренон, более высокие дозы тиазидных/тиазидоподобных диуретиков, или петлевые диуретики, или добавление бисопролола или доксазозина. Применение спиронолактона, эплеренона противопоказано пациентам с СКФ </w:t>
      </w:r>
      <w:r>
        <w:rPr>
          <w:rFonts w:ascii="Times New Roman" w:hAnsi="Times New Roman"/>
          <w:i/>
          <w:w w:val="105"/>
          <w:sz w:val="27"/>
        </w:rPr>
        <w:t>≤ </w:t>
      </w:r>
      <w:r>
        <w:rPr>
          <w:i/>
          <w:w w:val="105"/>
          <w:sz w:val="27"/>
        </w:rPr>
        <w:t>30 мл/мин и </w:t>
      </w:r>
      <w:r>
        <w:rPr>
          <w:i/>
          <w:w w:val="105"/>
          <w:sz w:val="27"/>
        </w:rPr>
        <w:t>концентрацией калия в плазме </w:t>
      </w:r>
      <w:r>
        <w:rPr>
          <w:rFonts w:ascii="Times New Roman" w:hAnsi="Times New Roman"/>
          <w:i/>
          <w:w w:val="105"/>
          <w:sz w:val="27"/>
        </w:rPr>
        <w:t>≥ </w:t>
      </w:r>
      <w:r>
        <w:rPr>
          <w:i/>
          <w:w w:val="105"/>
          <w:sz w:val="27"/>
        </w:rPr>
        <w:t>5 ммоль/л из-за риска </w:t>
      </w:r>
      <w:r>
        <w:rPr>
          <w:i/>
          <w:w w:val="105"/>
          <w:sz w:val="27"/>
        </w:rPr>
        <w:t>гиперкалиемии. Петлевые диуретики следует использовать вместо тиазидных/тиазидоподобных при СКФ &lt;30 мл/мин.</w:t>
      </w:r>
    </w:p>
    <w:p>
      <w:pPr>
        <w:pStyle w:val="Heading3"/>
        <w:numPr>
          <w:ilvl w:val="2"/>
          <w:numId w:val="6"/>
        </w:numPr>
        <w:tabs>
          <w:tab w:pos="1620" w:val="left" w:leader="none"/>
        </w:tabs>
        <w:spacing w:line="240" w:lineRule="auto" w:before="274" w:after="0"/>
        <w:ind w:left="1619" w:right="0" w:hanging="925"/>
        <w:jc w:val="left"/>
      </w:pPr>
      <w:r>
        <w:rPr/>
        <w:t>Артериальная гипертензия «белого</w:t>
      </w:r>
      <w:r>
        <w:rPr>
          <w:spacing w:val="12"/>
        </w:rPr>
        <w:t> </w:t>
      </w:r>
      <w:r>
        <w:rPr/>
        <w:t>халата»</w:t>
      </w:r>
    </w:p>
    <w:p>
      <w:pPr>
        <w:pStyle w:val="BodyText"/>
        <w:spacing w:line="256" w:lineRule="auto" w:before="296"/>
        <w:ind w:left="695" w:right="136"/>
      </w:pPr>
      <w:r>
        <w:rPr/>
        <w:pict>
          <v:shape style="position:absolute;margin-left:91.538452pt;margin-top:22.219465pt;width:4.55pt;height:4.55pt;mso-position-horizontal-relative:page;mso-position-vertical-relative:paragraph;z-index:15819776"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Пациентам с АГ «белого халата» рекомендуется проводить мероприятия по изменению образа жизни, направленные на уменьшение СС риска [21, 22].</w:t>
      </w:r>
    </w:p>
    <w:p>
      <w:pPr>
        <w:pStyle w:val="Heading3"/>
      </w:pPr>
      <w:r>
        <w:rPr/>
        <w:t>ЕОК/ЕОАГ IС (УУР А, УДД3)</w:t>
      </w:r>
    </w:p>
    <w:p>
      <w:pPr>
        <w:pStyle w:val="BodyText"/>
        <w:spacing w:line="256" w:lineRule="auto" w:before="296"/>
        <w:ind w:left="695" w:right="135"/>
      </w:pPr>
      <w:r>
        <w:rPr/>
        <w:pict>
          <v:shape style="position:absolute;margin-left:91.538452pt;margin-top:22.219458pt;width:4.55pt;height:4.55pt;mso-position-horizontal-relative:page;mso-position-vertical-relative:paragraph;z-index:15820288"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Всем пациентам с АГ «белого халата» рекомендуется проводить регулярные обследования (не менее 1 раза в 2 года) с периодическим мониторированием АД, вне медицинского учреждения [21, 22,</w:t>
      </w:r>
      <w:r>
        <w:rPr>
          <w:spacing w:val="-2"/>
        </w:rPr>
        <w:t> </w:t>
      </w:r>
      <w:r>
        <w:rPr/>
        <w:t>224–230].</w:t>
      </w:r>
    </w:p>
    <w:p>
      <w:pPr>
        <w:pStyle w:val="Heading3"/>
        <w:spacing w:before="272"/>
      </w:pPr>
      <w:r>
        <w:rPr>
          <w:w w:val="105"/>
        </w:rPr>
        <w:t>ЕОК/ЕОАГ</w:t>
      </w:r>
      <w:r>
        <w:rPr>
          <w:spacing w:val="-47"/>
          <w:w w:val="105"/>
        </w:rPr>
        <w:t> </w:t>
      </w:r>
      <w:r>
        <w:rPr>
          <w:w w:val="105"/>
        </w:rPr>
        <w:t>IС</w:t>
      </w:r>
      <w:r>
        <w:rPr>
          <w:spacing w:val="-47"/>
          <w:w w:val="105"/>
        </w:rPr>
        <w:t> </w:t>
      </w:r>
      <w:r>
        <w:rPr>
          <w:w w:val="105"/>
        </w:rPr>
        <w:t>(УУР</w:t>
      </w:r>
      <w:r>
        <w:rPr>
          <w:spacing w:val="-46"/>
          <w:w w:val="105"/>
        </w:rPr>
        <w:t> </w:t>
      </w:r>
      <w:r>
        <w:rPr>
          <w:w w:val="105"/>
        </w:rPr>
        <w:t>B,</w:t>
      </w:r>
      <w:r>
        <w:rPr>
          <w:spacing w:val="-47"/>
          <w:w w:val="105"/>
        </w:rPr>
        <w:t> </w:t>
      </w:r>
      <w:r>
        <w:rPr>
          <w:spacing w:val="-3"/>
          <w:w w:val="105"/>
        </w:rPr>
        <w:t>УДД</w:t>
      </w:r>
      <w:r>
        <w:rPr>
          <w:spacing w:val="-47"/>
          <w:w w:val="105"/>
        </w:rPr>
        <w:t> </w:t>
      </w:r>
      <w:r>
        <w:rPr>
          <w:w w:val="105"/>
        </w:rPr>
        <w:t>2)</w:t>
      </w:r>
    </w:p>
    <w:p>
      <w:pPr>
        <w:spacing w:line="256" w:lineRule="auto" w:before="296"/>
        <w:ind w:left="695" w:right="130" w:firstLine="0"/>
        <w:jc w:val="both"/>
        <w:rPr>
          <w:i/>
          <w:sz w:val="27"/>
        </w:rPr>
      </w:pPr>
      <w:r>
        <w:rPr>
          <w:b/>
          <w:w w:val="105"/>
          <w:sz w:val="27"/>
        </w:rPr>
        <w:t>Комментарии. </w:t>
      </w:r>
      <w:r>
        <w:rPr>
          <w:i/>
          <w:w w:val="105"/>
          <w:sz w:val="27"/>
        </w:rPr>
        <w:t>АГ «белого халата» диагностируется при </w:t>
      </w:r>
      <w:r>
        <w:rPr>
          <w:i/>
          <w:w w:val="105"/>
          <w:sz w:val="27"/>
        </w:rPr>
        <w:t>выявлении повышенного АД, измеренного в медицинском учреждении и нормальных показателей АД, измеренного вне медицинского учреждения. АГ «белого халата» может</w:t>
      </w:r>
      <w:r>
        <w:rPr>
          <w:i/>
          <w:spacing w:val="65"/>
          <w:w w:val="105"/>
          <w:sz w:val="27"/>
        </w:rPr>
        <w:t> </w:t>
      </w:r>
      <w:r>
        <w:rPr>
          <w:i/>
          <w:w w:val="105"/>
          <w:sz w:val="27"/>
        </w:rPr>
        <w:t>иметь</w:t>
      </w:r>
    </w:p>
    <w:p>
      <w:pPr>
        <w:spacing w:after="0" w:line="256" w:lineRule="auto"/>
        <w:jc w:val="both"/>
        <w:rPr>
          <w:sz w:val="27"/>
        </w:rPr>
        <w:sectPr>
          <w:pgSz w:w="11900" w:h="16840"/>
          <w:pgMar w:top="0" w:bottom="0" w:left="1420" w:right="1520"/>
        </w:sectPr>
      </w:pPr>
    </w:p>
    <w:p>
      <w:pPr>
        <w:spacing w:line="256" w:lineRule="auto" w:before="16"/>
        <w:ind w:left="695" w:right="129" w:firstLine="0"/>
        <w:jc w:val="both"/>
        <w:rPr>
          <w:i/>
          <w:sz w:val="27"/>
        </w:rPr>
      </w:pPr>
      <w:r>
        <w:rPr>
          <w:i/>
          <w:w w:val="105"/>
          <w:sz w:val="27"/>
        </w:rPr>
        <w:t>место</w:t>
      </w:r>
      <w:r>
        <w:rPr>
          <w:i/>
          <w:spacing w:val="-6"/>
          <w:w w:val="105"/>
          <w:sz w:val="27"/>
        </w:rPr>
        <w:t> </w:t>
      </w:r>
      <w:r>
        <w:rPr>
          <w:i/>
          <w:w w:val="105"/>
          <w:sz w:val="27"/>
        </w:rPr>
        <w:t>у</w:t>
      </w:r>
      <w:r>
        <w:rPr>
          <w:i/>
          <w:spacing w:val="-6"/>
          <w:w w:val="105"/>
          <w:sz w:val="27"/>
        </w:rPr>
        <w:t> </w:t>
      </w:r>
      <w:r>
        <w:rPr>
          <w:i/>
          <w:w w:val="105"/>
          <w:sz w:val="27"/>
        </w:rPr>
        <w:t>многих</w:t>
      </w:r>
      <w:r>
        <w:rPr>
          <w:i/>
          <w:spacing w:val="-6"/>
          <w:w w:val="105"/>
          <w:sz w:val="27"/>
        </w:rPr>
        <w:t> </w:t>
      </w:r>
      <w:r>
        <w:rPr>
          <w:i/>
          <w:w w:val="105"/>
          <w:sz w:val="27"/>
        </w:rPr>
        <w:t>людей</w:t>
      </w:r>
      <w:r>
        <w:rPr>
          <w:i/>
          <w:spacing w:val="-6"/>
          <w:w w:val="105"/>
          <w:sz w:val="27"/>
        </w:rPr>
        <w:t> </w:t>
      </w:r>
      <w:r>
        <w:rPr>
          <w:i/>
          <w:w w:val="105"/>
          <w:sz w:val="27"/>
        </w:rPr>
        <w:t>с</w:t>
      </w:r>
      <w:r>
        <w:rPr>
          <w:i/>
          <w:spacing w:val="-6"/>
          <w:w w:val="105"/>
          <w:sz w:val="27"/>
        </w:rPr>
        <w:t> </w:t>
      </w:r>
      <w:r>
        <w:rPr>
          <w:i/>
          <w:w w:val="105"/>
          <w:sz w:val="27"/>
        </w:rPr>
        <w:t>повышением</w:t>
      </w:r>
      <w:r>
        <w:rPr>
          <w:i/>
          <w:spacing w:val="-6"/>
          <w:w w:val="105"/>
          <w:sz w:val="27"/>
        </w:rPr>
        <w:t> </w:t>
      </w:r>
      <w:r>
        <w:rPr>
          <w:i/>
          <w:w w:val="105"/>
          <w:sz w:val="27"/>
        </w:rPr>
        <w:t>клинического</w:t>
      </w:r>
      <w:r>
        <w:rPr>
          <w:i/>
          <w:spacing w:val="-6"/>
          <w:w w:val="105"/>
          <w:sz w:val="27"/>
        </w:rPr>
        <w:t> </w:t>
      </w:r>
      <w:r>
        <w:rPr>
          <w:i/>
          <w:w w:val="105"/>
          <w:sz w:val="27"/>
        </w:rPr>
        <w:t>АД,</w:t>
      </w:r>
      <w:r>
        <w:rPr>
          <w:i/>
          <w:spacing w:val="-6"/>
          <w:w w:val="105"/>
          <w:sz w:val="27"/>
        </w:rPr>
        <w:t> </w:t>
      </w:r>
      <w:r>
        <w:rPr>
          <w:i/>
          <w:w w:val="105"/>
          <w:sz w:val="27"/>
        </w:rPr>
        <w:t>особенно</w:t>
      </w:r>
      <w:r>
        <w:rPr>
          <w:i/>
          <w:spacing w:val="-6"/>
          <w:w w:val="105"/>
          <w:sz w:val="27"/>
        </w:rPr>
        <w:t> </w:t>
      </w:r>
      <w:r>
        <w:rPr>
          <w:i/>
          <w:w w:val="105"/>
          <w:sz w:val="27"/>
        </w:rPr>
        <w:t>с </w:t>
      </w:r>
      <w:r>
        <w:rPr>
          <w:i/>
          <w:w w:val="105"/>
          <w:sz w:val="27"/>
        </w:rPr>
        <w:t>АГ 1-й степени, а также у очень пожилых пациентов (&gt;50%) [21, 22]. По сравнению со здоровыми лицами АГ «белого </w:t>
      </w:r>
      <w:r>
        <w:rPr>
          <w:i/>
          <w:spacing w:val="-3"/>
          <w:w w:val="105"/>
          <w:sz w:val="27"/>
        </w:rPr>
        <w:t>халата» </w:t>
      </w:r>
      <w:r>
        <w:rPr>
          <w:i/>
          <w:w w:val="105"/>
          <w:sz w:val="27"/>
        </w:rPr>
        <w:t>ассоциируется с более высокой распространенностью метаболических факторов риска и ПОМ. Она также ассоциирована с более высоким риском развития сахарного диабета типа 2 и устойчивой АГ, а также с повышенным сердечно-сосудистым риском [227–230]. Различают «эффект белого халата», являющийся дополнительным прессорным ответом (реакцией) у пациента с АГ на измерение АД (реакция тревоги), чаще наблюдаемый в условиях медицинской организации.</w:t>
      </w:r>
    </w:p>
    <w:p>
      <w:pPr>
        <w:pStyle w:val="BodyText"/>
        <w:tabs>
          <w:tab w:pos="3550" w:val="left" w:leader="none"/>
          <w:tab w:pos="6498" w:val="left" w:leader="none"/>
        </w:tabs>
        <w:spacing w:line="256" w:lineRule="auto" w:before="275"/>
        <w:ind w:left="695" w:right="132"/>
      </w:pPr>
      <w:r>
        <w:rPr/>
        <w:pict>
          <v:shape style="position:absolute;margin-left:91.538452pt;margin-top:21.169474pt;width:4.55pt;height:4.55pt;mso-position-horizontal-relative:page;mso-position-vertical-relative:paragraph;z-index:15820800" coordorigin="1831,423" coordsize="91,91" path="m1876,513l1863,513,1853,509,1835,491,1831,481,1831,456,1835,445,1853,428,1863,423,1888,423,1899,428,1916,445,1921,456,1921,468,1921,481,1916,491,1899,509,1888,513,1876,513xe" filled="true" fillcolor="#000000" stroked="false">
            <v:path arrowok="t"/>
            <v:fill type="solid"/>
            <w10:wrap type="none"/>
          </v:shape>
        </w:pict>
      </w:r>
      <w:r>
        <w:rPr/>
        <w:t>Для пациентов с АГ «белого халата» рекомендуется рассмотреть</w:t>
        <w:tab/>
        <w:t>возможность</w:t>
        <w:tab/>
      </w:r>
      <w:r>
        <w:rPr>
          <w:spacing w:val="-1"/>
        </w:rPr>
        <w:t>медикаментозной </w:t>
      </w:r>
      <w:r>
        <w:rPr/>
        <w:t>антигипертензивной терапии при наличии признаков ПОМ или высоком/очень высоком </w:t>
      </w:r>
      <w:r>
        <w:rPr>
          <w:spacing w:val="-4"/>
        </w:rPr>
        <w:t>СС </w:t>
      </w:r>
      <w:r>
        <w:rPr/>
        <w:t>риске (раздел 2.3, </w:t>
      </w:r>
      <w:r>
        <w:rPr>
          <w:spacing w:val="-3"/>
        </w:rPr>
        <w:t>Таблица </w:t>
      </w:r>
      <w:r>
        <w:rPr/>
        <w:t>П11, Приложение</w:t>
      </w:r>
      <w:r>
        <w:rPr>
          <w:spacing w:val="-7"/>
        </w:rPr>
        <w:t> </w:t>
      </w:r>
      <w:r>
        <w:rPr/>
        <w:t>Г2</w:t>
      </w:r>
      <w:r>
        <w:rPr>
          <w:spacing w:val="-7"/>
        </w:rPr>
        <w:t> </w:t>
      </w:r>
      <w:r>
        <w:rPr/>
        <w:t>и</w:t>
      </w:r>
      <w:r>
        <w:rPr>
          <w:spacing w:val="-6"/>
        </w:rPr>
        <w:t> </w:t>
      </w:r>
      <w:r>
        <w:rPr>
          <w:spacing w:val="-3"/>
        </w:rPr>
        <w:t>Таблица</w:t>
      </w:r>
      <w:r>
        <w:rPr>
          <w:spacing w:val="-7"/>
        </w:rPr>
        <w:t> </w:t>
      </w:r>
      <w:r>
        <w:rPr/>
        <w:t>П12,</w:t>
      </w:r>
      <w:r>
        <w:rPr>
          <w:spacing w:val="-7"/>
        </w:rPr>
        <w:t> </w:t>
      </w:r>
      <w:r>
        <w:rPr/>
        <w:t>Приложение</w:t>
      </w:r>
      <w:r>
        <w:rPr>
          <w:spacing w:val="-6"/>
        </w:rPr>
        <w:t> </w:t>
      </w:r>
      <w:r>
        <w:rPr/>
        <w:t>Г2)</w:t>
      </w:r>
      <w:r>
        <w:rPr>
          <w:spacing w:val="-7"/>
        </w:rPr>
        <w:t> </w:t>
      </w:r>
      <w:r>
        <w:rPr/>
        <w:t>[21,</w:t>
      </w:r>
      <w:r>
        <w:rPr>
          <w:spacing w:val="-7"/>
        </w:rPr>
        <w:t> </w:t>
      </w:r>
      <w:r>
        <w:rPr/>
        <w:t>22].</w:t>
      </w:r>
    </w:p>
    <w:p>
      <w:pPr>
        <w:pStyle w:val="Heading3"/>
        <w:spacing w:before="272"/>
        <w:jc w:val="both"/>
      </w:pPr>
      <w:r>
        <w:rPr>
          <w:w w:val="105"/>
        </w:rPr>
        <w:t>ЕОК/ЕОАГ IIbC (УУР C, УДД 5)</w:t>
      </w:r>
    </w:p>
    <w:p>
      <w:pPr>
        <w:spacing w:line="256" w:lineRule="auto" w:before="296"/>
        <w:ind w:left="695" w:right="132" w:firstLine="0"/>
        <w:jc w:val="both"/>
        <w:rPr>
          <w:i/>
          <w:sz w:val="27"/>
        </w:rPr>
      </w:pPr>
      <w:r>
        <w:rPr>
          <w:b/>
          <w:w w:val="105"/>
          <w:sz w:val="27"/>
        </w:rPr>
        <w:t>Комментарии. </w:t>
      </w:r>
      <w:r>
        <w:rPr>
          <w:i/>
          <w:w w:val="105"/>
          <w:sz w:val="27"/>
        </w:rPr>
        <w:t>Для остальных пациентов с АГ «белого халата» </w:t>
      </w:r>
      <w:r>
        <w:rPr>
          <w:i/>
          <w:w w:val="105"/>
          <w:sz w:val="27"/>
        </w:rPr>
        <w:t>рутинная медикаментозная терапия не рекомендована [21, 22].</w:t>
      </w:r>
    </w:p>
    <w:p>
      <w:pPr>
        <w:pStyle w:val="Heading3"/>
        <w:numPr>
          <w:ilvl w:val="2"/>
          <w:numId w:val="6"/>
        </w:numPr>
        <w:tabs>
          <w:tab w:pos="1620" w:val="left" w:leader="none"/>
        </w:tabs>
        <w:spacing w:line="240" w:lineRule="auto" w:before="271" w:after="0"/>
        <w:ind w:left="1619" w:right="0" w:hanging="925"/>
        <w:jc w:val="left"/>
      </w:pPr>
      <w:r>
        <w:rPr/>
        <w:t>«Маскированная» артериальная</w:t>
      </w:r>
      <w:r>
        <w:rPr>
          <w:spacing w:val="9"/>
        </w:rPr>
        <w:t> </w:t>
      </w:r>
      <w:r>
        <w:rPr/>
        <w:t>гипертензия</w:t>
      </w:r>
    </w:p>
    <w:p>
      <w:pPr>
        <w:pStyle w:val="BodyText"/>
        <w:spacing w:line="256" w:lineRule="auto" w:before="296"/>
        <w:ind w:left="695" w:right="129"/>
      </w:pPr>
      <w:r>
        <w:rPr/>
        <w:t>«Маскированная» гипертензия (МГ) (скрытая гипертензия) диагностируется у пациентов с нормальными показателями АД, измеренного в медицинском учреждении, но с повышенными значениями АД, измеренного  вне медицинского учреждения. У таких пациентов метаболические факторы риска и ПОМ, встречается чаще, чем у пациентов с истинной нормотензией </w:t>
      </w:r>
      <w:r>
        <w:rPr>
          <w:spacing w:val="-7"/>
        </w:rPr>
        <w:t>[37, </w:t>
      </w:r>
      <w:r>
        <w:rPr/>
        <w:t>228–231]. Проблему представляет диагностика «маскированной» АГ, поскольку большинство скрининговых программ основано на использовании показателей АД, измеренного в медицинском учреждении, которое является нормальным. «Маскированная» АГ чаще встречается у молодых пациентов, чем у пожилых, а также у тех, чьи показатели клинического АД находятся в пределах значений высокого нормального АД (130–139/80–89 мм рт. </w:t>
      </w:r>
      <w:r>
        <w:rPr>
          <w:spacing w:val="-3"/>
        </w:rPr>
        <w:t>ст.). </w:t>
      </w:r>
      <w:r>
        <w:rPr/>
        <w:t>Она</w:t>
      </w:r>
      <w:r>
        <w:rPr>
          <w:spacing w:val="21"/>
        </w:rPr>
        <w:t> </w:t>
      </w:r>
      <w:r>
        <w:rPr/>
        <w:t>редко</w:t>
      </w:r>
      <w:r>
        <w:rPr>
          <w:spacing w:val="22"/>
        </w:rPr>
        <w:t> </w:t>
      </w:r>
      <w:r>
        <w:rPr/>
        <w:t>встречается</w:t>
      </w:r>
      <w:r>
        <w:rPr>
          <w:spacing w:val="22"/>
        </w:rPr>
        <w:t> </w:t>
      </w:r>
      <w:r>
        <w:rPr/>
        <w:t>у</w:t>
      </w:r>
      <w:r>
        <w:rPr>
          <w:spacing w:val="22"/>
        </w:rPr>
        <w:t> </w:t>
      </w:r>
      <w:r>
        <w:rPr/>
        <w:t>лиц</w:t>
      </w:r>
      <w:r>
        <w:rPr>
          <w:spacing w:val="22"/>
        </w:rPr>
        <w:t> </w:t>
      </w:r>
      <w:r>
        <w:rPr/>
        <w:t>с</w:t>
      </w:r>
      <w:r>
        <w:rPr>
          <w:spacing w:val="22"/>
        </w:rPr>
        <w:t> </w:t>
      </w:r>
      <w:r>
        <w:rPr/>
        <w:t>показателями</w:t>
      </w:r>
      <w:r>
        <w:rPr>
          <w:spacing w:val="22"/>
        </w:rPr>
        <w:t> </w:t>
      </w:r>
      <w:r>
        <w:rPr/>
        <w:t>клинического</w:t>
      </w:r>
      <w:r>
        <w:rPr>
          <w:spacing w:val="22"/>
        </w:rPr>
        <w:t> </w:t>
      </w:r>
      <w:r>
        <w:rPr/>
        <w:t>АД</w:t>
      </w:r>
    </w:p>
    <w:p>
      <w:pPr>
        <w:pStyle w:val="BodyText"/>
        <w:spacing w:line="256" w:lineRule="auto" w:before="6"/>
        <w:ind w:left="695" w:right="133"/>
      </w:pPr>
      <w:r>
        <w:rPr/>
        <w:t>&lt;130/80 мм рт. ст. «Маскированная» АГ ассоциируется с повышением риска прогрессирования заболевания до стойкой АГ,</w:t>
      </w:r>
      <w:r>
        <w:rPr>
          <w:spacing w:val="-11"/>
        </w:rPr>
        <w:t> </w:t>
      </w:r>
      <w:r>
        <w:rPr/>
        <w:t>повышенной</w:t>
      </w:r>
      <w:r>
        <w:rPr>
          <w:spacing w:val="-11"/>
        </w:rPr>
        <w:t> </w:t>
      </w:r>
      <w:r>
        <w:rPr/>
        <w:t>частотой</w:t>
      </w:r>
      <w:r>
        <w:rPr>
          <w:spacing w:val="-11"/>
        </w:rPr>
        <w:t> </w:t>
      </w:r>
      <w:r>
        <w:rPr/>
        <w:t>развития</w:t>
      </w:r>
      <w:r>
        <w:rPr>
          <w:spacing w:val="-11"/>
        </w:rPr>
        <w:t> </w:t>
      </w:r>
      <w:r>
        <w:rPr>
          <w:spacing w:val="-4"/>
        </w:rPr>
        <w:t>СД</w:t>
      </w:r>
      <w:r>
        <w:rPr>
          <w:spacing w:val="-11"/>
        </w:rPr>
        <w:t> </w:t>
      </w:r>
      <w:r>
        <w:rPr/>
        <w:t>типа</w:t>
      </w:r>
      <w:r>
        <w:rPr>
          <w:spacing w:val="-11"/>
        </w:rPr>
        <w:t> </w:t>
      </w:r>
      <w:r>
        <w:rPr/>
        <w:t>2</w:t>
      </w:r>
      <w:r>
        <w:rPr>
          <w:spacing w:val="-11"/>
        </w:rPr>
        <w:t> </w:t>
      </w:r>
      <w:r>
        <w:rPr/>
        <w:t>и</w:t>
      </w:r>
      <w:r>
        <w:rPr>
          <w:spacing w:val="-11"/>
        </w:rPr>
        <w:t> </w:t>
      </w:r>
      <w:r>
        <w:rPr/>
        <w:t>наличием</w:t>
      </w:r>
      <w:r>
        <w:rPr>
          <w:spacing w:val="-11"/>
        </w:rPr>
        <w:t> </w:t>
      </w:r>
      <w:r>
        <w:rPr/>
        <w:t>ПОМ</w:t>
      </w:r>
    </w:p>
    <w:p>
      <w:pPr>
        <w:spacing w:after="0" w:line="256" w:lineRule="auto"/>
        <w:sectPr>
          <w:pgSz w:w="11900" w:h="16840"/>
          <w:pgMar w:top="0" w:bottom="0" w:left="1420" w:right="1520"/>
        </w:sectPr>
      </w:pPr>
    </w:p>
    <w:p>
      <w:pPr>
        <w:pStyle w:val="BodyText"/>
        <w:spacing w:line="256" w:lineRule="auto" w:before="16"/>
        <w:ind w:left="695" w:right="134"/>
      </w:pPr>
      <w:r>
        <w:rPr/>
        <w:t>[21, 22]. </w:t>
      </w:r>
      <w:r>
        <w:rPr>
          <w:spacing w:val="-3"/>
        </w:rPr>
        <w:t>Уровень </w:t>
      </w:r>
      <w:r>
        <w:rPr/>
        <w:t>отдаленного риска развития фатальных </w:t>
      </w:r>
      <w:r>
        <w:rPr>
          <w:spacing w:val="-11"/>
        </w:rPr>
        <w:t>и </w:t>
      </w:r>
      <w:r>
        <w:rPr/>
        <w:t>нефатальных </w:t>
      </w:r>
      <w:r>
        <w:rPr>
          <w:spacing w:val="-4"/>
        </w:rPr>
        <w:t>СС</w:t>
      </w:r>
      <w:r>
        <w:rPr>
          <w:spacing w:val="59"/>
        </w:rPr>
        <w:t> </w:t>
      </w:r>
      <w:r>
        <w:rPr/>
        <w:t>событий приближается к значению этого показателя у пациентов с устойчивой АГ </w:t>
      </w:r>
      <w:r>
        <w:rPr>
          <w:spacing w:val="-7"/>
        </w:rPr>
        <w:t>[37, </w:t>
      </w:r>
      <w:r>
        <w:rPr/>
        <w:t>38, 98, 232–233].</w:t>
      </w:r>
    </w:p>
    <w:p>
      <w:pPr>
        <w:pStyle w:val="BodyText"/>
        <w:spacing w:line="256" w:lineRule="auto" w:before="272"/>
        <w:ind w:left="695" w:right="132"/>
      </w:pPr>
      <w:r>
        <w:rPr/>
        <w:pict>
          <v:shape style="position:absolute;margin-left:91.538452pt;margin-top:21.019436pt;width:4.55pt;height:4.55pt;mso-position-horizontal-relative:page;mso-position-vertical-relative:paragraph;z-index:15821312"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t>Всем пациентам с «маскированной» АГ рекомендуются мероприятия по изменению образа жизни с целью уменьшения СС риска [21, 22].</w:t>
      </w:r>
    </w:p>
    <w:p>
      <w:pPr>
        <w:pStyle w:val="Heading3"/>
      </w:pPr>
      <w:r>
        <w:rPr>
          <w:w w:val="105"/>
        </w:rPr>
        <w:t>ЕОК/ЕОАГ IС (УУР C, УДД 5)</w:t>
      </w:r>
    </w:p>
    <w:p>
      <w:pPr>
        <w:pStyle w:val="BodyText"/>
        <w:spacing w:line="256" w:lineRule="auto" w:before="296"/>
        <w:ind w:left="695" w:right="132"/>
      </w:pPr>
      <w:r>
        <w:rPr/>
        <w:pict>
          <v:shape style="position:absolute;margin-left:91.538452pt;margin-top:22.219442pt;width:4.55pt;height:4.55pt;mso-position-horizontal-relative:page;mso-position-vertical-relative:paragraph;z-index:15821824"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Всем пациентам с «маскированной» АГ рекомендуется регулярное наблюдение, включающее периодическое мониторирование показателей АД, измеренного вне медицинского учреждения [21, 22, 230, 232].</w:t>
      </w:r>
    </w:p>
    <w:p>
      <w:pPr>
        <w:pStyle w:val="Heading3"/>
        <w:spacing w:before="272"/>
      </w:pPr>
      <w:r>
        <w:rPr>
          <w:w w:val="105"/>
        </w:rPr>
        <w:t>ЕОК/ЕОАГ IС (УУР C, УДД 4)</w:t>
      </w:r>
    </w:p>
    <w:p>
      <w:pPr>
        <w:pStyle w:val="BodyText"/>
        <w:spacing w:line="256" w:lineRule="auto" w:before="296"/>
        <w:ind w:left="695" w:right="130"/>
      </w:pPr>
      <w:r>
        <w:rPr/>
        <w:pict>
          <v:shape style="position:absolute;margin-left:91.538452pt;margin-top:22.219467pt;width:4.55pt;height:4.55pt;mso-position-horizontal-relative:page;mso-position-vertical-relative:paragraph;z-index:15822336"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Всем пациентам с «маскированной» АГ рекомендуется проведение антигипертензивной медикаментозной терапии, учитывая прогностическое значение высоких значений АД, измеренного вне медицинского учреждения [38, 228, 232].</w:t>
      </w:r>
    </w:p>
    <w:p>
      <w:pPr>
        <w:pStyle w:val="Heading3"/>
        <w:spacing w:before="272"/>
      </w:pPr>
      <w:r>
        <w:rPr>
          <w:w w:val="105"/>
        </w:rPr>
        <w:t>ЕОК/ЕОАГ IIaC (УУР А, УДД 2)</w:t>
      </w:r>
    </w:p>
    <w:p>
      <w:pPr>
        <w:pStyle w:val="BodyText"/>
        <w:spacing w:line="256" w:lineRule="auto" w:before="296"/>
        <w:ind w:left="695" w:right="128"/>
      </w:pPr>
      <w:r>
        <w:rPr/>
        <w:pict>
          <v:shape style="position:absolute;margin-left:91.538452pt;margin-top:22.21946pt;width:4.55pt;height:4.55pt;mso-position-horizontal-relative:page;mso-position-vertical-relative:paragraph;z-index:15822848"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Пациентам с неконтролируемой «маскированной» АГ (не достигнут контроль АД, измеренного вне медицинского учреждения), получающим медикаментозное лечение, рекомендуется усиление АГТ с целью снижения СС риска [230, 232].</w:t>
      </w:r>
    </w:p>
    <w:p>
      <w:pPr>
        <w:pStyle w:val="Heading3"/>
        <w:spacing w:before="272"/>
      </w:pPr>
      <w:r>
        <w:rPr>
          <w:w w:val="105"/>
        </w:rPr>
        <w:t>ЕОК/ЕОАГ IIaC (УУР А, УДД 2)</w:t>
      </w:r>
    </w:p>
    <w:p>
      <w:pPr>
        <w:pStyle w:val="ListParagraph"/>
        <w:numPr>
          <w:ilvl w:val="2"/>
          <w:numId w:val="6"/>
        </w:numPr>
        <w:tabs>
          <w:tab w:pos="1698" w:val="left" w:leader="none"/>
        </w:tabs>
        <w:spacing w:line="240" w:lineRule="auto" w:before="296" w:after="0"/>
        <w:ind w:left="1697" w:right="0" w:hanging="1003"/>
        <w:jc w:val="left"/>
        <w:rPr>
          <w:b/>
          <w:sz w:val="27"/>
        </w:rPr>
      </w:pPr>
      <w:r>
        <w:rPr>
          <w:b/>
          <w:sz w:val="27"/>
        </w:rPr>
        <w:t>Артериальная гипертензия у молодых</w:t>
      </w:r>
      <w:r>
        <w:rPr>
          <w:b/>
          <w:spacing w:val="39"/>
          <w:sz w:val="27"/>
        </w:rPr>
        <w:t> </w:t>
      </w:r>
      <w:r>
        <w:rPr>
          <w:b/>
          <w:sz w:val="27"/>
        </w:rPr>
        <w:t>пациентов</w:t>
      </w:r>
    </w:p>
    <w:p>
      <w:pPr>
        <w:pStyle w:val="Heading4"/>
        <w:spacing w:before="26"/>
        <w:rPr>
          <w:i/>
        </w:rPr>
      </w:pPr>
      <w:r>
        <w:rPr>
          <w:i/>
          <w:w w:val="110"/>
        </w:rPr>
        <w:t>(&lt;50 лет)</w:t>
      </w:r>
    </w:p>
    <w:p>
      <w:pPr>
        <w:pStyle w:val="BodyText"/>
        <w:spacing w:line="256" w:lineRule="auto" w:before="296"/>
        <w:ind w:left="695" w:right="132"/>
      </w:pPr>
      <w:r>
        <w:rPr/>
        <w:t>АГ у молодых пациентов характеризуется более высокой частотой</w:t>
      </w:r>
      <w:r>
        <w:rPr>
          <w:spacing w:val="-11"/>
        </w:rPr>
        <w:t> </w:t>
      </w:r>
      <w:r>
        <w:rPr/>
        <w:t>повышения</w:t>
      </w:r>
      <w:r>
        <w:rPr>
          <w:spacing w:val="-10"/>
        </w:rPr>
        <w:t> </w:t>
      </w:r>
      <w:r>
        <w:rPr/>
        <w:t>ДАД</w:t>
      </w:r>
      <w:r>
        <w:rPr>
          <w:spacing w:val="-10"/>
        </w:rPr>
        <w:t> </w:t>
      </w:r>
      <w:r>
        <w:rPr/>
        <w:t>и</w:t>
      </w:r>
      <w:r>
        <w:rPr>
          <w:spacing w:val="-10"/>
        </w:rPr>
        <w:t> </w:t>
      </w:r>
      <w:r>
        <w:rPr/>
        <w:t>изолированной</w:t>
      </w:r>
      <w:r>
        <w:rPr>
          <w:spacing w:val="-11"/>
        </w:rPr>
        <w:t> </w:t>
      </w:r>
      <w:r>
        <w:rPr/>
        <w:t>диастолической</w:t>
      </w:r>
      <w:r>
        <w:rPr>
          <w:spacing w:val="-10"/>
        </w:rPr>
        <w:t> </w:t>
      </w:r>
      <w:r>
        <w:rPr/>
        <w:t>АГ [97]. При обследовании пациентов этой возрастной группы, особено при наличии тяжелой АГ, </w:t>
      </w:r>
      <w:r>
        <w:rPr>
          <w:spacing w:val="-3"/>
        </w:rPr>
        <w:t>следует </w:t>
      </w:r>
      <w:r>
        <w:rPr/>
        <w:t>учитывать, что вероятность обнаружения вторичной гипертензии, может достигать 10%</w:t>
      </w:r>
      <w:r>
        <w:rPr>
          <w:spacing w:val="-3"/>
        </w:rPr>
        <w:t> </w:t>
      </w:r>
      <w:r>
        <w:rPr/>
        <w:t>[21].</w:t>
      </w:r>
    </w:p>
    <w:p>
      <w:pPr>
        <w:pStyle w:val="BodyText"/>
        <w:spacing w:line="256" w:lineRule="auto" w:before="272"/>
        <w:ind w:left="695" w:right="130"/>
      </w:pPr>
      <w:r>
        <w:rPr/>
        <w:pict>
          <v:shape style="position:absolute;margin-left:91.538452pt;margin-top:21.019449pt;width:4.55pt;height:4.55pt;mso-position-horizontal-relative:page;mso-position-vertical-relative:paragraph;z-index:15823360" coordorigin="1831,420" coordsize="91,91" path="m1876,510l1863,510,1853,506,1835,488,1831,478,1831,453,1835,442,1853,425,1863,420,1888,420,1899,425,1916,442,1921,453,1921,465,1921,478,1916,488,1899,506,1888,510,1876,510xe" filled="true" fillcolor="#000000" stroked="false">
            <v:path arrowok="t"/>
            <v:fill type="solid"/>
            <w10:wrap type="none"/>
          </v:shape>
        </w:pict>
      </w:r>
      <w:r>
        <w:rPr>
          <w:w w:val="105"/>
        </w:rPr>
        <w:t>Всем</w:t>
      </w:r>
      <w:r>
        <w:rPr>
          <w:spacing w:val="-32"/>
          <w:w w:val="105"/>
        </w:rPr>
        <w:t> </w:t>
      </w:r>
      <w:r>
        <w:rPr>
          <w:w w:val="105"/>
        </w:rPr>
        <w:t>пациентам</w:t>
      </w:r>
      <w:r>
        <w:rPr>
          <w:spacing w:val="-32"/>
          <w:w w:val="105"/>
        </w:rPr>
        <w:t> </w:t>
      </w:r>
      <w:r>
        <w:rPr>
          <w:spacing w:val="-3"/>
          <w:w w:val="105"/>
        </w:rPr>
        <w:t>моложе</w:t>
      </w:r>
      <w:r>
        <w:rPr>
          <w:spacing w:val="-32"/>
          <w:w w:val="105"/>
        </w:rPr>
        <w:t> </w:t>
      </w:r>
      <w:r>
        <w:rPr>
          <w:w w:val="105"/>
        </w:rPr>
        <w:t>50</w:t>
      </w:r>
      <w:r>
        <w:rPr>
          <w:spacing w:val="-31"/>
          <w:w w:val="105"/>
        </w:rPr>
        <w:t> </w:t>
      </w:r>
      <w:r>
        <w:rPr>
          <w:w w:val="105"/>
        </w:rPr>
        <w:t>лет</w:t>
      </w:r>
      <w:r>
        <w:rPr>
          <w:spacing w:val="-32"/>
          <w:w w:val="105"/>
        </w:rPr>
        <w:t> </w:t>
      </w:r>
      <w:r>
        <w:rPr>
          <w:w w:val="105"/>
        </w:rPr>
        <w:t>при</w:t>
      </w:r>
      <w:r>
        <w:rPr>
          <w:spacing w:val="-32"/>
          <w:w w:val="105"/>
        </w:rPr>
        <w:t> </w:t>
      </w:r>
      <w:r>
        <w:rPr>
          <w:w w:val="105"/>
        </w:rPr>
        <w:t>наличии</w:t>
      </w:r>
      <w:r>
        <w:rPr>
          <w:spacing w:val="-31"/>
          <w:w w:val="105"/>
        </w:rPr>
        <w:t> </w:t>
      </w:r>
      <w:r>
        <w:rPr>
          <w:w w:val="105"/>
        </w:rPr>
        <w:t>АГ</w:t>
      </w:r>
      <w:r>
        <w:rPr>
          <w:spacing w:val="-32"/>
          <w:w w:val="105"/>
        </w:rPr>
        <w:t> </w:t>
      </w:r>
      <w:r>
        <w:rPr>
          <w:w w:val="105"/>
        </w:rPr>
        <w:t>2</w:t>
      </w:r>
      <w:r>
        <w:rPr>
          <w:spacing w:val="-32"/>
          <w:w w:val="105"/>
        </w:rPr>
        <w:t> </w:t>
      </w:r>
      <w:r>
        <w:rPr>
          <w:w w:val="105"/>
        </w:rPr>
        <w:t>и</w:t>
      </w:r>
      <w:r>
        <w:rPr>
          <w:spacing w:val="-31"/>
          <w:w w:val="105"/>
        </w:rPr>
        <w:t> </w:t>
      </w:r>
      <w:r>
        <w:rPr>
          <w:w w:val="105"/>
        </w:rPr>
        <w:t>3</w:t>
      </w:r>
      <w:r>
        <w:rPr>
          <w:spacing w:val="-32"/>
          <w:w w:val="105"/>
        </w:rPr>
        <w:t> </w:t>
      </w:r>
      <w:r>
        <w:rPr>
          <w:w w:val="105"/>
        </w:rPr>
        <w:t>степени,</w:t>
      </w:r>
      <w:r>
        <w:rPr>
          <w:spacing w:val="-32"/>
          <w:w w:val="105"/>
        </w:rPr>
        <w:t> </w:t>
      </w:r>
      <w:r>
        <w:rPr>
          <w:w w:val="105"/>
        </w:rPr>
        <w:t>а также</w:t>
      </w:r>
      <w:r>
        <w:rPr>
          <w:spacing w:val="-12"/>
          <w:w w:val="105"/>
        </w:rPr>
        <w:t> </w:t>
      </w:r>
      <w:r>
        <w:rPr>
          <w:w w:val="105"/>
        </w:rPr>
        <w:t>АГ</w:t>
      </w:r>
      <w:r>
        <w:rPr>
          <w:spacing w:val="-12"/>
          <w:w w:val="105"/>
        </w:rPr>
        <w:t> </w:t>
      </w:r>
      <w:r>
        <w:rPr>
          <w:w w:val="105"/>
        </w:rPr>
        <w:t>1</w:t>
      </w:r>
      <w:r>
        <w:rPr>
          <w:spacing w:val="-12"/>
          <w:w w:val="105"/>
        </w:rPr>
        <w:t> </w:t>
      </w:r>
      <w:r>
        <w:rPr>
          <w:w w:val="105"/>
        </w:rPr>
        <w:t>степени</w:t>
      </w:r>
      <w:r>
        <w:rPr>
          <w:spacing w:val="-11"/>
          <w:w w:val="105"/>
        </w:rPr>
        <w:t> </w:t>
      </w:r>
      <w:r>
        <w:rPr>
          <w:w w:val="105"/>
        </w:rPr>
        <w:t>в</w:t>
      </w:r>
      <w:r>
        <w:rPr>
          <w:spacing w:val="-12"/>
          <w:w w:val="105"/>
        </w:rPr>
        <w:t> </w:t>
      </w:r>
      <w:r>
        <w:rPr>
          <w:w w:val="105"/>
        </w:rPr>
        <w:t>сочетании</w:t>
      </w:r>
      <w:r>
        <w:rPr>
          <w:spacing w:val="-12"/>
          <w:w w:val="105"/>
        </w:rPr>
        <w:t> </w:t>
      </w:r>
      <w:r>
        <w:rPr>
          <w:w w:val="105"/>
        </w:rPr>
        <w:t>с</w:t>
      </w:r>
      <w:r>
        <w:rPr>
          <w:spacing w:val="-11"/>
          <w:w w:val="105"/>
        </w:rPr>
        <w:t> </w:t>
      </w:r>
      <w:r>
        <w:rPr>
          <w:w w:val="105"/>
        </w:rPr>
        <w:t>множественными</w:t>
      </w:r>
      <w:r>
        <w:rPr>
          <w:spacing w:val="-12"/>
          <w:w w:val="105"/>
        </w:rPr>
        <w:t> </w:t>
      </w:r>
      <w:r>
        <w:rPr>
          <w:w w:val="105"/>
        </w:rPr>
        <w:t>ФР,</w:t>
      </w:r>
      <w:r>
        <w:rPr>
          <w:spacing w:val="-12"/>
          <w:w w:val="105"/>
        </w:rPr>
        <w:t> </w:t>
      </w:r>
      <w:r>
        <w:rPr>
          <w:w w:val="105"/>
        </w:rPr>
        <w:t>ПОМ, </w:t>
      </w:r>
      <w:r>
        <w:rPr>
          <w:spacing w:val="-3"/>
          <w:w w:val="105"/>
        </w:rPr>
        <w:t>СД, </w:t>
      </w:r>
      <w:r>
        <w:rPr>
          <w:w w:val="105"/>
        </w:rPr>
        <w:t>сердечно-сосудистыми, цереброваскулярными или </w:t>
      </w:r>
      <w:r>
        <w:rPr/>
        <w:t>почечные заболеваниями </w:t>
      </w:r>
      <w:r>
        <w:rPr>
          <w:spacing w:val="-3"/>
        </w:rPr>
        <w:t>следует </w:t>
      </w:r>
      <w:r>
        <w:rPr/>
        <w:t>назначать АГТ</w:t>
      </w:r>
      <w:r>
        <w:rPr>
          <w:spacing w:val="40"/>
        </w:rPr>
        <w:t> </w:t>
      </w:r>
      <w:r>
        <w:rPr/>
        <w:t>одновременно</w:t>
      </w:r>
    </w:p>
    <w:p>
      <w:pPr>
        <w:spacing w:after="0" w:line="256" w:lineRule="auto"/>
        <w:sectPr>
          <w:pgSz w:w="11900" w:h="16840"/>
          <w:pgMar w:top="0" w:bottom="0" w:left="1420" w:right="1520"/>
        </w:sectPr>
      </w:pPr>
    </w:p>
    <w:p>
      <w:pPr>
        <w:pStyle w:val="BodyText"/>
        <w:spacing w:line="256" w:lineRule="auto" w:before="16"/>
        <w:ind w:left="695" w:right="135"/>
      </w:pPr>
      <w:r>
        <w:rPr/>
        <w:t>с рекомендациями по изменению образа жизни в соответствии с общими принципами[21].</w:t>
      </w:r>
    </w:p>
    <w:p>
      <w:pPr>
        <w:pStyle w:val="BodyText"/>
        <w:spacing w:before="271"/>
        <w:ind w:left="695"/>
        <w:jc w:val="left"/>
      </w:pPr>
      <w:r>
        <w:rPr/>
        <w:t>ЕОК/ЕОАГ нет (УУР С, УДД 5)</w:t>
      </w:r>
    </w:p>
    <w:p>
      <w:pPr>
        <w:spacing w:line="256" w:lineRule="auto" w:before="296"/>
        <w:ind w:left="695" w:right="130" w:firstLine="0"/>
        <w:jc w:val="both"/>
        <w:rPr>
          <w:i/>
          <w:sz w:val="27"/>
        </w:rPr>
      </w:pPr>
      <w:r>
        <w:rPr>
          <w:b/>
          <w:w w:val="105"/>
          <w:sz w:val="27"/>
        </w:rPr>
        <w:t>Комментарии. </w:t>
      </w:r>
      <w:r>
        <w:rPr>
          <w:i/>
          <w:w w:val="105"/>
          <w:sz w:val="27"/>
        </w:rPr>
        <w:t>В связи с тем, что ранее назначение АГТ</w:t>
      </w:r>
      <w:r>
        <w:rPr>
          <w:i/>
          <w:spacing w:val="-49"/>
          <w:w w:val="105"/>
          <w:sz w:val="27"/>
        </w:rPr>
        <w:t> </w:t>
      </w:r>
      <w:r>
        <w:rPr>
          <w:i/>
          <w:w w:val="105"/>
          <w:sz w:val="27"/>
        </w:rPr>
        <w:t>может </w:t>
      </w:r>
      <w:r>
        <w:rPr>
          <w:i/>
          <w:w w:val="105"/>
          <w:sz w:val="27"/>
        </w:rPr>
        <w:t>предотвратить более тяжелую АГ и развитие ПОМ в будущем, молодым</w:t>
      </w:r>
      <w:r>
        <w:rPr>
          <w:i/>
          <w:spacing w:val="-22"/>
          <w:w w:val="105"/>
          <w:sz w:val="27"/>
        </w:rPr>
        <w:t> </w:t>
      </w:r>
      <w:r>
        <w:rPr>
          <w:i/>
          <w:w w:val="105"/>
          <w:sz w:val="27"/>
        </w:rPr>
        <w:t>пациентам</w:t>
      </w:r>
      <w:r>
        <w:rPr>
          <w:i/>
          <w:spacing w:val="-21"/>
          <w:w w:val="105"/>
          <w:sz w:val="27"/>
        </w:rPr>
        <w:t> </w:t>
      </w:r>
      <w:r>
        <w:rPr>
          <w:i/>
          <w:w w:val="105"/>
          <w:sz w:val="27"/>
        </w:rPr>
        <w:t>с</w:t>
      </w:r>
      <w:r>
        <w:rPr>
          <w:i/>
          <w:spacing w:val="-21"/>
          <w:w w:val="105"/>
          <w:sz w:val="27"/>
        </w:rPr>
        <w:t> </w:t>
      </w:r>
      <w:r>
        <w:rPr>
          <w:i/>
          <w:w w:val="105"/>
          <w:sz w:val="27"/>
        </w:rPr>
        <w:t>АГ</w:t>
      </w:r>
      <w:r>
        <w:rPr>
          <w:i/>
          <w:spacing w:val="-21"/>
          <w:w w:val="105"/>
          <w:sz w:val="27"/>
        </w:rPr>
        <w:t> </w:t>
      </w:r>
      <w:r>
        <w:rPr>
          <w:i/>
          <w:w w:val="105"/>
          <w:sz w:val="27"/>
        </w:rPr>
        <w:t>1</w:t>
      </w:r>
      <w:r>
        <w:rPr>
          <w:i/>
          <w:spacing w:val="-21"/>
          <w:w w:val="105"/>
          <w:sz w:val="27"/>
        </w:rPr>
        <w:t> </w:t>
      </w:r>
      <w:r>
        <w:rPr>
          <w:i/>
          <w:w w:val="105"/>
          <w:sz w:val="27"/>
        </w:rPr>
        <w:t>степени</w:t>
      </w:r>
      <w:r>
        <w:rPr>
          <w:i/>
          <w:spacing w:val="-21"/>
          <w:w w:val="105"/>
          <w:sz w:val="27"/>
        </w:rPr>
        <w:t> </w:t>
      </w:r>
      <w:r>
        <w:rPr>
          <w:i/>
          <w:w w:val="105"/>
          <w:sz w:val="27"/>
        </w:rPr>
        <w:t>при</w:t>
      </w:r>
      <w:r>
        <w:rPr>
          <w:i/>
          <w:spacing w:val="-21"/>
          <w:w w:val="105"/>
          <w:sz w:val="27"/>
        </w:rPr>
        <w:t> </w:t>
      </w:r>
      <w:r>
        <w:rPr>
          <w:i/>
          <w:w w:val="105"/>
          <w:sz w:val="27"/>
        </w:rPr>
        <w:t>отсутствии</w:t>
      </w:r>
      <w:r>
        <w:rPr>
          <w:i/>
          <w:spacing w:val="-21"/>
          <w:w w:val="105"/>
          <w:sz w:val="27"/>
        </w:rPr>
        <w:t> </w:t>
      </w:r>
      <w:r>
        <w:rPr>
          <w:i/>
          <w:w w:val="105"/>
          <w:sz w:val="27"/>
        </w:rPr>
        <w:t>ФР,</w:t>
      </w:r>
      <w:r>
        <w:rPr>
          <w:i/>
          <w:spacing w:val="-21"/>
          <w:w w:val="105"/>
          <w:sz w:val="27"/>
        </w:rPr>
        <w:t> </w:t>
      </w:r>
      <w:r>
        <w:rPr>
          <w:i/>
          <w:w w:val="105"/>
          <w:sz w:val="27"/>
        </w:rPr>
        <w:t>ПОМ</w:t>
      </w:r>
      <w:r>
        <w:rPr>
          <w:i/>
          <w:spacing w:val="-21"/>
          <w:w w:val="105"/>
          <w:sz w:val="27"/>
        </w:rPr>
        <w:t> </w:t>
      </w:r>
      <w:r>
        <w:rPr>
          <w:i/>
          <w:w w:val="105"/>
          <w:sz w:val="27"/>
        </w:rPr>
        <w:t>и </w:t>
      </w:r>
      <w:r>
        <w:rPr>
          <w:i/>
          <w:spacing w:val="-3"/>
          <w:w w:val="105"/>
          <w:sz w:val="27"/>
        </w:rPr>
        <w:t>ССЗ </w:t>
      </w:r>
      <w:r>
        <w:rPr>
          <w:i/>
          <w:w w:val="105"/>
          <w:sz w:val="27"/>
        </w:rPr>
        <w:t>можно обсуждать назначение АГТ наравне с изменениями образа жизни [21]. При этом целевой уровень АД составляет 120- 130/70-79 мм рт. ст. (см. раздел 3.2). В случае, если</w:t>
      </w:r>
      <w:r>
        <w:rPr>
          <w:i/>
          <w:spacing w:val="-36"/>
          <w:w w:val="105"/>
          <w:sz w:val="27"/>
        </w:rPr>
        <w:t> </w:t>
      </w:r>
      <w:r>
        <w:rPr>
          <w:i/>
          <w:w w:val="105"/>
          <w:sz w:val="27"/>
        </w:rPr>
        <w:t>принимается решение о немедикаментозной коррекции АД или пациент отказывается принимать АГТ, необходимо дать подробные рекомендации по изменению образа жизни и длительно наблюдать пациента, так как со временем АД неизбежно будет расти</w:t>
      </w:r>
      <w:r>
        <w:rPr>
          <w:i/>
          <w:spacing w:val="-6"/>
          <w:w w:val="105"/>
          <w:sz w:val="27"/>
        </w:rPr>
        <w:t> </w:t>
      </w:r>
      <w:r>
        <w:rPr>
          <w:i/>
          <w:w w:val="105"/>
          <w:sz w:val="27"/>
        </w:rPr>
        <w:t>[21].</w:t>
      </w:r>
    </w:p>
    <w:p>
      <w:pPr>
        <w:pStyle w:val="Heading3"/>
        <w:numPr>
          <w:ilvl w:val="2"/>
          <w:numId w:val="6"/>
        </w:numPr>
        <w:tabs>
          <w:tab w:pos="1692" w:val="left" w:leader="none"/>
        </w:tabs>
        <w:spacing w:line="256" w:lineRule="auto" w:before="275" w:after="0"/>
        <w:ind w:left="695" w:right="128" w:firstLine="0"/>
        <w:jc w:val="left"/>
      </w:pPr>
      <w:r>
        <w:rPr/>
        <w:t>Артериальная гипертензия у пожилых пациентов (</w:t>
      </w:r>
      <w:r>
        <w:rPr>
          <w:rFonts w:ascii="Times New Roman" w:hAnsi="Times New Roman"/>
        </w:rPr>
        <w:t>≥</w:t>
      </w:r>
      <w:r>
        <w:rPr/>
        <w:t>65</w:t>
      </w:r>
      <w:r>
        <w:rPr>
          <w:spacing w:val="5"/>
        </w:rPr>
        <w:t> </w:t>
      </w:r>
      <w:r>
        <w:rPr/>
        <w:t>лет)</w:t>
      </w:r>
    </w:p>
    <w:p>
      <w:pPr>
        <w:pStyle w:val="BodyText"/>
        <w:spacing w:line="256" w:lineRule="auto" w:before="271"/>
        <w:ind w:left="695" w:right="136"/>
      </w:pPr>
      <w:r>
        <w:rPr/>
        <w:pict>
          <v:shape style="position:absolute;margin-left:91.538452pt;margin-top:20.969439pt;width:4.55pt;height:4.55pt;mso-position-horizontal-relative:page;mso-position-vertical-relative:paragraph;z-index:15823872"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t>У пациентов 65 лет и старше с АГ, обратившихся за медицинской помощью в учреждения амбулаторного или стационарного типа, рекомендуется проводить скрининг синдрома старческой астении с использованием опросника</w:t>
      </w:r>
    </w:p>
    <w:p>
      <w:pPr>
        <w:pStyle w:val="BodyText"/>
        <w:spacing w:line="256" w:lineRule="auto"/>
        <w:ind w:left="695" w:right="133"/>
      </w:pPr>
      <w:r>
        <w:rPr/>
        <w:t>«Возраст не помеха» (Приложение Г3, таблица П6), поскольку выявление старческой астении может влиять на тактику АГТ и уровень целевого АД [9].</w:t>
      </w:r>
    </w:p>
    <w:p>
      <w:pPr>
        <w:pStyle w:val="Heading3"/>
        <w:spacing w:before="272"/>
      </w:pPr>
      <w:r>
        <w:rPr>
          <w:w w:val="105"/>
        </w:rPr>
        <w:t>ЕОК/ЕОАГ нет </w:t>
      </w:r>
      <w:r>
        <w:rPr>
          <w:b w:val="0"/>
          <w:w w:val="105"/>
        </w:rPr>
        <w:t>(</w:t>
      </w:r>
      <w:r>
        <w:rPr>
          <w:w w:val="105"/>
        </w:rPr>
        <w:t>УУР А, УДД 1)</w:t>
      </w:r>
    </w:p>
    <w:p>
      <w:pPr>
        <w:pStyle w:val="BodyText"/>
        <w:spacing w:line="256" w:lineRule="auto" w:before="296"/>
        <w:ind w:left="695" w:right="129"/>
      </w:pPr>
      <w:r>
        <w:rPr/>
        <w:pict>
          <v:shape style="position:absolute;margin-left:91.538452pt;margin-top:22.219456pt;width:4.55pt;height:4.55pt;mso-position-horizontal-relative:page;mso-position-vertical-relative:paragraph;z-index:15824384"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Пациентам &gt;65 лет с АГ рекомендуется назначение антигипертензивной терапии с использованием любого из основных классов АГП [238, 239].</w:t>
      </w:r>
    </w:p>
    <w:p>
      <w:pPr>
        <w:pStyle w:val="Heading3"/>
      </w:pPr>
      <w:r>
        <w:rPr>
          <w:w w:val="105"/>
        </w:rPr>
        <w:t>ЕОК/ЕОАГ нет </w:t>
      </w:r>
      <w:r>
        <w:rPr>
          <w:b w:val="0"/>
          <w:w w:val="105"/>
        </w:rPr>
        <w:t>(</w:t>
      </w:r>
      <w:r>
        <w:rPr>
          <w:w w:val="105"/>
        </w:rPr>
        <w:t>УУР В, УДД 1)</w:t>
      </w:r>
    </w:p>
    <w:p>
      <w:pPr>
        <w:spacing w:line="256" w:lineRule="auto" w:before="296"/>
        <w:ind w:left="695" w:right="133" w:firstLine="0"/>
        <w:jc w:val="both"/>
        <w:rPr>
          <w:i/>
          <w:sz w:val="27"/>
        </w:rPr>
      </w:pPr>
      <w:r>
        <w:rPr>
          <w:b/>
          <w:w w:val="105"/>
          <w:sz w:val="27"/>
        </w:rPr>
        <w:t>Комментарии.</w:t>
      </w:r>
      <w:r>
        <w:rPr>
          <w:b/>
          <w:spacing w:val="-28"/>
          <w:w w:val="105"/>
          <w:sz w:val="27"/>
        </w:rPr>
        <w:t> </w:t>
      </w:r>
      <w:r>
        <w:rPr>
          <w:i/>
          <w:w w:val="105"/>
          <w:sz w:val="27"/>
        </w:rPr>
        <w:t>Пациенты</w:t>
      </w:r>
      <w:r>
        <w:rPr>
          <w:i/>
          <w:spacing w:val="-27"/>
          <w:w w:val="105"/>
          <w:sz w:val="27"/>
        </w:rPr>
        <w:t> </w:t>
      </w:r>
      <w:r>
        <w:rPr>
          <w:i/>
          <w:w w:val="105"/>
          <w:sz w:val="27"/>
        </w:rPr>
        <w:t>старше</w:t>
      </w:r>
      <w:r>
        <w:rPr>
          <w:i/>
          <w:spacing w:val="-28"/>
          <w:w w:val="105"/>
          <w:sz w:val="27"/>
        </w:rPr>
        <w:t> </w:t>
      </w:r>
      <w:r>
        <w:rPr>
          <w:i/>
          <w:w w:val="105"/>
          <w:sz w:val="27"/>
        </w:rPr>
        <w:t>65</w:t>
      </w:r>
      <w:r>
        <w:rPr>
          <w:i/>
          <w:spacing w:val="-27"/>
          <w:w w:val="105"/>
          <w:sz w:val="27"/>
        </w:rPr>
        <w:t> </w:t>
      </w:r>
      <w:r>
        <w:rPr>
          <w:i/>
          <w:w w:val="105"/>
          <w:sz w:val="27"/>
        </w:rPr>
        <w:t>лет</w:t>
      </w:r>
      <w:r>
        <w:rPr>
          <w:i/>
          <w:spacing w:val="-27"/>
          <w:w w:val="105"/>
          <w:sz w:val="27"/>
        </w:rPr>
        <w:t> </w:t>
      </w:r>
      <w:r>
        <w:rPr>
          <w:i/>
          <w:w w:val="105"/>
          <w:sz w:val="27"/>
        </w:rPr>
        <w:t>должны</w:t>
      </w:r>
      <w:r>
        <w:rPr>
          <w:i/>
          <w:spacing w:val="-28"/>
          <w:w w:val="105"/>
          <w:sz w:val="27"/>
        </w:rPr>
        <w:t> </w:t>
      </w:r>
      <w:r>
        <w:rPr>
          <w:i/>
          <w:w w:val="105"/>
          <w:sz w:val="27"/>
        </w:rPr>
        <w:t>получать</w:t>
      </w:r>
      <w:r>
        <w:rPr>
          <w:i/>
          <w:spacing w:val="-27"/>
          <w:w w:val="105"/>
          <w:sz w:val="27"/>
        </w:rPr>
        <w:t> </w:t>
      </w:r>
      <w:r>
        <w:rPr>
          <w:i/>
          <w:w w:val="105"/>
          <w:sz w:val="27"/>
        </w:rPr>
        <w:t>АГТ </w:t>
      </w:r>
      <w:r>
        <w:rPr>
          <w:i/>
          <w:w w:val="110"/>
          <w:sz w:val="27"/>
        </w:rPr>
        <w:t>в соответствии с общим алгоритмом, приведенном в Приложении</w:t>
      </w:r>
      <w:r>
        <w:rPr>
          <w:i/>
          <w:spacing w:val="-34"/>
          <w:w w:val="110"/>
          <w:sz w:val="27"/>
        </w:rPr>
        <w:t> </w:t>
      </w:r>
      <w:r>
        <w:rPr>
          <w:i/>
          <w:w w:val="110"/>
          <w:sz w:val="27"/>
        </w:rPr>
        <w:t>Б2.</w:t>
      </w:r>
      <w:r>
        <w:rPr>
          <w:i/>
          <w:spacing w:val="-33"/>
          <w:w w:val="110"/>
          <w:sz w:val="27"/>
        </w:rPr>
        <w:t> </w:t>
      </w:r>
      <w:r>
        <w:rPr>
          <w:i/>
          <w:w w:val="110"/>
          <w:sz w:val="27"/>
        </w:rPr>
        <w:t>У</w:t>
      </w:r>
      <w:r>
        <w:rPr>
          <w:i/>
          <w:spacing w:val="-33"/>
          <w:w w:val="110"/>
          <w:sz w:val="27"/>
        </w:rPr>
        <w:t> </w:t>
      </w:r>
      <w:r>
        <w:rPr>
          <w:i/>
          <w:w w:val="110"/>
          <w:sz w:val="27"/>
        </w:rPr>
        <w:t>пациентов</w:t>
      </w:r>
      <w:r>
        <w:rPr>
          <w:i/>
          <w:spacing w:val="-34"/>
          <w:w w:val="110"/>
          <w:sz w:val="27"/>
        </w:rPr>
        <w:t> </w:t>
      </w:r>
      <w:r>
        <w:rPr>
          <w:i/>
          <w:w w:val="110"/>
          <w:sz w:val="27"/>
        </w:rPr>
        <w:t>очень</w:t>
      </w:r>
      <w:r>
        <w:rPr>
          <w:i/>
          <w:spacing w:val="-33"/>
          <w:w w:val="110"/>
          <w:sz w:val="27"/>
        </w:rPr>
        <w:t> </w:t>
      </w:r>
      <w:r>
        <w:rPr>
          <w:i/>
          <w:w w:val="110"/>
          <w:sz w:val="27"/>
        </w:rPr>
        <w:t>пожилого</w:t>
      </w:r>
      <w:r>
        <w:rPr>
          <w:i/>
          <w:spacing w:val="-33"/>
          <w:w w:val="110"/>
          <w:sz w:val="27"/>
        </w:rPr>
        <w:t> </w:t>
      </w:r>
      <w:r>
        <w:rPr>
          <w:i/>
          <w:w w:val="110"/>
          <w:sz w:val="27"/>
        </w:rPr>
        <w:t>возраста</w:t>
      </w:r>
      <w:r>
        <w:rPr>
          <w:i/>
          <w:spacing w:val="-33"/>
          <w:w w:val="110"/>
          <w:sz w:val="27"/>
        </w:rPr>
        <w:t> </w:t>
      </w:r>
      <w:r>
        <w:rPr>
          <w:i/>
          <w:w w:val="110"/>
          <w:sz w:val="27"/>
        </w:rPr>
        <w:t>(&gt;80</w:t>
      </w:r>
      <w:r>
        <w:rPr>
          <w:i/>
          <w:spacing w:val="-34"/>
          <w:w w:val="110"/>
          <w:sz w:val="27"/>
        </w:rPr>
        <w:t> </w:t>
      </w:r>
      <w:r>
        <w:rPr>
          <w:i/>
          <w:w w:val="110"/>
          <w:sz w:val="27"/>
        </w:rPr>
        <w:t>лет) может</w:t>
      </w:r>
      <w:r>
        <w:rPr>
          <w:i/>
          <w:spacing w:val="-30"/>
          <w:w w:val="110"/>
          <w:sz w:val="27"/>
        </w:rPr>
        <w:t> </w:t>
      </w:r>
      <w:r>
        <w:rPr>
          <w:i/>
          <w:w w:val="110"/>
          <w:sz w:val="27"/>
        </w:rPr>
        <w:t>быть</w:t>
      </w:r>
      <w:r>
        <w:rPr>
          <w:i/>
          <w:spacing w:val="-29"/>
          <w:w w:val="110"/>
          <w:sz w:val="27"/>
        </w:rPr>
        <w:t> </w:t>
      </w:r>
      <w:r>
        <w:rPr>
          <w:i/>
          <w:w w:val="110"/>
          <w:sz w:val="27"/>
        </w:rPr>
        <w:t>целесообразно</w:t>
      </w:r>
      <w:r>
        <w:rPr>
          <w:i/>
          <w:spacing w:val="-30"/>
          <w:w w:val="110"/>
          <w:sz w:val="27"/>
        </w:rPr>
        <w:t> </w:t>
      </w:r>
      <w:r>
        <w:rPr>
          <w:i/>
          <w:w w:val="110"/>
          <w:sz w:val="27"/>
        </w:rPr>
        <w:t>начинать</w:t>
      </w:r>
      <w:r>
        <w:rPr>
          <w:i/>
          <w:spacing w:val="-29"/>
          <w:w w:val="110"/>
          <w:sz w:val="27"/>
        </w:rPr>
        <w:t> </w:t>
      </w:r>
      <w:r>
        <w:rPr>
          <w:i/>
          <w:w w:val="110"/>
          <w:sz w:val="27"/>
        </w:rPr>
        <w:t>лечение</w:t>
      </w:r>
      <w:r>
        <w:rPr>
          <w:i/>
          <w:spacing w:val="-29"/>
          <w:w w:val="110"/>
          <w:sz w:val="27"/>
        </w:rPr>
        <w:t> </w:t>
      </w:r>
      <w:r>
        <w:rPr>
          <w:i/>
          <w:w w:val="110"/>
          <w:sz w:val="27"/>
        </w:rPr>
        <w:t>с</w:t>
      </w:r>
      <w:r>
        <w:rPr>
          <w:i/>
          <w:spacing w:val="-30"/>
          <w:w w:val="110"/>
          <w:sz w:val="27"/>
        </w:rPr>
        <w:t> </w:t>
      </w:r>
      <w:r>
        <w:rPr>
          <w:i/>
          <w:w w:val="110"/>
          <w:sz w:val="27"/>
        </w:rPr>
        <w:t>монотерапии.</w:t>
      </w:r>
      <w:r>
        <w:rPr>
          <w:i/>
          <w:spacing w:val="-29"/>
          <w:w w:val="110"/>
          <w:sz w:val="27"/>
        </w:rPr>
        <w:t> </w:t>
      </w:r>
      <w:r>
        <w:rPr>
          <w:i/>
          <w:w w:val="110"/>
          <w:sz w:val="27"/>
        </w:rPr>
        <w:t>У всех пожилых пациентов комбинированную терапию следует начинать с минимальных доз препаратов. При отсутствии дополнительных показаний следует избегать назначения петлевых диуретиков и альфа-адреноблокаторов, так как</w:t>
      </w:r>
      <w:r>
        <w:rPr>
          <w:i/>
          <w:spacing w:val="37"/>
          <w:w w:val="110"/>
          <w:sz w:val="27"/>
        </w:rPr>
        <w:t> </w:t>
      </w:r>
      <w:r>
        <w:rPr>
          <w:i/>
          <w:w w:val="110"/>
          <w:sz w:val="27"/>
        </w:rPr>
        <w:t>они</w:t>
      </w:r>
    </w:p>
    <w:p>
      <w:pPr>
        <w:spacing w:after="0" w:line="256" w:lineRule="auto"/>
        <w:jc w:val="both"/>
        <w:rPr>
          <w:sz w:val="27"/>
        </w:rPr>
        <w:sectPr>
          <w:pgSz w:w="11900" w:h="16840"/>
          <w:pgMar w:top="0" w:bottom="280" w:left="1420" w:right="1520"/>
        </w:sectPr>
      </w:pPr>
    </w:p>
    <w:p>
      <w:pPr>
        <w:spacing w:line="256" w:lineRule="auto" w:before="16"/>
        <w:ind w:left="695" w:right="140" w:firstLine="0"/>
        <w:jc w:val="both"/>
        <w:rPr>
          <w:i/>
          <w:sz w:val="27"/>
        </w:rPr>
      </w:pPr>
      <w:r>
        <w:rPr>
          <w:i/>
          <w:w w:val="105"/>
          <w:sz w:val="27"/>
        </w:rPr>
        <w:t>увеличивают риск падений [240, 241]. При лечении пожилых </w:t>
      </w:r>
      <w:r>
        <w:rPr>
          <w:i/>
          <w:w w:val="105"/>
          <w:sz w:val="27"/>
        </w:rPr>
        <w:t>пациентов целевое АД составляет 130-139/70-79 мм рт. ст. при переносимости [21].</w:t>
      </w:r>
    </w:p>
    <w:p>
      <w:pPr>
        <w:spacing w:line="256" w:lineRule="auto" w:before="272"/>
        <w:ind w:left="695" w:right="130" w:firstLine="0"/>
        <w:jc w:val="both"/>
        <w:rPr>
          <w:i/>
          <w:sz w:val="27"/>
        </w:rPr>
      </w:pPr>
      <w:r>
        <w:rPr>
          <w:i/>
          <w:w w:val="105"/>
          <w:sz w:val="27"/>
        </w:rPr>
        <w:t>До назначения и в процессе приема АГТ необходим тщательный </w:t>
      </w:r>
      <w:r>
        <w:rPr>
          <w:i/>
          <w:w w:val="105"/>
          <w:sz w:val="27"/>
        </w:rPr>
        <w:t>мониторинг функции почек для выявления ее возможного ухудшения вследствие АД-обусловленного снижения почечной перфузии. Всех пациентов 65 лет и старше, особенно старше 80 лет, и пациентов со старческой астенией необходимо тщательно наблюдать на предмет возможного развития ортостатической гипотензии (при необходимости — использовать СМАД) и мониторировать переносимость и развитие возможных побочных эффектов [21]. Не рекомендуется отмена медикаментозной АГТ на основании возраста, даже при достижении 80 лет, при условии, что лечение хорошо переносится.</w:t>
      </w:r>
    </w:p>
    <w:p>
      <w:pPr>
        <w:spacing w:line="256" w:lineRule="auto" w:before="275"/>
        <w:ind w:left="695" w:right="129" w:firstLine="0"/>
        <w:jc w:val="both"/>
        <w:rPr>
          <w:i/>
          <w:sz w:val="27"/>
        </w:rPr>
      </w:pPr>
      <w:r>
        <w:rPr>
          <w:i/>
          <w:w w:val="105"/>
          <w:sz w:val="27"/>
        </w:rPr>
        <w:t>При лечении пациентов 65 лет и старше необходимо учитывать </w:t>
      </w:r>
      <w:r>
        <w:rPr>
          <w:i/>
          <w:w w:val="105"/>
          <w:sz w:val="27"/>
        </w:rPr>
        <w:t>методические рекомендации МР 103 «Фармакотерапия у пациентов пожилого и старческого возраста».</w:t>
      </w:r>
    </w:p>
    <w:p>
      <w:pPr>
        <w:pStyle w:val="Heading3"/>
        <w:numPr>
          <w:ilvl w:val="2"/>
          <w:numId w:val="6"/>
        </w:numPr>
        <w:tabs>
          <w:tab w:pos="1964" w:val="left" w:leader="none"/>
          <w:tab w:pos="1965" w:val="left" w:leader="none"/>
          <w:tab w:pos="4519" w:val="left" w:leader="none"/>
          <w:tab w:pos="6927" w:val="left" w:leader="none"/>
        </w:tabs>
        <w:spacing w:line="256" w:lineRule="auto" w:before="271" w:after="0"/>
        <w:ind w:left="695" w:right="135" w:firstLine="0"/>
        <w:jc w:val="left"/>
      </w:pPr>
      <w:r>
        <w:rPr/>
        <w:t>Изолированная</w:t>
        <w:tab/>
        <w:t>систолическая</w:t>
        <w:tab/>
      </w:r>
      <w:r>
        <w:rPr>
          <w:spacing w:val="-3"/>
        </w:rPr>
        <w:t>артериальная </w:t>
      </w:r>
      <w:r>
        <w:rPr/>
        <w:t>гипертензия</w:t>
      </w:r>
    </w:p>
    <w:p>
      <w:pPr>
        <w:pStyle w:val="BodyText"/>
        <w:spacing w:line="256" w:lineRule="auto" w:before="271"/>
        <w:ind w:left="695" w:right="132"/>
      </w:pPr>
      <w:r>
        <w:rPr/>
        <w:t>Изолированная систолическая АГ: повышение САД </w:t>
      </w:r>
      <w:r>
        <w:rPr>
          <w:rFonts w:ascii="Times New Roman" w:hAnsi="Times New Roman"/>
        </w:rPr>
        <w:t>≥</w:t>
      </w:r>
      <w:r>
        <w:rPr/>
        <w:t>140 мм рт. ст. при ДАД &lt;90 мм рт. ст.</w:t>
      </w:r>
    </w:p>
    <w:p>
      <w:pPr>
        <w:pStyle w:val="BodyText"/>
        <w:spacing w:line="256" w:lineRule="auto" w:before="271"/>
        <w:ind w:left="695" w:right="128"/>
      </w:pPr>
      <w:r>
        <w:rPr/>
        <w:t>Наиболее распространена у пожилых пациентов (до 29,4%), может встречаться и у пациентов молодого (1,8% среди пациентов 18–39 лет) и среднего возраста (6% среди пациентов 40–60 лет) [242, 243]. В основе развития ИСАГ лежат артериолосклероз и повышение артериальной ригидности, эндотелиальная дисфункция, провоспалительная активность, кальцификация</w:t>
      </w:r>
      <w:r>
        <w:rPr>
          <w:spacing w:val="-16"/>
        </w:rPr>
        <w:t> </w:t>
      </w:r>
      <w:r>
        <w:rPr/>
        <w:t>эластина.</w:t>
      </w:r>
      <w:r>
        <w:rPr>
          <w:spacing w:val="-16"/>
        </w:rPr>
        <w:t> </w:t>
      </w:r>
      <w:r>
        <w:rPr/>
        <w:t>Наблюдается</w:t>
      </w:r>
      <w:r>
        <w:rPr>
          <w:spacing w:val="-15"/>
        </w:rPr>
        <w:t> </w:t>
      </w:r>
      <w:r>
        <w:rPr/>
        <w:t>у</w:t>
      </w:r>
      <w:r>
        <w:rPr>
          <w:spacing w:val="-16"/>
        </w:rPr>
        <w:t> </w:t>
      </w:r>
      <w:r>
        <w:rPr/>
        <w:t>пожилых,</w:t>
      </w:r>
      <w:r>
        <w:rPr>
          <w:spacing w:val="-15"/>
        </w:rPr>
        <w:t> </w:t>
      </w:r>
      <w:r>
        <w:rPr/>
        <w:t>пациентов</w:t>
      </w:r>
      <w:r>
        <w:rPr>
          <w:spacing w:val="-16"/>
        </w:rPr>
        <w:t> </w:t>
      </w:r>
      <w:r>
        <w:rPr/>
        <w:t>с </w:t>
      </w:r>
      <w:r>
        <w:rPr>
          <w:spacing w:val="-3"/>
        </w:rPr>
        <w:t>СД, </w:t>
      </w:r>
      <w:r>
        <w:rPr/>
        <w:t>ХБП, остеопорозом с кальцификацией сосудов [244]. ИСАГ независимо ассоциирована с риском неблагоприятных </w:t>
      </w:r>
      <w:r>
        <w:rPr>
          <w:spacing w:val="-4"/>
        </w:rPr>
        <w:t>СС </w:t>
      </w:r>
      <w:r>
        <w:rPr>
          <w:spacing w:val="-3"/>
        </w:rPr>
        <w:t>исходов </w:t>
      </w:r>
      <w:r>
        <w:rPr/>
        <w:t>и смертности [245, 246].</w:t>
      </w:r>
    </w:p>
    <w:p>
      <w:pPr>
        <w:pStyle w:val="BodyText"/>
        <w:spacing w:line="256" w:lineRule="auto" w:before="274"/>
        <w:ind w:left="695" w:right="135"/>
      </w:pPr>
      <w:r>
        <w:rPr/>
        <w:t>Пороговым значением САД для начала АГТ является </w:t>
      </w:r>
      <w:r>
        <w:rPr>
          <w:rFonts w:ascii="Times New Roman" w:hAnsi="Times New Roman"/>
        </w:rPr>
        <w:t>≥</w:t>
      </w:r>
      <w:r>
        <w:rPr/>
        <w:t>140 мм рт. ст. Лечение пациентов с ИСАГ проводят в соответствии с алгоритмом антигипертензивной терапии, при этом необходимо ориентироваться на уровень САД, а нормальное значение ДАД не должно препятствовать назначению оптимального лечения для достижения целевого САД [21, 31].</w:t>
      </w:r>
    </w:p>
    <w:p>
      <w:pPr>
        <w:spacing w:after="0" w:line="256" w:lineRule="auto"/>
        <w:sectPr>
          <w:pgSz w:w="11900" w:h="16840"/>
          <w:pgMar w:top="0" w:bottom="280" w:left="1420" w:right="1520"/>
        </w:sectPr>
      </w:pPr>
    </w:p>
    <w:p>
      <w:pPr>
        <w:pStyle w:val="BodyText"/>
        <w:spacing w:line="256" w:lineRule="auto" w:before="16"/>
        <w:ind w:left="695" w:right="128"/>
      </w:pPr>
      <w:r>
        <w:rPr/>
        <w:t>Помимо истинной ИСАГ, у некоторых молодых здоровых людей, чаще у мужчин, может выявляться ложная ИСАГ 1-й степени, сопровождающаяся нормальными показателями центрального САД за счет чрезмерной амплификации периферического САД [247]. Показано, что у молодых пациентов с ИСАГ сердечно-сосудистый риск аналогичен риску пациентов с высоким нормальным АД, причем, риск развития ИСАГ ассоциирован с курением [248].</w:t>
      </w:r>
    </w:p>
    <w:p>
      <w:pPr>
        <w:pStyle w:val="BodyText"/>
        <w:spacing w:line="256" w:lineRule="auto" w:before="274"/>
        <w:ind w:left="695" w:right="133"/>
      </w:pPr>
      <w:r>
        <w:rPr/>
        <w:t>На основании имеющихся данных молодым пациентам с изолированной систолической АГ 1-й степени следует рекомендовать мероприятия по изменению образа жизни (особенно прекращение курения); необходимость назначения АГТ на настоящий момент не доказана; показано длительное наблюдение, поскольку у многих из них в дальнейшем возможно развитие стойкой АГ [21].</w:t>
      </w:r>
    </w:p>
    <w:p>
      <w:pPr>
        <w:pStyle w:val="Heading3"/>
        <w:numPr>
          <w:ilvl w:val="2"/>
          <w:numId w:val="6"/>
        </w:numPr>
        <w:tabs>
          <w:tab w:pos="1725" w:val="left" w:leader="none"/>
        </w:tabs>
        <w:spacing w:line="256" w:lineRule="auto" w:before="273" w:after="0"/>
        <w:ind w:left="695" w:right="131" w:firstLine="0"/>
        <w:jc w:val="left"/>
      </w:pPr>
      <w:r>
        <w:rPr/>
        <w:t>Артериальная гипертензия при беременности и лактации</w:t>
      </w:r>
    </w:p>
    <w:p>
      <w:pPr>
        <w:pStyle w:val="BodyText"/>
        <w:spacing w:line="256" w:lineRule="auto" w:before="271"/>
        <w:ind w:left="695" w:right="135"/>
      </w:pPr>
      <w:r>
        <w:rPr/>
        <w:t>Выделяют следующие клинические варианты АГ при беременности [21]:</w:t>
      </w:r>
    </w:p>
    <w:p>
      <w:pPr>
        <w:pStyle w:val="BodyText"/>
        <w:spacing w:line="256" w:lineRule="auto" w:before="270"/>
        <w:ind w:left="695" w:right="129"/>
      </w:pPr>
      <w:r>
        <w:rPr/>
        <w:pict>
          <v:shape style="position:absolute;margin-left:91.538452pt;margin-top:20.919453pt;width:4.55pt;height:4.55pt;mso-position-horizontal-relative:page;mso-position-vertical-relative:paragraph;z-index:15824896" coordorigin="1831,418" coordsize="91,91" path="m1876,508l1863,508,1853,504,1835,486,1831,476,1831,451,1835,440,1853,423,1863,418,1888,418,1899,423,1916,440,1921,451,1921,463,1921,476,1916,486,1899,504,1888,508,1876,508xe" filled="true" fillcolor="#000000" stroked="false">
            <v:path arrowok="t"/>
            <v:fill type="solid"/>
            <w10:wrap type="none"/>
          </v:shape>
        </w:pict>
      </w:r>
      <w:r>
        <w:rPr/>
        <w:t>АГ, развившаяся до беременности (хроническая АГ — ХАГ) — АГ, определяемая до беременности или проявившаяся до 20 нед. беременности и персистирующая более 6 недель после родов. АГ, диагностированная после 20-й недели гестации и не исчезнувшая в течение 6 недель после родов, также классифицируется как существовавшая ранее АГ, но уже ретроспективно;</w:t>
      </w:r>
    </w:p>
    <w:p>
      <w:pPr>
        <w:pStyle w:val="BodyText"/>
        <w:spacing w:line="256" w:lineRule="auto" w:before="3"/>
        <w:ind w:left="695" w:right="132"/>
      </w:pPr>
      <w:r>
        <w:rPr/>
        <w:pict>
          <v:shape style="position:absolute;margin-left:91.538452pt;margin-top:7.569455pt;width:4.55pt;height:4.55pt;mso-position-horizontal-relative:page;mso-position-vertical-relative:paragraph;z-index:15825408" coordorigin="1831,151" coordsize="91,91" path="m1888,241l1863,241,1853,237,1835,219,1831,209,1831,184,1835,173,1853,156,1863,151,1888,151,1899,156,1916,173,1921,184,1921,196,1921,209,1916,219,1899,237,1888,241xe" filled="true" fillcolor="#000000" stroked="false">
            <v:path arrowok="t"/>
            <v:fill type="solid"/>
            <w10:wrap type="none"/>
          </v:shape>
        </w:pict>
      </w:r>
      <w:r>
        <w:rPr/>
        <w:t>Гестационная артериальная гипертензия </w:t>
      </w:r>
      <w:r>
        <w:rPr>
          <w:spacing w:val="-4"/>
        </w:rPr>
        <w:t>(ГАГ)</w:t>
      </w:r>
      <w:r>
        <w:rPr>
          <w:spacing w:val="59"/>
        </w:rPr>
        <w:t> </w:t>
      </w:r>
      <w:r>
        <w:rPr/>
        <w:t>— состояние, индуцированное беременностью и проявляющееся повышением АД </w:t>
      </w:r>
      <w:r>
        <w:rPr>
          <w:rFonts w:ascii="Times New Roman" w:hAnsi="Times New Roman"/>
        </w:rPr>
        <w:t>≥</w:t>
      </w:r>
      <w:r>
        <w:rPr/>
        <w:t>140/90 мм рт. ст. впервые после 20 нед., </w:t>
      </w:r>
      <w:r>
        <w:rPr>
          <w:spacing w:val="-3"/>
        </w:rPr>
        <w:t>со </w:t>
      </w:r>
      <w:r>
        <w:rPr/>
        <w:t>спонтанной нормализацией АД в течение 6 нед. после родов АД;</w:t>
      </w:r>
    </w:p>
    <w:p>
      <w:pPr>
        <w:pStyle w:val="BodyText"/>
        <w:spacing w:line="256" w:lineRule="auto" w:before="2"/>
        <w:ind w:left="695" w:right="128"/>
      </w:pPr>
      <w:r>
        <w:rPr/>
        <w:pict>
          <v:shape style="position:absolute;margin-left:91.538452pt;margin-top:7.519453pt;width:4.55pt;height:4.55pt;mso-position-horizontal-relative:page;mso-position-vertical-relative:paragraph;z-index:15825920" coordorigin="1831,150" coordsize="91,91" path="m1888,240l1863,240,1853,236,1835,218,1831,208,1831,183,1835,172,1853,155,1863,150,1888,150,1899,155,1916,172,1921,183,1921,195,1921,208,1916,218,1899,236,1888,240xe" filled="true" fillcolor="#000000" stroked="false">
            <v:path arrowok="t"/>
            <v:fill type="solid"/>
            <w10:wrap type="none"/>
          </v:shape>
        </w:pict>
      </w:r>
      <w:r>
        <w:rPr/>
        <w:t>Преэклампсия (ПЭ) — гестационная АГ с протеинурией &gt;300 мг/сут или альбумин/креатинин в разовой порции мочи &gt;30 мг/ ммоль, в ряде случаев с проявлениями полиорганной недостаточности.</w:t>
      </w:r>
    </w:p>
    <w:p>
      <w:pPr>
        <w:pStyle w:val="BodyText"/>
        <w:spacing w:before="2"/>
        <w:ind w:left="695"/>
      </w:pPr>
      <w:r>
        <w:rPr/>
        <w:pict>
          <v:shape style="position:absolute;margin-left:91.538452pt;margin-top:7.519447pt;width:4.55pt;height:4.55pt;mso-position-horizontal-relative:page;mso-position-vertical-relative:paragraph;z-index:15826432" coordorigin="1831,150" coordsize="91,91" path="m1876,240l1863,240,1853,236,1835,218,1831,208,1831,183,1835,172,1853,155,1863,150,1888,150,1899,155,1916,172,1921,183,1921,195,1921,208,1916,218,1899,236,1888,240,1876,240xe" filled="true" fillcolor="#000000" stroked="false">
            <v:path arrowok="t"/>
            <v:fill type="solid"/>
            <w10:wrap type="none"/>
          </v:shape>
        </w:pict>
      </w:r>
      <w:r>
        <w:rPr/>
        <w:t>ХАГ, осложненная преэклампсией.</w:t>
      </w:r>
    </w:p>
    <w:p>
      <w:pPr>
        <w:pStyle w:val="BodyText"/>
        <w:spacing w:line="256" w:lineRule="auto" w:before="26"/>
        <w:ind w:left="695" w:right="129"/>
      </w:pPr>
      <w:r>
        <w:rPr/>
        <w:pict>
          <v:shape style="position:absolute;margin-left:91.538452pt;margin-top:8.719442pt;width:4.55pt;height:4.55pt;mso-position-horizontal-relative:page;mso-position-vertical-relative:paragraph;z-index:15826944" coordorigin="1831,174" coordsize="91,91" path="m1876,264l1863,264,1853,260,1835,242,1831,232,1831,207,1835,196,1853,179,1863,174,1888,174,1899,179,1916,196,1921,207,1921,219,1921,232,1916,242,1899,260,1888,264,1876,264xe" filled="true" fillcolor="#000000" stroked="false">
            <v:path arrowok="t"/>
            <v:fill type="solid"/>
            <w10:wrap type="none"/>
          </v:shape>
        </w:pict>
      </w:r>
      <w:r>
        <w:rPr/>
        <w:t>Беременным женщинам, имеющим ФР, ПОМ, СД или поражение почек, рекомендуется проведение СМАД для подтверждения АГ [43, 228].</w:t>
      </w:r>
    </w:p>
    <w:p>
      <w:pPr>
        <w:spacing w:after="0" w:line="256" w:lineRule="auto"/>
        <w:sectPr>
          <w:pgSz w:w="11900" w:h="16840"/>
          <w:pgMar w:top="0" w:bottom="280" w:left="1420" w:right="1520"/>
        </w:sectPr>
      </w:pPr>
    </w:p>
    <w:p>
      <w:pPr>
        <w:pStyle w:val="Heading3"/>
        <w:spacing w:before="16"/>
      </w:pPr>
      <w:r>
        <w:rPr>
          <w:w w:val="105"/>
        </w:rPr>
        <w:t>ЕОК/ЕОАГ нет </w:t>
      </w:r>
      <w:r>
        <w:rPr>
          <w:b w:val="0"/>
          <w:w w:val="105"/>
        </w:rPr>
        <w:t>(</w:t>
      </w:r>
      <w:r>
        <w:rPr>
          <w:w w:val="105"/>
        </w:rPr>
        <w:t>УУР B, УДД 1)</w:t>
      </w:r>
    </w:p>
    <w:p>
      <w:pPr>
        <w:pStyle w:val="BodyText"/>
        <w:spacing w:line="256" w:lineRule="auto" w:before="296"/>
        <w:ind w:left="695" w:right="130"/>
      </w:pPr>
      <w:r>
        <w:rPr/>
        <w:pict>
          <v:shape style="position:absolute;margin-left:91.538452pt;margin-top:22.219444pt;width:4.55pt;height:4.55pt;mso-position-horizontal-relative:page;mso-position-vertical-relative:paragraph;z-index:15827456"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Женщинам с гестационной АГ, преэклампсией или хронической АГ, сопровождающейся субклиническим ПОМ, рекомендуется начинать лекарственную терапию при САД </w:t>
      </w:r>
      <w:r>
        <w:rPr>
          <w:rFonts w:ascii="Times New Roman" w:hAnsi="Times New Roman"/>
        </w:rPr>
        <w:t>≥</w:t>
      </w:r>
      <w:r>
        <w:rPr/>
        <w:t>140 мм рт. ст. или ДАД </w:t>
      </w:r>
      <w:r>
        <w:rPr>
          <w:rFonts w:ascii="Times New Roman" w:hAnsi="Times New Roman"/>
        </w:rPr>
        <w:t>≥</w:t>
      </w:r>
      <w:r>
        <w:rPr/>
        <w:t>90 мм рт. ст. с целью снижения СС риска [21, 22].</w:t>
      </w:r>
    </w:p>
    <w:p>
      <w:pPr>
        <w:pStyle w:val="Heading3"/>
        <w:spacing w:before="273"/>
      </w:pPr>
      <w:r>
        <w:rPr>
          <w:w w:val="105"/>
        </w:rPr>
        <w:t>ЕОК/ЕОАГ IС (УУР C, УДД 5)</w:t>
      </w:r>
    </w:p>
    <w:p>
      <w:pPr>
        <w:pStyle w:val="BodyText"/>
        <w:spacing w:line="256" w:lineRule="auto" w:before="296"/>
        <w:ind w:left="695" w:right="131"/>
      </w:pPr>
      <w:r>
        <w:rPr/>
        <w:pict>
          <v:shape style="position:absolute;margin-left:91.538452pt;margin-top:22.219425pt;width:4.55pt;height:4.55pt;mso-position-horizontal-relative:page;mso-position-vertical-relative:paragraph;z-index:15827968"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Беременным женщинам с повышением АД без наличия признаков ПОМ, преэклампсии и АКС с целью снижения СС риска начало лекарственной терапии рекомендуется при САД</w:t>
      </w:r>
    </w:p>
    <w:p>
      <w:pPr>
        <w:pStyle w:val="BodyText"/>
        <w:ind w:left="695"/>
      </w:pPr>
      <w:r>
        <w:rPr>
          <w:rFonts w:ascii="Times New Roman" w:hAnsi="Times New Roman"/>
          <w:w w:val="105"/>
        </w:rPr>
        <w:t>≥</w:t>
      </w:r>
      <w:r>
        <w:rPr>
          <w:w w:val="105"/>
        </w:rPr>
        <w:t>150 мм рт. ст. или ДАД </w:t>
      </w:r>
      <w:r>
        <w:rPr>
          <w:rFonts w:ascii="Times New Roman" w:hAnsi="Times New Roman"/>
          <w:w w:val="105"/>
        </w:rPr>
        <w:t>≥</w:t>
      </w:r>
      <w:r>
        <w:rPr>
          <w:w w:val="105"/>
        </w:rPr>
        <w:t>95 мм рт. ст. [21, 22].</w:t>
      </w:r>
    </w:p>
    <w:p>
      <w:pPr>
        <w:pStyle w:val="Heading3"/>
        <w:spacing w:before="296"/>
      </w:pPr>
      <w:r>
        <w:rPr>
          <w:w w:val="105"/>
        </w:rPr>
        <w:t>ЕОК/ЕОАГ IС (УУР C, УДД 5)</w:t>
      </w:r>
    </w:p>
    <w:p>
      <w:pPr>
        <w:spacing w:line="256" w:lineRule="auto" w:before="296"/>
        <w:ind w:left="695" w:right="132" w:firstLine="0"/>
        <w:jc w:val="both"/>
        <w:rPr>
          <w:i/>
          <w:sz w:val="27"/>
        </w:rPr>
      </w:pPr>
      <w:r>
        <w:rPr>
          <w:b/>
          <w:w w:val="105"/>
          <w:sz w:val="27"/>
        </w:rPr>
        <w:t>Комментарии. </w:t>
      </w:r>
      <w:r>
        <w:rPr>
          <w:i/>
          <w:w w:val="105"/>
          <w:sz w:val="27"/>
        </w:rPr>
        <w:t>Цель лечения беременных с АГ —</w:t>
      </w:r>
      <w:r>
        <w:rPr>
          <w:i/>
          <w:spacing w:val="-16"/>
          <w:w w:val="105"/>
          <w:sz w:val="27"/>
        </w:rPr>
        <w:t> </w:t>
      </w:r>
      <w:r>
        <w:rPr>
          <w:i/>
          <w:w w:val="105"/>
          <w:sz w:val="27"/>
        </w:rPr>
        <w:t>предупредить </w:t>
      </w:r>
      <w:r>
        <w:rPr>
          <w:i/>
          <w:w w:val="105"/>
          <w:sz w:val="27"/>
        </w:rPr>
        <w:t>развитие осложнений, обусловленных высоким уровнем АД, обеспечить сохранение беременности, нормальное развитие плода и успешные роды. Целевой уровень АД для</w:t>
      </w:r>
      <w:r>
        <w:rPr>
          <w:i/>
          <w:spacing w:val="13"/>
          <w:w w:val="105"/>
          <w:sz w:val="27"/>
        </w:rPr>
        <w:t> </w:t>
      </w:r>
      <w:r>
        <w:rPr>
          <w:i/>
          <w:w w:val="105"/>
          <w:sz w:val="27"/>
        </w:rPr>
        <w:t>беременных</w:t>
      </w:r>
    </w:p>
    <w:p>
      <w:pPr>
        <w:spacing w:line="256" w:lineRule="auto" w:before="1"/>
        <w:ind w:left="695" w:right="141" w:firstLine="0"/>
        <w:jc w:val="both"/>
        <w:rPr>
          <w:i/>
          <w:sz w:val="27"/>
        </w:rPr>
      </w:pPr>
      <w:r>
        <w:rPr>
          <w:i/>
          <w:w w:val="105"/>
          <w:sz w:val="27"/>
        </w:rPr>
        <w:t>&lt;140/90 мм рт. ст. Следует не допускать развития эпизодов </w:t>
      </w:r>
      <w:r>
        <w:rPr>
          <w:i/>
          <w:w w:val="105"/>
          <w:sz w:val="27"/>
        </w:rPr>
        <w:t>гипотонии, чтобы не ухудшить плацентарный кровоток.</w:t>
      </w:r>
    </w:p>
    <w:p>
      <w:pPr>
        <w:pStyle w:val="BodyText"/>
        <w:spacing w:line="256" w:lineRule="auto" w:before="271"/>
        <w:ind w:left="695" w:right="135"/>
      </w:pPr>
      <w:r>
        <w:rPr/>
        <w:pict>
          <v:shape style="position:absolute;margin-left:91.538452pt;margin-top:20.969433pt;width:4.55pt;height:4.55pt;mso-position-horizontal-relative:page;mso-position-vertical-relative:paragraph;z-index:15828480"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t>Беременных женщин с </w:t>
      </w:r>
      <w:r>
        <w:rPr>
          <w:spacing w:val="-3"/>
        </w:rPr>
        <w:t>САД </w:t>
      </w:r>
      <w:r>
        <w:rPr>
          <w:rFonts w:ascii="Times New Roman" w:hAnsi="Times New Roman"/>
        </w:rPr>
        <w:t>≥ </w:t>
      </w:r>
      <w:r>
        <w:rPr/>
        <w:t>170 и ДАД </w:t>
      </w:r>
      <w:r>
        <w:rPr>
          <w:rFonts w:ascii="Times New Roman" w:hAnsi="Times New Roman"/>
        </w:rPr>
        <w:t>≥ </w:t>
      </w:r>
      <w:r>
        <w:rPr/>
        <w:t>110 мм рт. ст. рекомендуется срочно госпитализировать и расценивать данное состояние как гипертонический криз [21,</w:t>
      </w:r>
      <w:r>
        <w:rPr>
          <w:spacing w:val="7"/>
        </w:rPr>
        <w:t> </w:t>
      </w:r>
      <w:r>
        <w:rPr/>
        <w:t>22].</w:t>
      </w:r>
    </w:p>
    <w:p>
      <w:pPr>
        <w:pStyle w:val="Heading3"/>
        <w:spacing w:before="272"/>
      </w:pPr>
      <w:r>
        <w:rPr>
          <w:w w:val="105"/>
        </w:rPr>
        <w:t>ЕОК/ЕОАГ IС (УУР C, УДД 5)</w:t>
      </w:r>
    </w:p>
    <w:p>
      <w:pPr>
        <w:spacing w:line="256" w:lineRule="auto" w:before="296"/>
        <w:ind w:left="695" w:right="130" w:firstLine="0"/>
        <w:jc w:val="both"/>
        <w:rPr>
          <w:i/>
          <w:sz w:val="27"/>
        </w:rPr>
      </w:pPr>
      <w:r>
        <w:rPr>
          <w:b/>
          <w:w w:val="105"/>
          <w:sz w:val="27"/>
        </w:rPr>
        <w:t>Комментарии. </w:t>
      </w:r>
      <w:r>
        <w:rPr>
          <w:i/>
          <w:w w:val="105"/>
          <w:sz w:val="27"/>
        </w:rPr>
        <w:t>Главное правило при лечении гипертонического </w:t>
      </w:r>
      <w:r>
        <w:rPr>
          <w:i/>
          <w:w w:val="105"/>
          <w:sz w:val="27"/>
        </w:rPr>
        <w:t>криза</w:t>
      </w:r>
      <w:r>
        <w:rPr>
          <w:i/>
          <w:spacing w:val="-30"/>
          <w:w w:val="105"/>
          <w:sz w:val="27"/>
        </w:rPr>
        <w:t> </w:t>
      </w:r>
      <w:r>
        <w:rPr>
          <w:i/>
          <w:w w:val="105"/>
          <w:sz w:val="27"/>
        </w:rPr>
        <w:t>(ГК)у</w:t>
      </w:r>
      <w:r>
        <w:rPr>
          <w:i/>
          <w:spacing w:val="-30"/>
          <w:w w:val="105"/>
          <w:sz w:val="27"/>
        </w:rPr>
        <w:t> </w:t>
      </w:r>
      <w:r>
        <w:rPr>
          <w:i/>
          <w:w w:val="105"/>
          <w:sz w:val="27"/>
        </w:rPr>
        <w:t>беременных</w:t>
      </w:r>
      <w:r>
        <w:rPr>
          <w:i/>
          <w:spacing w:val="-30"/>
          <w:w w:val="105"/>
          <w:sz w:val="27"/>
        </w:rPr>
        <w:t> </w:t>
      </w:r>
      <w:r>
        <w:rPr>
          <w:i/>
          <w:w w:val="105"/>
          <w:sz w:val="27"/>
        </w:rPr>
        <w:t>—</w:t>
      </w:r>
      <w:r>
        <w:rPr>
          <w:i/>
          <w:spacing w:val="-30"/>
          <w:w w:val="105"/>
          <w:sz w:val="27"/>
        </w:rPr>
        <w:t> </w:t>
      </w:r>
      <w:r>
        <w:rPr>
          <w:i/>
          <w:w w:val="105"/>
          <w:sz w:val="27"/>
        </w:rPr>
        <w:t>контролируемое</w:t>
      </w:r>
      <w:r>
        <w:rPr>
          <w:i/>
          <w:spacing w:val="-30"/>
          <w:w w:val="105"/>
          <w:sz w:val="27"/>
        </w:rPr>
        <w:t> </w:t>
      </w:r>
      <w:r>
        <w:rPr>
          <w:i/>
          <w:w w:val="105"/>
          <w:sz w:val="27"/>
        </w:rPr>
        <w:t>снижение</w:t>
      </w:r>
      <w:r>
        <w:rPr>
          <w:i/>
          <w:spacing w:val="-29"/>
          <w:w w:val="105"/>
          <w:sz w:val="27"/>
        </w:rPr>
        <w:t> </w:t>
      </w:r>
      <w:r>
        <w:rPr>
          <w:i/>
          <w:spacing w:val="-3"/>
          <w:w w:val="105"/>
          <w:sz w:val="27"/>
        </w:rPr>
        <w:t>САД</w:t>
      </w:r>
      <w:r>
        <w:rPr>
          <w:i/>
          <w:spacing w:val="-30"/>
          <w:w w:val="105"/>
          <w:sz w:val="27"/>
        </w:rPr>
        <w:t> </w:t>
      </w:r>
      <w:r>
        <w:rPr>
          <w:i/>
          <w:w w:val="105"/>
          <w:sz w:val="27"/>
        </w:rPr>
        <w:t>до</w:t>
      </w:r>
      <w:r>
        <w:rPr>
          <w:i/>
          <w:spacing w:val="-30"/>
          <w:w w:val="105"/>
          <w:sz w:val="27"/>
        </w:rPr>
        <w:t> </w:t>
      </w:r>
      <w:r>
        <w:rPr>
          <w:i/>
          <w:w w:val="105"/>
          <w:sz w:val="27"/>
        </w:rPr>
        <w:t>&lt;160 И ДАД до &lt;105 мм рт. ст. Для пероральной терапии следует использовать метилдопу или нифедипин замедленного высвобождения. Для лечения преэклампсии с отеком легких препаратом выбора является нитроглицерин, длительность его применения не должна составлять более 4 часов, из-за отрицательного воздействия на плод и риска развития отека мозга у матери. Применение диуретиков не показано, т.к. при преэклампсии уменьшается объем циркулирующей крови. </w:t>
      </w:r>
      <w:r>
        <w:rPr>
          <w:i/>
          <w:spacing w:val="-4"/>
          <w:w w:val="105"/>
          <w:sz w:val="27"/>
        </w:rPr>
        <w:t>Для </w:t>
      </w:r>
      <w:r>
        <w:rPr>
          <w:i/>
          <w:w w:val="105"/>
          <w:sz w:val="27"/>
        </w:rPr>
        <w:t>предотвращения эклампсии и лечения судорог рекомендовано в/в введение сульфата</w:t>
      </w:r>
      <w:r>
        <w:rPr>
          <w:i/>
          <w:spacing w:val="-10"/>
          <w:w w:val="105"/>
          <w:sz w:val="27"/>
        </w:rPr>
        <w:t> </w:t>
      </w:r>
      <w:r>
        <w:rPr>
          <w:i/>
          <w:w w:val="105"/>
          <w:sz w:val="27"/>
        </w:rPr>
        <w:t>магния.</w:t>
      </w:r>
    </w:p>
    <w:p>
      <w:pPr>
        <w:pStyle w:val="BodyText"/>
        <w:spacing w:line="256" w:lineRule="auto" w:before="275"/>
        <w:ind w:left="695" w:right="130"/>
      </w:pPr>
      <w:r>
        <w:rPr/>
        <w:pict>
          <v:shape style="position:absolute;margin-left:91.538452pt;margin-top:21.169443pt;width:4.55pt;height:4.55pt;mso-position-horizontal-relative:page;mso-position-vertical-relative:paragraph;z-index:15828992" coordorigin="1831,423" coordsize="91,91" path="m1876,513l1863,513,1853,509,1835,491,1831,481,1831,456,1835,445,1853,428,1863,423,1888,423,1899,428,1916,445,1921,456,1921,468,1921,481,1916,491,1899,509,1888,513,1876,513xe" filled="true" fillcolor="#000000" stroked="false">
            <v:path arrowok="t"/>
            <v:fill type="solid"/>
            <w10:wrap type="none"/>
          </v:shape>
        </w:pict>
      </w:r>
      <w:r>
        <w:rPr/>
        <w:t>Женщинам с высоким риском преэклампсии с целью ее профилактики рекомендуется назначать малые дозы (150 мг)</w:t>
      </w:r>
    </w:p>
    <w:p>
      <w:pPr>
        <w:spacing w:after="0" w:line="256" w:lineRule="auto"/>
        <w:sectPr>
          <w:pgSz w:w="11900" w:h="16840"/>
          <w:pgMar w:top="0" w:bottom="0" w:left="1420" w:right="1520"/>
        </w:sectPr>
      </w:pPr>
    </w:p>
    <w:p>
      <w:pPr>
        <w:pStyle w:val="BodyText"/>
        <w:spacing w:line="256" w:lineRule="auto" w:before="16"/>
        <w:ind w:left="695" w:right="137"/>
      </w:pPr>
      <w:r>
        <w:rPr/>
        <w:t>аспирина с 12-й недели беременности и до 36-й недели, при условии низкого риска желудочно-кишечных кровотечений [236].</w:t>
      </w:r>
    </w:p>
    <w:p>
      <w:pPr>
        <w:pStyle w:val="Heading3"/>
        <w:spacing w:before="272"/>
      </w:pPr>
      <w:r>
        <w:rPr>
          <w:w w:val="105"/>
        </w:rPr>
        <w:t>ЕОК IA (УУР В, УДД 2)</w:t>
      </w:r>
    </w:p>
    <w:p>
      <w:pPr>
        <w:spacing w:line="256" w:lineRule="auto" w:before="296"/>
        <w:ind w:left="695" w:right="130" w:firstLine="0"/>
        <w:jc w:val="both"/>
        <w:rPr>
          <w:i/>
          <w:sz w:val="27"/>
        </w:rPr>
      </w:pPr>
      <w:r>
        <w:rPr>
          <w:b/>
          <w:w w:val="105"/>
          <w:sz w:val="27"/>
        </w:rPr>
        <w:t>Комментарии. </w:t>
      </w:r>
      <w:r>
        <w:rPr>
          <w:i/>
          <w:w w:val="105"/>
          <w:sz w:val="27"/>
        </w:rPr>
        <w:t>Высокий риск преэклампсии отмечается у </w:t>
      </w:r>
      <w:r>
        <w:rPr>
          <w:i/>
          <w:w w:val="105"/>
          <w:sz w:val="27"/>
        </w:rPr>
        <w:t>женщин с АГ во время предыдущей беременности, </w:t>
      </w:r>
      <w:r>
        <w:rPr>
          <w:i/>
          <w:spacing w:val="-3"/>
          <w:w w:val="105"/>
          <w:sz w:val="27"/>
        </w:rPr>
        <w:t>ХБП, </w:t>
      </w:r>
      <w:r>
        <w:rPr>
          <w:i/>
          <w:w w:val="105"/>
          <w:sz w:val="27"/>
        </w:rPr>
        <w:t>аутоиммунными заболеваниями (системной красной волчанкой или антифосфолипидным синдромом), </w:t>
      </w:r>
      <w:r>
        <w:rPr>
          <w:i/>
          <w:spacing w:val="-4"/>
          <w:w w:val="105"/>
          <w:sz w:val="27"/>
        </w:rPr>
        <w:t>СД </w:t>
      </w:r>
      <w:r>
        <w:rPr>
          <w:i/>
          <w:w w:val="105"/>
          <w:sz w:val="27"/>
        </w:rPr>
        <w:t>1-го или 2-го типа, хронической</w:t>
      </w:r>
      <w:r>
        <w:rPr>
          <w:i/>
          <w:spacing w:val="20"/>
          <w:w w:val="105"/>
          <w:sz w:val="27"/>
        </w:rPr>
        <w:t> </w:t>
      </w:r>
      <w:r>
        <w:rPr>
          <w:i/>
          <w:w w:val="105"/>
          <w:sz w:val="27"/>
        </w:rPr>
        <w:t>АГ;</w:t>
      </w:r>
      <w:r>
        <w:rPr>
          <w:i/>
          <w:spacing w:val="21"/>
          <w:w w:val="105"/>
          <w:sz w:val="27"/>
        </w:rPr>
        <w:t> </w:t>
      </w:r>
      <w:r>
        <w:rPr>
          <w:i/>
          <w:w w:val="105"/>
          <w:sz w:val="27"/>
        </w:rPr>
        <w:t>к</w:t>
      </w:r>
      <w:r>
        <w:rPr>
          <w:i/>
          <w:spacing w:val="21"/>
          <w:w w:val="105"/>
          <w:sz w:val="27"/>
        </w:rPr>
        <w:t> </w:t>
      </w:r>
      <w:r>
        <w:rPr>
          <w:i/>
          <w:w w:val="105"/>
          <w:sz w:val="27"/>
        </w:rPr>
        <w:t>умеренному</w:t>
      </w:r>
      <w:r>
        <w:rPr>
          <w:i/>
          <w:spacing w:val="20"/>
          <w:w w:val="105"/>
          <w:sz w:val="27"/>
        </w:rPr>
        <w:t> </w:t>
      </w:r>
      <w:r>
        <w:rPr>
          <w:i/>
          <w:w w:val="105"/>
          <w:sz w:val="27"/>
        </w:rPr>
        <w:t>—</w:t>
      </w:r>
      <w:r>
        <w:rPr>
          <w:i/>
          <w:spacing w:val="21"/>
          <w:w w:val="105"/>
          <w:sz w:val="27"/>
        </w:rPr>
        <w:t> </w:t>
      </w:r>
      <w:r>
        <w:rPr>
          <w:i/>
          <w:w w:val="105"/>
          <w:sz w:val="27"/>
        </w:rPr>
        <w:t>первая</w:t>
      </w:r>
      <w:r>
        <w:rPr>
          <w:i/>
          <w:spacing w:val="21"/>
          <w:w w:val="105"/>
          <w:sz w:val="27"/>
        </w:rPr>
        <w:t> </w:t>
      </w:r>
      <w:r>
        <w:rPr>
          <w:i/>
          <w:w w:val="105"/>
          <w:sz w:val="27"/>
        </w:rPr>
        <w:t>беременность,</w:t>
      </w:r>
      <w:r>
        <w:rPr>
          <w:i/>
          <w:spacing w:val="21"/>
          <w:w w:val="105"/>
          <w:sz w:val="27"/>
        </w:rPr>
        <w:t> </w:t>
      </w:r>
      <w:r>
        <w:rPr>
          <w:i/>
          <w:w w:val="105"/>
          <w:sz w:val="27"/>
        </w:rPr>
        <w:t>возраст</w:t>
      </w:r>
    </w:p>
    <w:p>
      <w:pPr>
        <w:spacing w:line="307" w:lineRule="exact" w:before="2"/>
        <w:ind w:left="695" w:right="0" w:firstLine="0"/>
        <w:jc w:val="both"/>
        <w:rPr>
          <w:i/>
          <w:sz w:val="27"/>
        </w:rPr>
      </w:pPr>
      <w:r>
        <w:rPr>
          <w:rFonts w:ascii="Times New Roman" w:hAnsi="Times New Roman"/>
          <w:i/>
          <w:w w:val="105"/>
          <w:sz w:val="27"/>
        </w:rPr>
        <w:t>≥</w:t>
      </w:r>
      <w:r>
        <w:rPr>
          <w:i/>
          <w:w w:val="105"/>
          <w:sz w:val="27"/>
        </w:rPr>
        <w:t>40</w:t>
      </w:r>
      <w:r>
        <w:rPr>
          <w:i/>
          <w:spacing w:val="44"/>
          <w:w w:val="105"/>
          <w:sz w:val="27"/>
        </w:rPr>
        <w:t> </w:t>
      </w:r>
      <w:r>
        <w:rPr>
          <w:i/>
          <w:w w:val="105"/>
          <w:sz w:val="27"/>
        </w:rPr>
        <w:t>лет,</w:t>
      </w:r>
      <w:r>
        <w:rPr>
          <w:i/>
          <w:spacing w:val="45"/>
          <w:w w:val="105"/>
          <w:sz w:val="27"/>
        </w:rPr>
        <w:t> </w:t>
      </w:r>
      <w:r>
        <w:rPr>
          <w:i/>
          <w:w w:val="105"/>
          <w:sz w:val="27"/>
        </w:rPr>
        <w:t>интервал</w:t>
      </w:r>
      <w:r>
        <w:rPr>
          <w:i/>
          <w:spacing w:val="45"/>
          <w:w w:val="105"/>
          <w:sz w:val="27"/>
        </w:rPr>
        <w:t> </w:t>
      </w:r>
      <w:r>
        <w:rPr>
          <w:i/>
          <w:w w:val="105"/>
          <w:sz w:val="27"/>
        </w:rPr>
        <w:t>между</w:t>
      </w:r>
      <w:r>
        <w:rPr>
          <w:i/>
          <w:spacing w:val="45"/>
          <w:w w:val="105"/>
          <w:sz w:val="27"/>
        </w:rPr>
        <w:t> </w:t>
      </w:r>
      <w:r>
        <w:rPr>
          <w:i/>
          <w:w w:val="105"/>
          <w:sz w:val="27"/>
        </w:rPr>
        <w:t>беременностями</w:t>
      </w:r>
      <w:r>
        <w:rPr>
          <w:i/>
          <w:spacing w:val="44"/>
          <w:w w:val="105"/>
          <w:sz w:val="27"/>
        </w:rPr>
        <w:t> </w:t>
      </w:r>
      <w:r>
        <w:rPr>
          <w:i/>
          <w:w w:val="105"/>
          <w:sz w:val="27"/>
        </w:rPr>
        <w:t>более</w:t>
      </w:r>
      <w:r>
        <w:rPr>
          <w:i/>
          <w:spacing w:val="45"/>
          <w:w w:val="105"/>
          <w:sz w:val="27"/>
        </w:rPr>
        <w:t> </w:t>
      </w:r>
      <w:r>
        <w:rPr>
          <w:i/>
          <w:w w:val="105"/>
          <w:sz w:val="27"/>
        </w:rPr>
        <w:t>10</w:t>
      </w:r>
      <w:r>
        <w:rPr>
          <w:i/>
          <w:spacing w:val="45"/>
          <w:w w:val="105"/>
          <w:sz w:val="27"/>
        </w:rPr>
        <w:t> </w:t>
      </w:r>
      <w:r>
        <w:rPr>
          <w:i/>
          <w:w w:val="105"/>
          <w:sz w:val="27"/>
        </w:rPr>
        <w:t>лет,</w:t>
      </w:r>
      <w:r>
        <w:rPr>
          <w:i/>
          <w:spacing w:val="45"/>
          <w:w w:val="105"/>
          <w:sz w:val="27"/>
        </w:rPr>
        <w:t> </w:t>
      </w:r>
      <w:r>
        <w:rPr>
          <w:i/>
          <w:w w:val="105"/>
          <w:sz w:val="27"/>
        </w:rPr>
        <w:t>ИМТ</w:t>
      </w:r>
    </w:p>
    <w:p>
      <w:pPr>
        <w:spacing w:line="447" w:lineRule="exact" w:before="0"/>
        <w:ind w:left="695" w:right="0" w:firstLine="0"/>
        <w:jc w:val="left"/>
        <w:rPr>
          <w:i/>
          <w:sz w:val="27"/>
        </w:rPr>
      </w:pPr>
      <w:r>
        <w:rPr>
          <w:rFonts w:ascii="Times New Roman" w:hAnsi="Times New Roman"/>
          <w:i/>
          <w:w w:val="105"/>
          <w:sz w:val="27"/>
        </w:rPr>
        <w:t>≥</w:t>
      </w:r>
      <w:r>
        <w:rPr>
          <w:i/>
          <w:w w:val="105"/>
          <w:sz w:val="27"/>
        </w:rPr>
        <w:t>35</w:t>
      </w:r>
      <w:r>
        <w:rPr>
          <w:i/>
          <w:spacing w:val="9"/>
          <w:w w:val="105"/>
          <w:sz w:val="27"/>
        </w:rPr>
        <w:t> </w:t>
      </w:r>
      <w:r>
        <w:rPr>
          <w:i/>
          <w:w w:val="105"/>
          <w:sz w:val="27"/>
        </w:rPr>
        <w:t>кг/</w:t>
      </w:r>
      <w:r>
        <w:rPr>
          <w:i/>
          <w:spacing w:val="9"/>
          <w:w w:val="105"/>
          <w:sz w:val="27"/>
        </w:rPr>
        <w:t> </w:t>
      </w:r>
      <w:r>
        <w:rPr>
          <w:i/>
          <w:w w:val="105"/>
          <w:sz w:val="27"/>
        </w:rPr>
        <w:t>м</w:t>
      </w:r>
      <w:r>
        <w:rPr>
          <w:i/>
          <w:w w:val="105"/>
          <w:position w:val="14"/>
          <w:sz w:val="27"/>
        </w:rPr>
        <w:t>2</w:t>
      </w:r>
      <w:r>
        <w:rPr>
          <w:i/>
          <w:spacing w:val="17"/>
          <w:w w:val="105"/>
          <w:position w:val="14"/>
          <w:sz w:val="27"/>
        </w:rPr>
        <w:t> </w:t>
      </w:r>
      <w:r>
        <w:rPr>
          <w:i/>
          <w:w w:val="105"/>
          <w:sz w:val="27"/>
        </w:rPr>
        <w:t>на</w:t>
      </w:r>
      <w:r>
        <w:rPr>
          <w:i/>
          <w:spacing w:val="16"/>
          <w:w w:val="105"/>
          <w:sz w:val="27"/>
        </w:rPr>
        <w:t> </w:t>
      </w:r>
      <w:r>
        <w:rPr>
          <w:i/>
          <w:w w:val="105"/>
          <w:sz w:val="27"/>
        </w:rPr>
        <w:t>первом</w:t>
      </w:r>
      <w:r>
        <w:rPr>
          <w:i/>
          <w:spacing w:val="17"/>
          <w:w w:val="105"/>
          <w:sz w:val="27"/>
        </w:rPr>
        <w:t> </w:t>
      </w:r>
      <w:r>
        <w:rPr>
          <w:i/>
          <w:w w:val="105"/>
          <w:sz w:val="27"/>
        </w:rPr>
        <w:t>визите,</w:t>
      </w:r>
      <w:r>
        <w:rPr>
          <w:i/>
          <w:spacing w:val="17"/>
          <w:w w:val="105"/>
          <w:sz w:val="27"/>
        </w:rPr>
        <w:t> </w:t>
      </w:r>
      <w:r>
        <w:rPr>
          <w:i/>
          <w:w w:val="105"/>
          <w:sz w:val="27"/>
        </w:rPr>
        <w:t>семейный</w:t>
      </w:r>
      <w:r>
        <w:rPr>
          <w:i/>
          <w:spacing w:val="16"/>
          <w:w w:val="105"/>
          <w:sz w:val="27"/>
        </w:rPr>
        <w:t> </w:t>
      </w:r>
      <w:r>
        <w:rPr>
          <w:i/>
          <w:w w:val="105"/>
          <w:sz w:val="27"/>
        </w:rPr>
        <w:t>анамнез</w:t>
      </w:r>
      <w:r>
        <w:rPr>
          <w:i/>
          <w:spacing w:val="17"/>
          <w:w w:val="105"/>
          <w:sz w:val="27"/>
        </w:rPr>
        <w:t> </w:t>
      </w:r>
      <w:r>
        <w:rPr>
          <w:i/>
          <w:w w:val="105"/>
          <w:sz w:val="27"/>
        </w:rPr>
        <w:t>преэклампсии</w:t>
      </w:r>
      <w:r>
        <w:rPr>
          <w:i/>
          <w:spacing w:val="16"/>
          <w:w w:val="105"/>
          <w:sz w:val="27"/>
        </w:rPr>
        <w:t> </w:t>
      </w:r>
      <w:r>
        <w:rPr>
          <w:i/>
          <w:w w:val="105"/>
          <w:sz w:val="27"/>
        </w:rPr>
        <w:t>и</w:t>
      </w:r>
    </w:p>
    <w:p>
      <w:pPr>
        <w:spacing w:before="26"/>
        <w:ind w:left="695" w:right="0" w:firstLine="0"/>
        <w:jc w:val="both"/>
        <w:rPr>
          <w:i/>
          <w:sz w:val="27"/>
        </w:rPr>
      </w:pPr>
      <w:r>
        <w:rPr>
          <w:i/>
          <w:w w:val="105"/>
          <w:sz w:val="27"/>
        </w:rPr>
        <w:t>многоплодная беременность.</w:t>
      </w:r>
    </w:p>
    <w:p>
      <w:pPr>
        <w:pStyle w:val="BodyText"/>
        <w:spacing w:line="256" w:lineRule="auto" w:before="296"/>
        <w:ind w:left="695" w:right="131"/>
      </w:pPr>
      <w:r>
        <w:rPr/>
        <w:pict>
          <v:shape style="position:absolute;margin-left:91.538452pt;margin-top:22.219444pt;width:4.55pt;height:4.55pt;mso-position-horizontal-relative:page;mso-position-vertical-relative:paragraph;z-index:15829504"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Беременным женщинам с АГ в качестве АГТ с целью контроля уровня АД рекомендуется назначение лекарственных препаратов с замедленным высвобождением лекарственного вещества (метилдопа**) [237, 250].</w:t>
      </w:r>
    </w:p>
    <w:p>
      <w:pPr>
        <w:pStyle w:val="Heading3"/>
      </w:pPr>
      <w:r>
        <w:rPr>
          <w:w w:val="105"/>
        </w:rPr>
        <w:t>ЕОК/ЕОАГ IB (УУР А, УДД 2)</w:t>
      </w:r>
    </w:p>
    <w:p>
      <w:pPr>
        <w:pStyle w:val="BodyText"/>
        <w:spacing w:line="256" w:lineRule="auto" w:before="296"/>
        <w:ind w:left="695" w:right="131"/>
      </w:pPr>
      <w:r>
        <w:rPr/>
        <w:pict>
          <v:shape style="position:absolute;margin-left:91.538452pt;margin-top:22.219439pt;width:4.55pt;height:4.55pt;mso-position-horizontal-relative:page;mso-position-vertical-relative:paragraph;z-index:15830016" coordorigin="1831,444" coordsize="91,91" path="m1888,534l1863,534,1853,530,1835,513,1831,502,1831,477,1835,466,1853,449,1863,444,1888,444,1899,449,1916,466,1921,477,1921,489,1921,502,1916,513,1899,530,1888,534xe" filled="true" fillcolor="#000000" stroked="false">
            <v:path arrowok="t"/>
            <v:fill type="solid"/>
            <w10:wrap type="none"/>
          </v:shape>
        </w:pict>
      </w:r>
      <w:r>
        <w:rPr/>
        <w:t>Беременным женщинам с АГ в качестве АГТ с целью контроля уровня АД рекомендуется назначение лекарственных препаратов с замедленным высвобождением лекарственного вещества (нифедипин**) [237, 250].</w:t>
      </w:r>
    </w:p>
    <w:p>
      <w:pPr>
        <w:pStyle w:val="Heading3"/>
        <w:spacing w:before="272"/>
      </w:pPr>
      <w:r>
        <w:rPr>
          <w:w w:val="105"/>
        </w:rPr>
        <w:t>ЕОК/ЕОАГ IC (УУР А, УДД 2)</w:t>
      </w:r>
    </w:p>
    <w:p>
      <w:pPr>
        <w:spacing w:line="256" w:lineRule="auto" w:before="296"/>
        <w:ind w:left="695" w:right="129" w:firstLine="0"/>
        <w:jc w:val="both"/>
        <w:rPr>
          <w:i/>
          <w:sz w:val="27"/>
        </w:rPr>
      </w:pPr>
      <w:r>
        <w:rPr>
          <w:b/>
          <w:w w:val="105"/>
          <w:sz w:val="27"/>
        </w:rPr>
        <w:t>Комментарии. </w:t>
      </w:r>
      <w:r>
        <w:rPr>
          <w:i/>
          <w:w w:val="105"/>
          <w:sz w:val="27"/>
        </w:rPr>
        <w:t>Резервными препаратами для плановой АГТ у </w:t>
      </w:r>
      <w:r>
        <w:rPr>
          <w:i/>
          <w:w w:val="105"/>
          <w:sz w:val="27"/>
        </w:rPr>
        <w:t>беременных</w:t>
      </w:r>
      <w:r>
        <w:rPr>
          <w:i/>
          <w:spacing w:val="-7"/>
          <w:w w:val="105"/>
          <w:sz w:val="27"/>
        </w:rPr>
        <w:t> </w:t>
      </w:r>
      <w:r>
        <w:rPr>
          <w:i/>
          <w:w w:val="105"/>
          <w:sz w:val="27"/>
        </w:rPr>
        <w:t>женщин</w:t>
      </w:r>
      <w:r>
        <w:rPr>
          <w:i/>
          <w:spacing w:val="-7"/>
          <w:w w:val="105"/>
          <w:sz w:val="27"/>
        </w:rPr>
        <w:t> </w:t>
      </w:r>
      <w:r>
        <w:rPr>
          <w:i/>
          <w:w w:val="105"/>
          <w:sz w:val="27"/>
        </w:rPr>
        <w:t>с</w:t>
      </w:r>
      <w:r>
        <w:rPr>
          <w:i/>
          <w:spacing w:val="-7"/>
          <w:w w:val="105"/>
          <w:sz w:val="27"/>
        </w:rPr>
        <w:t> </w:t>
      </w:r>
      <w:r>
        <w:rPr>
          <w:i/>
          <w:w w:val="105"/>
          <w:sz w:val="27"/>
        </w:rPr>
        <w:t>АГ</w:t>
      </w:r>
      <w:r>
        <w:rPr>
          <w:i/>
          <w:spacing w:val="-7"/>
          <w:w w:val="105"/>
          <w:sz w:val="27"/>
        </w:rPr>
        <w:t> </w:t>
      </w:r>
      <w:r>
        <w:rPr>
          <w:i/>
          <w:w w:val="105"/>
          <w:sz w:val="27"/>
        </w:rPr>
        <w:t>являются</w:t>
      </w:r>
      <w:r>
        <w:rPr>
          <w:i/>
          <w:spacing w:val="-7"/>
          <w:w w:val="105"/>
          <w:sz w:val="27"/>
        </w:rPr>
        <w:t> </w:t>
      </w:r>
      <w:r>
        <w:rPr>
          <w:i/>
          <w:w w:val="105"/>
          <w:sz w:val="27"/>
        </w:rPr>
        <w:t>верапамил</w:t>
      </w:r>
      <w:r>
        <w:rPr>
          <w:i/>
          <w:spacing w:val="-7"/>
          <w:w w:val="105"/>
          <w:sz w:val="27"/>
        </w:rPr>
        <w:t> </w:t>
      </w:r>
      <w:r>
        <w:rPr>
          <w:i/>
          <w:w w:val="105"/>
          <w:sz w:val="27"/>
        </w:rPr>
        <w:t>и</w:t>
      </w:r>
      <w:r>
        <w:rPr>
          <w:i/>
          <w:spacing w:val="-7"/>
          <w:w w:val="105"/>
          <w:sz w:val="27"/>
        </w:rPr>
        <w:t> </w:t>
      </w:r>
      <w:r>
        <w:rPr>
          <w:i/>
          <w:w w:val="105"/>
          <w:sz w:val="27"/>
        </w:rPr>
        <w:t>бисопролол.</w:t>
      </w:r>
      <w:r>
        <w:rPr>
          <w:i/>
          <w:spacing w:val="-7"/>
          <w:w w:val="105"/>
          <w:sz w:val="27"/>
        </w:rPr>
        <w:t> </w:t>
      </w:r>
      <w:r>
        <w:rPr>
          <w:i/>
          <w:w w:val="105"/>
          <w:sz w:val="27"/>
        </w:rPr>
        <w:t>АГТ должна быть продолжена в течение 12 недель после родов, особенно у женщин с ПЭ и при рождении недоношенных детей. Можно использовать любые классы АГП, согласно алгоритму АГТ, с рациональным выбором препаратов при лактации </w:t>
      </w:r>
      <w:r>
        <w:rPr>
          <w:i/>
          <w:spacing w:val="-11"/>
          <w:w w:val="105"/>
          <w:sz w:val="27"/>
        </w:rPr>
        <w:t>и </w:t>
      </w:r>
      <w:r>
        <w:rPr>
          <w:i/>
          <w:w w:val="105"/>
          <w:sz w:val="27"/>
        </w:rPr>
        <w:t>учитывая то, что метилдопа не рекомендована к назначению </w:t>
      </w:r>
      <w:r>
        <w:rPr>
          <w:i/>
          <w:spacing w:val="-12"/>
          <w:w w:val="105"/>
          <w:sz w:val="27"/>
        </w:rPr>
        <w:t>в </w:t>
      </w:r>
      <w:r>
        <w:rPr>
          <w:i/>
          <w:w w:val="105"/>
          <w:sz w:val="27"/>
        </w:rPr>
        <w:t>связи с повышением риска послеродовой</w:t>
      </w:r>
      <w:r>
        <w:rPr>
          <w:i/>
          <w:spacing w:val="-21"/>
          <w:w w:val="105"/>
          <w:sz w:val="27"/>
        </w:rPr>
        <w:t> </w:t>
      </w:r>
      <w:r>
        <w:rPr>
          <w:i/>
          <w:w w:val="105"/>
          <w:sz w:val="27"/>
        </w:rPr>
        <w:t>депрессии.</w:t>
      </w:r>
    </w:p>
    <w:p>
      <w:pPr>
        <w:pStyle w:val="BodyText"/>
        <w:spacing w:line="256" w:lineRule="auto" w:before="273"/>
        <w:ind w:left="695" w:right="128"/>
      </w:pPr>
      <w:r>
        <w:rPr/>
        <w:pict>
          <v:shape style="position:absolute;margin-left:91.538452pt;margin-top:21.06945pt;width:4.55pt;height:4.55pt;mso-position-horizontal-relative:page;mso-position-vertical-relative:paragraph;z-index:15830528" coordorigin="1831,421" coordsize="91,91" path="m1876,511l1863,511,1853,507,1835,489,1831,479,1831,454,1835,443,1853,426,1863,421,1888,421,1899,426,1916,443,1921,454,1921,466,1921,479,1916,489,1899,507,1888,511,1876,511xe" filled="true" fillcolor="#000000" stroked="false">
            <v:path arrowok="t"/>
            <v:fill type="solid"/>
            <w10:wrap type="none"/>
          </v:shape>
        </w:pict>
      </w:r>
      <w:r>
        <w:rPr/>
        <w:t>Не рекомендовано назначение ИАПФ, БРА и прямых ингибиторов ренина при беременности в связи с риском развития врожденных уродств и гибели плода [237, 250, 251].</w:t>
      </w:r>
    </w:p>
    <w:p>
      <w:pPr>
        <w:pStyle w:val="Heading3"/>
        <w:spacing w:before="272"/>
      </w:pPr>
      <w:r>
        <w:rPr>
          <w:w w:val="105"/>
        </w:rPr>
        <w:t>ЕОК/ЕОАГ IIIC (УУР C, УДД 5)</w:t>
      </w:r>
    </w:p>
    <w:p>
      <w:pPr>
        <w:pStyle w:val="BodyText"/>
        <w:spacing w:line="256" w:lineRule="auto" w:before="296"/>
        <w:ind w:left="695" w:right="136"/>
      </w:pPr>
      <w:r>
        <w:rPr/>
        <w:pict>
          <v:shape style="position:absolute;margin-left:91.538452pt;margin-top:22.219442pt;width:4.55pt;height:4.55pt;mso-position-horizontal-relative:page;mso-position-vertical-relative:paragraph;z-index:15831040"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Женщинам с АГ в репродуктивном возрасте с риском наступления незапланированной беременности не</w:t>
      </w:r>
    </w:p>
    <w:p>
      <w:pPr>
        <w:spacing w:after="0" w:line="256" w:lineRule="auto"/>
        <w:sectPr>
          <w:pgSz w:w="11900" w:h="16840"/>
          <w:pgMar w:top="0" w:bottom="0" w:left="1420" w:right="1520"/>
        </w:sectPr>
      </w:pPr>
    </w:p>
    <w:p>
      <w:pPr>
        <w:pStyle w:val="BodyText"/>
        <w:spacing w:line="256" w:lineRule="auto" w:before="16"/>
        <w:ind w:left="695" w:right="132"/>
      </w:pPr>
      <w:r>
        <w:rPr/>
        <w:t>рекомендуется назначение блокаторов РААС в связи с риском развития врожденных уродств и гибели плода [21, 22, 237, 251].</w:t>
      </w:r>
    </w:p>
    <w:p>
      <w:pPr>
        <w:pStyle w:val="Heading3"/>
      </w:pPr>
      <w:r>
        <w:rPr>
          <w:w w:val="105"/>
        </w:rPr>
        <w:t>ЕОК/ЕОАГ IIIC (УУР C, УДД 4)</w:t>
      </w:r>
    </w:p>
    <w:p>
      <w:pPr>
        <w:pStyle w:val="ListParagraph"/>
        <w:numPr>
          <w:ilvl w:val="2"/>
          <w:numId w:val="6"/>
        </w:numPr>
        <w:tabs>
          <w:tab w:pos="1902" w:val="left" w:leader="none"/>
        </w:tabs>
        <w:spacing w:line="256" w:lineRule="auto" w:before="296" w:after="0"/>
        <w:ind w:left="695" w:right="134" w:firstLine="0"/>
        <w:jc w:val="both"/>
        <w:rPr>
          <w:b/>
          <w:sz w:val="27"/>
        </w:rPr>
      </w:pPr>
      <w:r>
        <w:rPr>
          <w:b/>
          <w:sz w:val="27"/>
        </w:rPr>
        <w:t>Препараты для оральной контрацепции </w:t>
      </w:r>
      <w:r>
        <w:rPr>
          <w:b/>
          <w:spacing w:val="-11"/>
          <w:sz w:val="27"/>
        </w:rPr>
        <w:t>и </w:t>
      </w:r>
      <w:r>
        <w:rPr>
          <w:b/>
          <w:sz w:val="27"/>
        </w:rPr>
        <w:t>заместительной гормональной терапии и артериальная гипертензия</w:t>
      </w:r>
    </w:p>
    <w:p>
      <w:pPr>
        <w:pStyle w:val="BodyText"/>
        <w:spacing w:line="256" w:lineRule="auto" w:before="272"/>
        <w:ind w:left="695" w:right="131"/>
      </w:pPr>
      <w:r>
        <w:rPr/>
        <w:pict>
          <v:shape style="position:absolute;margin-left:91.538452pt;margin-top:21.019426pt;width:4.55pt;height:4.55pt;mso-position-horizontal-relative:page;mso-position-vertical-relative:paragraph;z-index:15831552" coordorigin="1831,420" coordsize="91,91" path="m1876,510l1863,510,1853,506,1835,488,1831,478,1831,453,1835,442,1853,425,1863,420,1888,420,1899,425,1916,442,1921,453,1921,465,1921,478,1916,488,1899,506,1888,510,1876,510xe" filled="true" fillcolor="#000000" stroked="false">
            <v:path arrowok="t"/>
            <v:fill type="solid"/>
            <w10:wrap type="none"/>
          </v:shape>
        </w:pict>
      </w:r>
      <w:r>
        <w:rPr/>
        <w:t>Не рекомендуется применять оральные контрацептивы (ОК) женщинам с неконтролируемой АГ [252, 253].</w:t>
      </w:r>
    </w:p>
    <w:p>
      <w:pPr>
        <w:pStyle w:val="Heading3"/>
      </w:pPr>
      <w:r>
        <w:rPr>
          <w:w w:val="105"/>
        </w:rPr>
        <w:t>ЕОК/ЕОАГ нет </w:t>
      </w:r>
      <w:r>
        <w:rPr>
          <w:b w:val="0"/>
          <w:w w:val="105"/>
        </w:rPr>
        <w:t>(</w:t>
      </w:r>
      <w:r>
        <w:rPr>
          <w:w w:val="105"/>
        </w:rPr>
        <w:t>УУР B, УДД 3)</w:t>
      </w:r>
    </w:p>
    <w:p>
      <w:pPr>
        <w:tabs>
          <w:tab w:pos="3865" w:val="left" w:leader="none"/>
          <w:tab w:pos="7261" w:val="left" w:leader="none"/>
        </w:tabs>
        <w:spacing w:line="256" w:lineRule="auto" w:before="296"/>
        <w:ind w:left="695" w:right="129" w:firstLine="0"/>
        <w:jc w:val="both"/>
        <w:rPr>
          <w:i/>
          <w:sz w:val="27"/>
        </w:rPr>
      </w:pPr>
      <w:r>
        <w:rPr>
          <w:b/>
          <w:w w:val="105"/>
          <w:sz w:val="27"/>
        </w:rPr>
        <w:t>Комментарии.</w:t>
        <w:tab/>
      </w:r>
      <w:r>
        <w:rPr>
          <w:i/>
          <w:w w:val="105"/>
          <w:sz w:val="27"/>
        </w:rPr>
        <w:t>Комбинированные</w:t>
        <w:tab/>
      </w:r>
      <w:r>
        <w:rPr>
          <w:i/>
          <w:spacing w:val="-1"/>
          <w:w w:val="105"/>
          <w:sz w:val="27"/>
        </w:rPr>
        <w:t>пероральные </w:t>
      </w:r>
      <w:r>
        <w:rPr>
          <w:i/>
          <w:w w:val="105"/>
          <w:sz w:val="27"/>
        </w:rPr>
        <w:t>контрацептивные препараты, содержащие эстрогены и прогестины, могут приводить к повышению АД и развитию АГ приблизительно у 5% пациенток [254, 255]. При назначении оральных контрацептивов (ОК) следует оценивать риски </w:t>
      </w:r>
      <w:r>
        <w:rPr>
          <w:i/>
          <w:spacing w:val="-11"/>
          <w:w w:val="105"/>
          <w:sz w:val="27"/>
        </w:rPr>
        <w:t>и </w:t>
      </w:r>
      <w:r>
        <w:rPr>
          <w:i/>
          <w:w w:val="105"/>
          <w:sz w:val="27"/>
        </w:rPr>
        <w:t>преимущества, наличие сопутствующих факторов </w:t>
      </w:r>
      <w:r>
        <w:rPr>
          <w:i/>
          <w:spacing w:val="-4"/>
          <w:w w:val="105"/>
          <w:sz w:val="27"/>
        </w:rPr>
        <w:t>СС </w:t>
      </w:r>
      <w:r>
        <w:rPr>
          <w:i/>
          <w:w w:val="105"/>
          <w:sz w:val="27"/>
        </w:rPr>
        <w:t>риска (особенно курения) у конкретной пациентки. Необходимо тщательно контролировать уровень АД [256, 257]. Отмена ОК может улучшить контроль АД у женщин с АГ [252]. Прием ОК женщинами с АГ диктует необходимость их тщательного выбора и начала приема после сопоставления риска и пользы индивидуально у каждой</w:t>
      </w:r>
      <w:r>
        <w:rPr>
          <w:i/>
          <w:spacing w:val="-23"/>
          <w:w w:val="105"/>
          <w:sz w:val="27"/>
        </w:rPr>
        <w:t> </w:t>
      </w:r>
      <w:r>
        <w:rPr>
          <w:i/>
          <w:w w:val="105"/>
          <w:sz w:val="27"/>
        </w:rPr>
        <w:t>пациентки.</w:t>
      </w:r>
    </w:p>
    <w:p>
      <w:pPr>
        <w:spacing w:line="256" w:lineRule="auto" w:before="274"/>
        <w:ind w:left="695" w:right="133" w:firstLine="0"/>
        <w:jc w:val="both"/>
        <w:rPr>
          <w:i/>
          <w:sz w:val="27"/>
        </w:rPr>
      </w:pPr>
      <w:r>
        <w:rPr>
          <w:i/>
          <w:w w:val="105"/>
          <w:sz w:val="27"/>
        </w:rPr>
        <w:t>Заместительная гормональная терапия не противопоказана </w:t>
      </w:r>
      <w:r>
        <w:rPr>
          <w:i/>
          <w:w w:val="105"/>
          <w:sz w:val="27"/>
        </w:rPr>
        <w:t>женщинам</w:t>
      </w:r>
      <w:r>
        <w:rPr>
          <w:i/>
          <w:spacing w:val="-26"/>
          <w:w w:val="105"/>
          <w:sz w:val="27"/>
        </w:rPr>
        <w:t> </w:t>
      </w:r>
      <w:r>
        <w:rPr>
          <w:i/>
          <w:w w:val="105"/>
          <w:sz w:val="27"/>
        </w:rPr>
        <w:t>с</w:t>
      </w:r>
      <w:r>
        <w:rPr>
          <w:i/>
          <w:spacing w:val="-25"/>
          <w:w w:val="105"/>
          <w:sz w:val="27"/>
        </w:rPr>
        <w:t> </w:t>
      </w:r>
      <w:r>
        <w:rPr>
          <w:i/>
          <w:w w:val="105"/>
          <w:sz w:val="27"/>
        </w:rPr>
        <w:t>АГ</w:t>
      </w:r>
      <w:r>
        <w:rPr>
          <w:i/>
          <w:spacing w:val="-25"/>
          <w:w w:val="105"/>
          <w:sz w:val="27"/>
        </w:rPr>
        <w:t> </w:t>
      </w:r>
      <w:r>
        <w:rPr>
          <w:i/>
          <w:w w:val="105"/>
          <w:sz w:val="27"/>
        </w:rPr>
        <w:t>при</w:t>
      </w:r>
      <w:r>
        <w:rPr>
          <w:i/>
          <w:spacing w:val="-25"/>
          <w:w w:val="105"/>
          <w:sz w:val="27"/>
        </w:rPr>
        <w:t> </w:t>
      </w:r>
      <w:r>
        <w:rPr>
          <w:i/>
          <w:w w:val="105"/>
          <w:sz w:val="27"/>
        </w:rPr>
        <w:t>условии</w:t>
      </w:r>
      <w:r>
        <w:rPr>
          <w:i/>
          <w:spacing w:val="-25"/>
          <w:w w:val="105"/>
          <w:sz w:val="27"/>
        </w:rPr>
        <w:t> </w:t>
      </w:r>
      <w:r>
        <w:rPr>
          <w:i/>
          <w:w w:val="105"/>
          <w:sz w:val="27"/>
        </w:rPr>
        <w:t>контроля</w:t>
      </w:r>
      <w:r>
        <w:rPr>
          <w:i/>
          <w:spacing w:val="-25"/>
          <w:w w:val="105"/>
          <w:sz w:val="27"/>
        </w:rPr>
        <w:t> </w:t>
      </w:r>
      <w:r>
        <w:rPr>
          <w:i/>
          <w:w w:val="105"/>
          <w:sz w:val="27"/>
        </w:rPr>
        <w:t>АД</w:t>
      </w:r>
      <w:r>
        <w:rPr>
          <w:i/>
          <w:spacing w:val="-25"/>
          <w:w w:val="105"/>
          <w:sz w:val="27"/>
        </w:rPr>
        <w:t> </w:t>
      </w:r>
      <w:r>
        <w:rPr>
          <w:i/>
          <w:w w:val="105"/>
          <w:sz w:val="27"/>
        </w:rPr>
        <w:t>с</w:t>
      </w:r>
      <w:r>
        <w:rPr>
          <w:i/>
          <w:spacing w:val="-25"/>
          <w:w w:val="105"/>
          <w:sz w:val="27"/>
        </w:rPr>
        <w:t> </w:t>
      </w:r>
      <w:r>
        <w:rPr>
          <w:i/>
          <w:w w:val="105"/>
          <w:sz w:val="27"/>
        </w:rPr>
        <w:t>помощью</w:t>
      </w:r>
      <w:r>
        <w:rPr>
          <w:i/>
          <w:spacing w:val="-25"/>
          <w:w w:val="105"/>
          <w:sz w:val="27"/>
        </w:rPr>
        <w:t> </w:t>
      </w:r>
      <w:r>
        <w:rPr>
          <w:i/>
          <w:w w:val="105"/>
          <w:sz w:val="27"/>
        </w:rPr>
        <w:t>АГП</w:t>
      </w:r>
      <w:r>
        <w:rPr>
          <w:i/>
          <w:spacing w:val="-25"/>
          <w:w w:val="105"/>
          <w:sz w:val="27"/>
        </w:rPr>
        <w:t> </w:t>
      </w:r>
      <w:r>
        <w:rPr>
          <w:i/>
          <w:w w:val="105"/>
          <w:sz w:val="27"/>
        </w:rPr>
        <w:t>[21].</w:t>
      </w:r>
      <w:r>
        <w:rPr>
          <w:i/>
          <w:spacing w:val="-25"/>
          <w:w w:val="105"/>
          <w:sz w:val="27"/>
        </w:rPr>
        <w:t> </w:t>
      </w:r>
      <w:r>
        <w:rPr>
          <w:i/>
          <w:w w:val="105"/>
          <w:sz w:val="27"/>
        </w:rPr>
        <w:t>Не рекомендуется назначение гормональной заместительной терапии и селективных модуляторов рецепторов к эстрогенам с целью</w:t>
      </w:r>
      <w:r>
        <w:rPr>
          <w:i/>
          <w:spacing w:val="-12"/>
          <w:w w:val="105"/>
          <w:sz w:val="27"/>
        </w:rPr>
        <w:t> </w:t>
      </w:r>
      <w:r>
        <w:rPr>
          <w:i/>
          <w:w w:val="105"/>
          <w:sz w:val="27"/>
        </w:rPr>
        <w:t>первичной</w:t>
      </w:r>
      <w:r>
        <w:rPr>
          <w:i/>
          <w:spacing w:val="-11"/>
          <w:w w:val="105"/>
          <w:sz w:val="27"/>
        </w:rPr>
        <w:t> </w:t>
      </w:r>
      <w:r>
        <w:rPr>
          <w:i/>
          <w:w w:val="105"/>
          <w:sz w:val="27"/>
        </w:rPr>
        <w:t>или</w:t>
      </w:r>
      <w:r>
        <w:rPr>
          <w:i/>
          <w:spacing w:val="-11"/>
          <w:w w:val="105"/>
          <w:sz w:val="27"/>
        </w:rPr>
        <w:t> </w:t>
      </w:r>
      <w:r>
        <w:rPr>
          <w:i/>
          <w:w w:val="105"/>
          <w:sz w:val="27"/>
        </w:rPr>
        <w:t>вторичной</w:t>
      </w:r>
      <w:r>
        <w:rPr>
          <w:i/>
          <w:spacing w:val="-11"/>
          <w:w w:val="105"/>
          <w:sz w:val="27"/>
        </w:rPr>
        <w:t> </w:t>
      </w:r>
      <w:r>
        <w:rPr>
          <w:i/>
          <w:w w:val="105"/>
          <w:sz w:val="27"/>
        </w:rPr>
        <w:t>профилактики</w:t>
      </w:r>
      <w:r>
        <w:rPr>
          <w:i/>
          <w:spacing w:val="-11"/>
          <w:w w:val="105"/>
          <w:sz w:val="27"/>
        </w:rPr>
        <w:t> </w:t>
      </w:r>
      <w:r>
        <w:rPr>
          <w:i/>
          <w:w w:val="105"/>
          <w:sz w:val="27"/>
        </w:rPr>
        <w:t>ССЗ.</w:t>
      </w:r>
    </w:p>
    <w:p>
      <w:pPr>
        <w:pStyle w:val="Heading3"/>
        <w:numPr>
          <w:ilvl w:val="2"/>
          <w:numId w:val="6"/>
        </w:numPr>
        <w:tabs>
          <w:tab w:pos="1969" w:val="left" w:leader="none"/>
        </w:tabs>
        <w:spacing w:line="256" w:lineRule="auto" w:before="273" w:after="0"/>
        <w:ind w:left="695" w:right="138" w:firstLine="0"/>
        <w:jc w:val="both"/>
      </w:pPr>
      <w:r>
        <w:rPr/>
        <w:t>Артериальная гипертензия и эректильная дисфункция</w:t>
      </w:r>
    </w:p>
    <w:p>
      <w:pPr>
        <w:pStyle w:val="BodyText"/>
        <w:spacing w:line="256" w:lineRule="auto" w:before="271"/>
        <w:ind w:left="695" w:right="130"/>
      </w:pPr>
      <w:r>
        <w:rPr/>
        <w:pict>
          <v:shape style="position:absolute;margin-left:91.538452pt;margin-top:20.969442pt;width:4.55pt;height:4.55pt;mso-position-horizontal-relative:page;mso-position-vertical-relative:paragraph;z-index:15832064"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t>Всем пациентам с АГ и наличием эректильной дисфункции (ЭД) для коррекции эндотелиальной дисфункции рекомендовано назначение ингибиторов фосфодиэстеразы-5, даже тем из них, которые получают несколько АГП (за исключением альфа-адреноблокаторов и нитратов в связи с опасностью ортостатической гипотонии) [258, 259].</w:t>
      </w:r>
    </w:p>
    <w:p>
      <w:pPr>
        <w:pStyle w:val="Heading3"/>
        <w:spacing w:before="272"/>
      </w:pPr>
      <w:r>
        <w:rPr>
          <w:w w:val="105"/>
        </w:rPr>
        <w:t>ЕОК/ЕОАГ нет </w:t>
      </w:r>
      <w:r>
        <w:rPr>
          <w:b w:val="0"/>
          <w:w w:val="105"/>
        </w:rPr>
        <w:t>(</w:t>
      </w:r>
      <w:r>
        <w:rPr>
          <w:w w:val="105"/>
        </w:rPr>
        <w:t>УУР B, УДД 2)</w:t>
      </w:r>
    </w:p>
    <w:p>
      <w:pPr>
        <w:spacing w:after="0"/>
        <w:sectPr>
          <w:pgSz w:w="11900" w:h="16840"/>
          <w:pgMar w:top="0" w:bottom="280" w:left="1420" w:right="1520"/>
        </w:sectPr>
      </w:pPr>
    </w:p>
    <w:p>
      <w:pPr>
        <w:spacing w:line="256" w:lineRule="auto" w:before="16"/>
        <w:ind w:left="695" w:right="130" w:firstLine="0"/>
        <w:jc w:val="both"/>
        <w:rPr>
          <w:i/>
          <w:sz w:val="27"/>
        </w:rPr>
      </w:pPr>
      <w:r>
        <w:rPr>
          <w:b/>
          <w:w w:val="105"/>
          <w:sz w:val="27"/>
        </w:rPr>
        <w:t>Комментарии.</w:t>
      </w:r>
      <w:r>
        <w:rPr>
          <w:b/>
          <w:spacing w:val="-19"/>
          <w:w w:val="105"/>
          <w:sz w:val="27"/>
        </w:rPr>
        <w:t> </w:t>
      </w:r>
      <w:r>
        <w:rPr>
          <w:i/>
          <w:spacing w:val="-4"/>
          <w:w w:val="105"/>
          <w:sz w:val="27"/>
        </w:rPr>
        <w:t>ЭД</w:t>
      </w:r>
      <w:r>
        <w:rPr>
          <w:i/>
          <w:spacing w:val="-14"/>
          <w:w w:val="105"/>
          <w:sz w:val="27"/>
        </w:rPr>
        <w:t> </w:t>
      </w:r>
      <w:r>
        <w:rPr>
          <w:i/>
          <w:w w:val="105"/>
          <w:sz w:val="27"/>
        </w:rPr>
        <w:t>у</w:t>
      </w:r>
      <w:r>
        <w:rPr>
          <w:i/>
          <w:spacing w:val="-14"/>
          <w:w w:val="105"/>
          <w:sz w:val="27"/>
        </w:rPr>
        <w:t> </w:t>
      </w:r>
      <w:r>
        <w:rPr>
          <w:i/>
          <w:w w:val="105"/>
          <w:sz w:val="27"/>
        </w:rPr>
        <w:t>мужчин</w:t>
      </w:r>
      <w:r>
        <w:rPr>
          <w:i/>
          <w:spacing w:val="-15"/>
          <w:w w:val="105"/>
          <w:sz w:val="27"/>
        </w:rPr>
        <w:t> </w:t>
      </w:r>
      <w:r>
        <w:rPr>
          <w:i/>
          <w:w w:val="105"/>
          <w:sz w:val="27"/>
        </w:rPr>
        <w:t>с</w:t>
      </w:r>
      <w:r>
        <w:rPr>
          <w:i/>
          <w:spacing w:val="-14"/>
          <w:w w:val="105"/>
          <w:sz w:val="27"/>
        </w:rPr>
        <w:t> </w:t>
      </w:r>
      <w:r>
        <w:rPr>
          <w:i/>
          <w:w w:val="105"/>
          <w:sz w:val="27"/>
        </w:rPr>
        <w:t>АГ</w:t>
      </w:r>
      <w:r>
        <w:rPr>
          <w:i/>
          <w:spacing w:val="-15"/>
          <w:w w:val="105"/>
          <w:sz w:val="27"/>
        </w:rPr>
        <w:t> </w:t>
      </w:r>
      <w:r>
        <w:rPr>
          <w:i/>
          <w:w w:val="105"/>
          <w:sz w:val="27"/>
        </w:rPr>
        <w:t>встречается</w:t>
      </w:r>
      <w:r>
        <w:rPr>
          <w:i/>
          <w:spacing w:val="-14"/>
          <w:w w:val="105"/>
          <w:sz w:val="27"/>
        </w:rPr>
        <w:t> </w:t>
      </w:r>
      <w:r>
        <w:rPr>
          <w:i/>
          <w:w w:val="105"/>
          <w:sz w:val="27"/>
        </w:rPr>
        <w:t>чаще,</w:t>
      </w:r>
      <w:r>
        <w:rPr>
          <w:i/>
          <w:spacing w:val="-14"/>
          <w:w w:val="105"/>
          <w:sz w:val="27"/>
        </w:rPr>
        <w:t> </w:t>
      </w:r>
      <w:r>
        <w:rPr>
          <w:i/>
          <w:w w:val="105"/>
          <w:sz w:val="27"/>
        </w:rPr>
        <w:t>чем</w:t>
      </w:r>
      <w:r>
        <w:rPr>
          <w:i/>
          <w:spacing w:val="-15"/>
          <w:w w:val="105"/>
          <w:sz w:val="27"/>
        </w:rPr>
        <w:t> </w:t>
      </w:r>
      <w:r>
        <w:rPr>
          <w:i/>
          <w:w w:val="105"/>
          <w:sz w:val="27"/>
        </w:rPr>
        <w:t>у</w:t>
      </w:r>
      <w:r>
        <w:rPr>
          <w:i/>
          <w:spacing w:val="-14"/>
          <w:w w:val="105"/>
          <w:sz w:val="27"/>
        </w:rPr>
        <w:t> </w:t>
      </w:r>
      <w:r>
        <w:rPr>
          <w:i/>
          <w:w w:val="105"/>
          <w:sz w:val="27"/>
        </w:rPr>
        <w:t>лиц</w:t>
      </w:r>
      <w:r>
        <w:rPr>
          <w:i/>
          <w:spacing w:val="-15"/>
          <w:w w:val="105"/>
          <w:sz w:val="27"/>
        </w:rPr>
        <w:t> </w:t>
      </w:r>
      <w:r>
        <w:rPr>
          <w:i/>
          <w:w w:val="105"/>
          <w:sz w:val="27"/>
        </w:rPr>
        <w:t>с </w:t>
      </w:r>
      <w:r>
        <w:rPr>
          <w:i/>
          <w:w w:val="105"/>
          <w:sz w:val="27"/>
        </w:rPr>
        <w:t>нормальным АД. </w:t>
      </w:r>
      <w:r>
        <w:rPr>
          <w:i/>
          <w:spacing w:val="-4"/>
          <w:w w:val="105"/>
          <w:sz w:val="27"/>
        </w:rPr>
        <w:t>ЭД </w:t>
      </w:r>
      <w:r>
        <w:rPr>
          <w:i/>
          <w:w w:val="105"/>
          <w:sz w:val="27"/>
        </w:rPr>
        <w:t>считается независимым ФР сердечно- сосудистых событий и смертности, ассоциированным с ПОМ. Сбор анамнеза у пациентов АГ должен включать оценку половой функции. Изменение (оздоровление) образа жизни может уменьшить степень </w:t>
      </w:r>
      <w:r>
        <w:rPr>
          <w:i/>
          <w:spacing w:val="-3"/>
          <w:w w:val="105"/>
          <w:sz w:val="27"/>
        </w:rPr>
        <w:t>ЭД. </w:t>
      </w:r>
      <w:r>
        <w:rPr>
          <w:i/>
          <w:w w:val="105"/>
          <w:sz w:val="27"/>
        </w:rPr>
        <w:t>Современные препараты </w:t>
      </w:r>
      <w:r>
        <w:rPr>
          <w:i/>
          <w:spacing w:val="-4"/>
          <w:w w:val="105"/>
          <w:sz w:val="27"/>
        </w:rPr>
        <w:t>(БРА, </w:t>
      </w:r>
      <w:r>
        <w:rPr>
          <w:i/>
          <w:w w:val="105"/>
          <w:sz w:val="27"/>
        </w:rPr>
        <w:t>ИАПФ, АК и вазодилатирующие ББ) не влияют на эректильную функцию.</w:t>
      </w:r>
      <w:r>
        <w:rPr>
          <w:i/>
          <w:spacing w:val="-31"/>
          <w:w w:val="105"/>
          <w:sz w:val="27"/>
        </w:rPr>
        <w:t> </w:t>
      </w:r>
      <w:r>
        <w:rPr>
          <w:i/>
          <w:w w:val="105"/>
          <w:sz w:val="27"/>
        </w:rPr>
        <w:t>Адекватный</w:t>
      </w:r>
      <w:r>
        <w:rPr>
          <w:i/>
          <w:spacing w:val="-31"/>
          <w:w w:val="105"/>
          <w:sz w:val="27"/>
        </w:rPr>
        <w:t> </w:t>
      </w:r>
      <w:r>
        <w:rPr>
          <w:i/>
          <w:w w:val="105"/>
          <w:sz w:val="27"/>
        </w:rPr>
        <w:t>контроль</w:t>
      </w:r>
      <w:r>
        <w:rPr>
          <w:i/>
          <w:spacing w:val="-30"/>
          <w:w w:val="105"/>
          <w:sz w:val="27"/>
        </w:rPr>
        <w:t> </w:t>
      </w:r>
      <w:r>
        <w:rPr>
          <w:i/>
          <w:w w:val="105"/>
          <w:sz w:val="27"/>
        </w:rPr>
        <w:t>АГ</w:t>
      </w:r>
      <w:r>
        <w:rPr>
          <w:i/>
          <w:spacing w:val="-31"/>
          <w:w w:val="105"/>
          <w:sz w:val="27"/>
        </w:rPr>
        <w:t> </w:t>
      </w:r>
      <w:r>
        <w:rPr>
          <w:i/>
          <w:w w:val="105"/>
          <w:sz w:val="27"/>
        </w:rPr>
        <w:t>способствует</w:t>
      </w:r>
      <w:r>
        <w:rPr>
          <w:i/>
          <w:spacing w:val="-31"/>
          <w:w w:val="105"/>
          <w:sz w:val="27"/>
        </w:rPr>
        <w:t> </w:t>
      </w:r>
      <w:r>
        <w:rPr>
          <w:i/>
          <w:w w:val="105"/>
          <w:sz w:val="27"/>
        </w:rPr>
        <w:t>ее</w:t>
      </w:r>
      <w:r>
        <w:rPr>
          <w:i/>
          <w:spacing w:val="-30"/>
          <w:w w:val="105"/>
          <w:sz w:val="27"/>
        </w:rPr>
        <w:t> </w:t>
      </w:r>
      <w:r>
        <w:rPr>
          <w:i/>
          <w:w w:val="105"/>
          <w:sz w:val="27"/>
        </w:rPr>
        <w:t>улучшению.</w:t>
      </w:r>
    </w:p>
    <w:p>
      <w:pPr>
        <w:pStyle w:val="Heading3"/>
        <w:numPr>
          <w:ilvl w:val="2"/>
          <w:numId w:val="6"/>
        </w:numPr>
        <w:tabs>
          <w:tab w:pos="1728" w:val="left" w:leader="none"/>
        </w:tabs>
        <w:spacing w:line="256" w:lineRule="auto" w:before="274" w:after="0"/>
        <w:ind w:left="695" w:right="137" w:firstLine="0"/>
        <w:jc w:val="left"/>
      </w:pPr>
      <w:r>
        <w:rPr/>
        <w:t>Артериальная гипертензия и противоопухолевая терапия</w:t>
      </w:r>
    </w:p>
    <w:p>
      <w:pPr>
        <w:pStyle w:val="BodyText"/>
        <w:spacing w:line="256" w:lineRule="auto" w:before="271"/>
        <w:ind w:left="695" w:right="130"/>
      </w:pPr>
      <w:r>
        <w:rPr/>
        <w:t>АГ является наиболее частым сопутствующим </w:t>
      </w:r>
      <w:r>
        <w:rPr>
          <w:spacing w:val="-3"/>
        </w:rPr>
        <w:t>ССЗ </w:t>
      </w:r>
      <w:r>
        <w:rPr/>
        <w:t>по данным онкологических регистров, при этом повышение АД выявляется более чем у трети пациентов [260]. Это может быть связано с высокой распространенностью АГ в той возрастной категории, в которой наиболее часто встречаются и онкологические заболевания. </w:t>
      </w:r>
      <w:r>
        <w:rPr>
          <w:spacing w:val="-3"/>
        </w:rPr>
        <w:t>Однако </w:t>
      </w:r>
      <w:r>
        <w:rPr/>
        <w:t>это также обусловлено прессорным эффектом двух групп широко используемых противоопухолевых препаратов: ингибиторов фактора роста эндотелия сосудов (бевацизумаб, сорафениб, сунитиниб и пазопаниб) и ингибиторов протеасом (карфизомиб</w:t>
      </w:r>
      <w:r>
        <w:rPr>
          <w:spacing w:val="-15"/>
        </w:rPr>
        <w:t> </w:t>
      </w:r>
      <w:r>
        <w:rPr/>
        <w:t>[261]).</w:t>
      </w:r>
    </w:p>
    <w:p>
      <w:pPr>
        <w:pStyle w:val="BodyText"/>
        <w:tabs>
          <w:tab w:pos="2327" w:val="left" w:leader="none"/>
          <w:tab w:pos="4667" w:val="left" w:leader="none"/>
          <w:tab w:pos="6485" w:val="left" w:leader="none"/>
        </w:tabs>
        <w:spacing w:line="256" w:lineRule="auto" w:before="274"/>
        <w:ind w:left="695" w:right="130"/>
      </w:pPr>
      <w:r>
        <w:rPr/>
        <w:t>Повышение АД выявлялось у большого числа пациентов (</w:t>
      </w:r>
      <w:r>
        <w:rPr>
          <w:rFonts w:ascii="Times New Roman" w:hAnsi="Times New Roman"/>
        </w:rPr>
        <w:t>≤</w:t>
      </w:r>
      <w:r>
        <w:rPr/>
        <w:t>30%),</w:t>
        <w:tab/>
        <w:t>получающих</w:t>
        <w:tab/>
        <w:t>терапию</w:t>
        <w:tab/>
      </w:r>
      <w:r>
        <w:rPr>
          <w:spacing w:val="-2"/>
        </w:rPr>
        <w:t>вышеописанными </w:t>
      </w:r>
      <w:r>
        <w:rPr/>
        <w:t>противоопухолевыми препаратами. Этот эффект часто наблюдается в течение первого месяца после начала</w:t>
      </w:r>
      <w:r>
        <w:rPr>
          <w:spacing w:val="26"/>
        </w:rPr>
        <w:t> </w:t>
      </w:r>
      <w:r>
        <w:rPr/>
        <w:t>лечения.</w:t>
      </w:r>
    </w:p>
    <w:p>
      <w:pPr>
        <w:pStyle w:val="BodyText"/>
        <w:spacing w:line="256" w:lineRule="auto" w:before="272"/>
        <w:ind w:left="695" w:right="130"/>
      </w:pPr>
      <w:r>
        <w:rPr/>
        <w:pict>
          <v:shape style="position:absolute;margin-left:91.538452pt;margin-top:21.019434pt;width:4.55pt;height:4.55pt;mso-position-horizontal-relative:page;mso-position-vertical-relative:paragraph;z-index:15832576" coordorigin="1831,420" coordsize="91,91" path="m1876,510l1863,510,1853,506,1835,488,1831,478,1831,453,1835,442,1853,425,1863,420,1888,420,1899,425,1916,442,1921,453,1921,465,1921,478,1916,488,1899,506,1888,510,1876,510xe" filled="true" fillcolor="#000000" stroked="false">
            <v:path arrowok="t"/>
            <v:fill type="solid"/>
            <w10:wrap type="none"/>
          </v:shape>
        </w:pict>
      </w:r>
      <w:r>
        <w:rPr/>
        <w:t>Рекомендовано контролировать офисное АД еженедельно в течение первого цикла терапии ингибиторами фактора роста эндотелия сосудов (бевацизумаб, сорафениб, сунитиниб и пазопаниб) или ингибиторами протеасом (карфизомиб) у пациентов со злокачественными новообразованиями и каждые 2–3 нед. в дальнейшем [262]. После завершения первого цикла лечения, при условии стабильных значений АД, его следует измерять во время рутинных посещений врача или с помощью ДМАД.</w:t>
      </w:r>
    </w:p>
    <w:p>
      <w:pPr>
        <w:pStyle w:val="Heading3"/>
        <w:spacing w:before="273"/>
        <w:jc w:val="both"/>
      </w:pPr>
      <w:r>
        <w:rPr>
          <w:w w:val="105"/>
        </w:rPr>
        <w:t>ЕОК/ЕОАГ нет </w:t>
      </w:r>
      <w:r>
        <w:rPr>
          <w:b w:val="0"/>
          <w:w w:val="105"/>
        </w:rPr>
        <w:t>(</w:t>
      </w:r>
      <w:r>
        <w:rPr>
          <w:w w:val="105"/>
        </w:rPr>
        <w:t>УУР С, УДД 5)</w:t>
      </w:r>
    </w:p>
    <w:p>
      <w:pPr>
        <w:pStyle w:val="BodyText"/>
        <w:spacing w:line="256" w:lineRule="auto" w:before="296"/>
        <w:ind w:left="695" w:right="132"/>
      </w:pPr>
      <w:r>
        <w:rPr/>
        <w:pict>
          <v:shape style="position:absolute;margin-left:91.538452pt;margin-top:22.219439pt;width:4.55pt;height:4.55pt;mso-position-horizontal-relative:page;mso-position-vertical-relative:paragraph;z-index:15833088"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В случае развития АГ (</w:t>
      </w:r>
      <w:r>
        <w:rPr>
          <w:rFonts w:ascii="Times New Roman" w:hAnsi="Times New Roman"/>
        </w:rPr>
        <w:t>≥</w:t>
      </w:r>
      <w:r>
        <w:rPr/>
        <w:t>140/90 мм рт. ст.) или повышения ДАД на </w:t>
      </w:r>
      <w:r>
        <w:rPr>
          <w:rFonts w:ascii="Times New Roman" w:hAnsi="Times New Roman"/>
        </w:rPr>
        <w:t>≥</w:t>
      </w:r>
      <w:r>
        <w:rPr/>
        <w:t>20 мм рт. ст. по сравнению с исходным уровнем на фоне терапии ингибиторами фактора роста эндотелия сосудов (бевацизумаб, сорафениб, сунитиниб и пазопаниб) или ингибиторами протеасом (карфизомиб) у пациентов</w:t>
      </w:r>
    </w:p>
    <w:p>
      <w:pPr>
        <w:spacing w:after="0" w:line="256" w:lineRule="auto"/>
        <w:sectPr>
          <w:pgSz w:w="11900" w:h="16840"/>
          <w:pgMar w:top="0" w:bottom="0" w:left="1420" w:right="1520"/>
        </w:sectPr>
      </w:pPr>
    </w:p>
    <w:p>
      <w:pPr>
        <w:pStyle w:val="BodyText"/>
        <w:spacing w:line="256" w:lineRule="auto" w:before="16"/>
        <w:ind w:left="695" w:right="129" w:firstLine="673"/>
      </w:pPr>
      <w:r>
        <w:rPr/>
        <w:t>рекомендовано начать или оптимизировать антигипертензивную терапию. Предпочтительными являются блокаторы РААС и дигидропиридиновые АК[263, 264].</w:t>
      </w:r>
    </w:p>
    <w:p>
      <w:pPr>
        <w:pStyle w:val="Heading3"/>
        <w:spacing w:before="272"/>
      </w:pPr>
      <w:r>
        <w:rPr>
          <w:w w:val="105"/>
        </w:rPr>
        <w:t>ЕОК/ЕОАГ нет </w:t>
      </w:r>
      <w:r>
        <w:rPr>
          <w:b w:val="0"/>
          <w:w w:val="105"/>
        </w:rPr>
        <w:t>(</w:t>
      </w:r>
      <w:r>
        <w:rPr>
          <w:w w:val="105"/>
        </w:rPr>
        <w:t>УУР С, УДД 5)</w:t>
      </w:r>
    </w:p>
    <w:p>
      <w:pPr>
        <w:spacing w:line="256" w:lineRule="auto" w:before="296"/>
        <w:ind w:left="695" w:right="130" w:firstLine="0"/>
        <w:jc w:val="both"/>
        <w:rPr>
          <w:i/>
          <w:sz w:val="27"/>
        </w:rPr>
      </w:pPr>
      <w:r>
        <w:rPr>
          <w:b/>
          <w:w w:val="105"/>
          <w:sz w:val="27"/>
        </w:rPr>
        <w:t>Комментарии: </w:t>
      </w:r>
      <w:r>
        <w:rPr>
          <w:i/>
          <w:w w:val="105"/>
          <w:sz w:val="27"/>
        </w:rPr>
        <w:t>Хотя противоопухолевая терапия имеет </w:t>
      </w:r>
      <w:r>
        <w:rPr>
          <w:i/>
          <w:w w:val="105"/>
          <w:sz w:val="27"/>
        </w:rPr>
        <w:t>очевидный приоритет, следует рассмотреть возможность ее прерывания в случаях чрезмерно высоких показателей АД, несмотря на многокомпонентную терапию, при наличии симптомов, обусловленных АГ, или при развитии ССС, требующего немедленного снижения АД [263, 264].</w:t>
      </w:r>
    </w:p>
    <w:p>
      <w:pPr>
        <w:pStyle w:val="Heading3"/>
        <w:numPr>
          <w:ilvl w:val="2"/>
          <w:numId w:val="6"/>
        </w:numPr>
        <w:tabs>
          <w:tab w:pos="1791" w:val="left" w:leader="none"/>
          <w:tab w:pos="1792" w:val="left" w:leader="none"/>
          <w:tab w:pos="3532" w:val="left" w:leader="none"/>
          <w:tab w:pos="5924" w:val="left" w:leader="none"/>
          <w:tab w:pos="7477" w:val="left" w:leader="none"/>
        </w:tabs>
        <w:spacing w:line="256" w:lineRule="auto" w:before="272" w:after="0"/>
        <w:ind w:left="695" w:right="133" w:firstLine="0"/>
        <w:jc w:val="left"/>
      </w:pPr>
      <w:r>
        <w:rPr/>
        <w:t>Коррекция</w:t>
        <w:tab/>
        <w:t>сопутствующих</w:t>
        <w:tab/>
        <w:t>факторов</w:t>
        <w:tab/>
      </w:r>
      <w:r>
        <w:rPr>
          <w:spacing w:val="-5"/>
        </w:rPr>
        <w:t>сердечно- </w:t>
      </w:r>
      <w:r>
        <w:rPr/>
        <w:t>сосудистого</w:t>
      </w:r>
      <w:r>
        <w:rPr>
          <w:spacing w:val="4"/>
        </w:rPr>
        <w:t> </w:t>
      </w:r>
      <w:r>
        <w:rPr/>
        <w:t>риска</w:t>
      </w:r>
    </w:p>
    <w:p>
      <w:pPr>
        <w:pStyle w:val="BodyText"/>
        <w:spacing w:line="256" w:lineRule="auto" w:before="271"/>
        <w:ind w:left="695" w:right="131"/>
      </w:pPr>
      <w:r>
        <w:rPr/>
        <w:pict>
          <v:shape style="position:absolute;margin-left:91.538452pt;margin-top:20.969461pt;width:4.55pt;height:4.55pt;mso-position-horizontal-relative:page;mso-position-vertical-relative:paragraph;z-index:15833600"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t>Пациентам с АГ и очень высоким или экстремальным СС риском рекомендовано назначение статинов для достижения целевого ХС-ЛНП </w:t>
      </w:r>
      <w:r>
        <w:rPr>
          <w:rFonts w:ascii="Times New Roman" w:hAnsi="Times New Roman"/>
        </w:rPr>
        <w:t>≤</w:t>
      </w:r>
      <w:r>
        <w:rPr/>
        <w:t>1,4 ммоль/л или его снижение на </w:t>
      </w:r>
      <w:r>
        <w:rPr>
          <w:rFonts w:ascii="Times New Roman" w:hAnsi="Times New Roman"/>
        </w:rPr>
        <w:t>≥</w:t>
      </w:r>
      <w:r>
        <w:rPr/>
        <w:t>50% от исходного [265–267].</w:t>
      </w:r>
    </w:p>
    <w:p>
      <w:pPr>
        <w:pStyle w:val="Heading3"/>
        <w:spacing w:before="272"/>
      </w:pPr>
      <w:r>
        <w:rPr>
          <w:w w:val="105"/>
        </w:rPr>
        <w:t>ЕОК/ЕОАГ IВ (УУР А, УДД 1)</w:t>
      </w:r>
    </w:p>
    <w:p>
      <w:pPr>
        <w:pStyle w:val="BodyText"/>
        <w:spacing w:line="256" w:lineRule="auto" w:before="296"/>
        <w:ind w:left="695" w:right="134"/>
      </w:pPr>
      <w:r>
        <w:rPr/>
        <w:pict>
          <v:shape style="position:absolute;margin-left:91.538452pt;margin-top:22.219425pt;width:4.55pt;height:4.55pt;mso-position-horizontal-relative:page;mso-position-vertical-relative:paragraph;z-index:15834112"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Пациентам с АГ и высоким СС риском рекомендовано назначение статинов для достижения целевого ХС-ЛНП </w:t>
      </w:r>
      <w:r>
        <w:rPr>
          <w:rFonts w:ascii="Times New Roman" w:hAnsi="Times New Roman"/>
        </w:rPr>
        <w:t>≤</w:t>
      </w:r>
      <w:r>
        <w:rPr/>
        <w:t>1,8 ммоль/л или его снижение на </w:t>
      </w:r>
      <w:r>
        <w:rPr>
          <w:rFonts w:ascii="Times New Roman" w:hAnsi="Times New Roman"/>
        </w:rPr>
        <w:t>≥</w:t>
      </w:r>
      <w:r>
        <w:rPr/>
        <w:t>50% от исходного [266, 267].</w:t>
      </w:r>
    </w:p>
    <w:p>
      <w:pPr>
        <w:pStyle w:val="Heading3"/>
      </w:pPr>
      <w:r>
        <w:rPr>
          <w:w w:val="105"/>
        </w:rPr>
        <w:t>ЕОК/ЕОАГ IВ (УУР А, УДД 1)</w:t>
      </w:r>
    </w:p>
    <w:p>
      <w:pPr>
        <w:spacing w:line="256" w:lineRule="auto" w:before="296"/>
        <w:ind w:left="695" w:right="131" w:firstLine="0"/>
        <w:jc w:val="both"/>
        <w:rPr>
          <w:i/>
          <w:sz w:val="27"/>
        </w:rPr>
      </w:pPr>
      <w:r>
        <w:rPr>
          <w:b/>
          <w:w w:val="105"/>
          <w:sz w:val="27"/>
        </w:rPr>
        <w:t>Комментарии. </w:t>
      </w:r>
      <w:r>
        <w:rPr>
          <w:i/>
          <w:w w:val="105"/>
          <w:sz w:val="27"/>
        </w:rPr>
        <w:t>У пациентов с низким риском можно </w:t>
      </w:r>
      <w:r>
        <w:rPr>
          <w:i/>
          <w:w w:val="105"/>
          <w:sz w:val="27"/>
        </w:rPr>
        <w:t>рассмотреть назначение статинов для достижения целевого ХС- ЛНП </w:t>
      </w:r>
      <w:r>
        <w:rPr>
          <w:rFonts w:ascii="Times New Roman" w:hAnsi="Times New Roman"/>
          <w:i/>
          <w:w w:val="105"/>
          <w:sz w:val="27"/>
        </w:rPr>
        <w:t>≤</w:t>
      </w:r>
      <w:r>
        <w:rPr>
          <w:i/>
          <w:w w:val="105"/>
          <w:sz w:val="27"/>
        </w:rPr>
        <w:t>3,0 ммоль/л. У пациентов с умеренным риском можно </w:t>
      </w:r>
      <w:r>
        <w:rPr>
          <w:i/>
          <w:w w:val="105"/>
          <w:sz w:val="27"/>
        </w:rPr>
        <w:t>рассмотреть назначение статинов для достижения целевого ХС- ЛНП </w:t>
      </w:r>
      <w:r>
        <w:rPr>
          <w:rFonts w:ascii="Times New Roman" w:hAnsi="Times New Roman"/>
          <w:i/>
          <w:w w:val="105"/>
          <w:sz w:val="27"/>
        </w:rPr>
        <w:t>≤</w:t>
      </w:r>
      <w:r>
        <w:rPr>
          <w:i/>
          <w:w w:val="105"/>
          <w:sz w:val="27"/>
        </w:rPr>
        <w:t>2,6 ммоль/л.</w:t>
      </w:r>
    </w:p>
    <w:p>
      <w:pPr>
        <w:pStyle w:val="BodyText"/>
        <w:spacing w:line="256" w:lineRule="auto" w:before="272"/>
        <w:ind w:left="695" w:right="129"/>
      </w:pPr>
      <w:r>
        <w:rPr/>
        <w:pict>
          <v:shape style="position:absolute;margin-left:91.538452pt;margin-top:21.019444pt;width:4.55pt;height:4.55pt;mso-position-horizontal-relative:page;mso-position-vertical-relative:paragraph;z-index:15834624" coordorigin="1831,420" coordsize="91,91" path="m1876,510l1863,510,1853,506,1835,488,1831,478,1831,453,1835,442,1853,425,1863,420,1888,420,1899,425,1916,442,1921,453,1921,465,1921,478,1916,488,1899,506,1888,510,1876,510xe" filled="true" fillcolor="#000000" stroked="false">
            <v:path arrowok="t"/>
            <v:fill type="solid"/>
            <w10:wrap type="none"/>
          </v:shape>
        </w:pict>
      </w:r>
      <w:r>
        <w:rPr/>
        <w:t>Пациентам с АГ с целью вторичной профилактики СС событий рекомендуется назначение ацетилсалициловой кислоты в низких дозах [268].</w:t>
      </w:r>
    </w:p>
    <w:p>
      <w:pPr>
        <w:pStyle w:val="Heading3"/>
        <w:spacing w:before="272"/>
      </w:pPr>
      <w:r>
        <w:rPr>
          <w:w w:val="105"/>
        </w:rPr>
        <w:t>ЕОК/ЕОАГ IА (УУР А, УДД 1)</w:t>
      </w:r>
    </w:p>
    <w:p>
      <w:pPr>
        <w:pStyle w:val="BodyText"/>
        <w:spacing w:line="256" w:lineRule="auto" w:before="296"/>
        <w:ind w:left="695" w:right="131"/>
      </w:pPr>
      <w:r>
        <w:rPr/>
        <w:pict>
          <v:shape style="position:absolute;margin-left:91.538452pt;margin-top:22.21944pt;width:4.55pt;height:4.55pt;mso-position-horizontal-relative:page;mso-position-vertical-relative:paragraph;z-index:15835136"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Пациентам с АГ не рекомендуется назначение ацетилсалициловой</w:t>
      </w:r>
      <w:r>
        <w:rPr>
          <w:spacing w:val="-12"/>
        </w:rPr>
        <w:t> </w:t>
      </w:r>
      <w:r>
        <w:rPr/>
        <w:t>кислоты</w:t>
      </w:r>
      <w:r>
        <w:rPr>
          <w:spacing w:val="-12"/>
        </w:rPr>
        <w:t> </w:t>
      </w:r>
      <w:r>
        <w:rPr/>
        <w:t>с</w:t>
      </w:r>
      <w:r>
        <w:rPr>
          <w:spacing w:val="-12"/>
        </w:rPr>
        <w:t> </w:t>
      </w:r>
      <w:r>
        <w:rPr/>
        <w:t>целью</w:t>
      </w:r>
      <w:r>
        <w:rPr>
          <w:spacing w:val="-11"/>
        </w:rPr>
        <w:t> </w:t>
      </w:r>
      <w:r>
        <w:rPr/>
        <w:t>первичной</w:t>
      </w:r>
      <w:r>
        <w:rPr>
          <w:spacing w:val="-12"/>
        </w:rPr>
        <w:t> </w:t>
      </w:r>
      <w:r>
        <w:rPr/>
        <w:t>профилактики при отсутствии </w:t>
      </w:r>
      <w:r>
        <w:rPr>
          <w:spacing w:val="-3"/>
        </w:rPr>
        <w:t>ССЗ </w:t>
      </w:r>
      <w:r>
        <w:rPr/>
        <w:t>в связи с недоказанными преимуществами данного вмешательства в отношении снижения </w:t>
      </w:r>
      <w:r>
        <w:rPr>
          <w:spacing w:val="-4"/>
        </w:rPr>
        <w:t>СС </w:t>
      </w:r>
      <w:r>
        <w:rPr/>
        <w:t>риска</w:t>
      </w:r>
      <w:r>
        <w:rPr>
          <w:spacing w:val="15"/>
        </w:rPr>
        <w:t> </w:t>
      </w:r>
      <w:r>
        <w:rPr/>
        <w:t>[268].</w:t>
      </w:r>
    </w:p>
    <w:p>
      <w:pPr>
        <w:spacing w:after="0" w:line="256" w:lineRule="auto"/>
        <w:sectPr>
          <w:pgSz w:w="11900" w:h="16840"/>
          <w:pgMar w:top="0" w:bottom="280" w:left="1420" w:right="1520"/>
        </w:sectPr>
      </w:pPr>
    </w:p>
    <w:p>
      <w:pPr>
        <w:spacing w:before="16"/>
        <w:ind w:left="695" w:right="0" w:firstLine="0"/>
        <w:jc w:val="both"/>
        <w:rPr>
          <w:b/>
          <w:sz w:val="27"/>
        </w:rPr>
      </w:pPr>
      <w:r>
        <w:rPr>
          <w:b/>
          <w:w w:val="105"/>
          <w:sz w:val="27"/>
        </w:rPr>
        <w:t>ЕОК/ЕОАГ IIIA (УУР A, УДД 1)</w:t>
      </w:r>
    </w:p>
    <w:p>
      <w:pPr>
        <w:pStyle w:val="BodyText"/>
        <w:spacing w:before="0"/>
        <w:ind w:left="0"/>
        <w:jc w:val="left"/>
        <w:rPr>
          <w:b/>
          <w:sz w:val="36"/>
        </w:rPr>
      </w:pPr>
    </w:p>
    <w:p>
      <w:pPr>
        <w:pStyle w:val="Heading1"/>
        <w:numPr>
          <w:ilvl w:val="0"/>
          <w:numId w:val="2"/>
        </w:numPr>
        <w:tabs>
          <w:tab w:pos="924" w:val="left" w:leader="none"/>
        </w:tabs>
        <w:spacing w:line="177" w:lineRule="auto" w:before="322" w:after="0"/>
        <w:ind w:left="380" w:right="1286" w:firstLine="0"/>
        <w:jc w:val="left"/>
      </w:pPr>
      <w:r>
        <w:rPr>
          <w:spacing w:val="-3"/>
        </w:rPr>
        <w:t>Неотложные</w:t>
      </w:r>
      <w:r>
        <w:rPr>
          <w:spacing w:val="-52"/>
        </w:rPr>
        <w:t> </w:t>
      </w:r>
      <w:r>
        <w:rPr/>
        <w:t>состояния</w:t>
      </w:r>
      <w:r>
        <w:rPr>
          <w:spacing w:val="-51"/>
        </w:rPr>
        <w:t> </w:t>
      </w:r>
      <w:r>
        <w:rPr>
          <w:spacing w:val="-4"/>
        </w:rPr>
        <w:t>при </w:t>
      </w:r>
      <w:r>
        <w:rPr/>
        <w:t>артериальной гипертензии: гипертонический</w:t>
      </w:r>
      <w:r>
        <w:rPr>
          <w:spacing w:val="8"/>
        </w:rPr>
        <w:t> </w:t>
      </w:r>
      <w:r>
        <w:rPr/>
        <w:t>криз</w:t>
      </w:r>
    </w:p>
    <w:p>
      <w:pPr>
        <w:pStyle w:val="BodyText"/>
        <w:tabs>
          <w:tab w:pos="2369" w:val="left" w:leader="none"/>
          <w:tab w:pos="4457" w:val="left" w:leader="none"/>
          <w:tab w:pos="4681" w:val="left" w:leader="none"/>
          <w:tab w:pos="7085" w:val="left" w:leader="none"/>
          <w:tab w:pos="7791" w:val="left" w:leader="none"/>
        </w:tabs>
        <w:spacing w:line="256" w:lineRule="auto" w:before="422"/>
        <w:ind w:left="695" w:right="129"/>
      </w:pPr>
      <w:r>
        <w:rPr/>
        <w:t>Гипертонический криз (ГК) — cостояние, при котором значительное повышение АД (до 3 степени) ассоциируется с острым</w:t>
        <w:tab/>
        <w:t>поражением</w:t>
        <w:tab/>
        <w:tab/>
      </w:r>
      <w:r>
        <w:rPr>
          <w:spacing w:val="-3"/>
        </w:rPr>
        <w:t>органов-мишеней,</w:t>
        <w:tab/>
        <w:tab/>
      </w:r>
      <w:r>
        <w:rPr>
          <w:spacing w:val="-4"/>
        </w:rPr>
        <w:t>нередко </w:t>
      </w:r>
      <w:r>
        <w:rPr/>
        <w:t>жизнеугрожающим,</w:t>
        <w:tab/>
        <w:t>требующее</w:t>
        <w:tab/>
      </w:r>
      <w:r>
        <w:rPr>
          <w:spacing w:val="-3"/>
        </w:rPr>
        <w:t>немедленных </w:t>
      </w:r>
      <w:r>
        <w:rPr/>
        <w:t>квалифицированных действий, направленных на снижение АД, обычно с помощью внутривенной терапии [269]. При определении тяжести поражения органов скорость и степень повышения АД могут быть так же важны, как и абсолютный уровень АД [270]. Можно выделить следующие типичные проявления гипертонических</w:t>
      </w:r>
      <w:r>
        <w:rPr>
          <w:spacing w:val="-3"/>
        </w:rPr>
        <w:t> </w:t>
      </w:r>
      <w:r>
        <w:rPr/>
        <w:t>кризов:</w:t>
      </w:r>
    </w:p>
    <w:p>
      <w:pPr>
        <w:pStyle w:val="BodyText"/>
        <w:tabs>
          <w:tab w:pos="4551" w:val="left" w:leader="none"/>
          <w:tab w:pos="6125" w:val="left" w:leader="none"/>
        </w:tabs>
        <w:spacing w:line="256" w:lineRule="auto" w:before="274"/>
        <w:ind w:left="695" w:right="128"/>
      </w:pPr>
      <w:r>
        <w:rPr/>
        <w:pict>
          <v:shape style="position:absolute;margin-left:91.538452pt;margin-top:21.119446pt;width:4.55pt;height:4.55pt;mso-position-horizontal-relative:page;mso-position-vertical-relative:paragraph;z-index:15835648" coordorigin="1831,422" coordsize="91,91" path="m1876,512l1863,512,1853,508,1835,490,1831,480,1831,455,1835,444,1853,427,1863,422,1888,422,1899,427,1916,444,1921,455,1921,467,1921,480,1916,490,1899,508,1888,512,1876,512xe" filled="true" fillcolor="#000000" stroked="false">
            <v:path arrowok="t"/>
            <v:fill type="solid"/>
            <w10:wrap type="none"/>
          </v:shape>
        </w:pict>
      </w:r>
      <w:r>
        <w:rPr/>
        <w:t>Пациенты </w:t>
      </w:r>
      <w:r>
        <w:rPr>
          <w:spacing w:val="-3"/>
        </w:rPr>
        <w:t>со </w:t>
      </w:r>
      <w:r>
        <w:rPr/>
        <w:t>злокачественной АГ: тяжелая АГ (чаще 3-й степени) ассоциируется с изменениями на глазном дне (кровоизлияния и/или отек соска зрительного нерва), микроангиопатией</w:t>
        <w:tab/>
        <w:t>и</w:t>
        <w:tab/>
      </w:r>
      <w:r>
        <w:rPr>
          <w:spacing w:val="-2"/>
        </w:rPr>
        <w:t>диссеминированным </w:t>
      </w:r>
      <w:r>
        <w:rPr/>
        <w:t>внутрисусосудистым свертыванием. Может приводить к энцефалопатии (примерно в 15% случаев) [271], ОСН, острому ухудшению функции почек</w:t>
      </w:r>
      <w:r>
        <w:rPr>
          <w:spacing w:val="-4"/>
        </w:rPr>
        <w:t> </w:t>
      </w:r>
      <w:r>
        <w:rPr/>
        <w:t>[272–275].</w:t>
      </w:r>
    </w:p>
    <w:p>
      <w:pPr>
        <w:pStyle w:val="BodyText"/>
        <w:spacing w:line="256" w:lineRule="auto" w:before="3"/>
        <w:ind w:left="695" w:right="128"/>
      </w:pPr>
      <w:r>
        <w:rPr/>
        <w:pict>
          <v:shape style="position:absolute;margin-left:91.538452pt;margin-top:7.569448pt;width:4.55pt;height:4.55pt;mso-position-horizontal-relative:page;mso-position-vertical-relative:paragraph;z-index:15836160" coordorigin="1831,151" coordsize="91,91" path="m1876,241l1863,241,1853,237,1835,219,1831,209,1831,184,1835,173,1853,156,1863,151,1888,151,1899,156,1916,173,1921,184,1921,196,1921,209,1916,219,1899,237,1888,241,1876,241xe" filled="true" fillcolor="#000000" stroked="false">
            <v:path arrowok="t"/>
            <v:fill type="solid"/>
            <w10:wrap type="none"/>
          </v:shape>
        </w:pict>
      </w:r>
      <w:r>
        <w:rPr/>
        <w:t>Пациенты с тяжелой АГ, ассоциированной с другими клиническими состояниями, требующими неотложного снижения АД: расслоение аорты, острая ишемия миокарда, ОСН</w:t>
      </w:r>
    </w:p>
    <w:p>
      <w:pPr>
        <w:pStyle w:val="BodyText"/>
        <w:spacing w:line="256" w:lineRule="auto" w:before="2"/>
        <w:ind w:left="695" w:right="129"/>
      </w:pPr>
      <w:r>
        <w:rPr/>
        <w:pict>
          <v:shape style="position:absolute;margin-left:91.538452pt;margin-top:7.519443pt;width:4.55pt;height:4.55pt;mso-position-horizontal-relative:page;mso-position-vertical-relative:paragraph;z-index:15836672" coordorigin="1831,150" coordsize="91,91" path="m1888,240l1863,240,1853,236,1835,218,1831,208,1831,183,1835,172,1853,155,1863,150,1888,150,1899,155,1916,172,1921,183,1921,195,1921,208,1916,218,1899,236,1888,240xe" filled="true" fillcolor="#000000" stroked="false">
            <v:path arrowok="t"/>
            <v:fill type="solid"/>
            <w10:wrap type="none"/>
          </v:shape>
        </w:pict>
      </w:r>
      <w:r>
        <w:rPr/>
        <w:t>Пациенты с внезапным повышением АД на фоне феохромоцитомы, ассоциированным с ПОМ</w:t>
      </w:r>
    </w:p>
    <w:p>
      <w:pPr>
        <w:pStyle w:val="BodyText"/>
        <w:spacing w:before="0"/>
        <w:ind w:left="695"/>
      </w:pPr>
      <w:r>
        <w:rPr/>
        <w:pict>
          <v:shape style="position:absolute;margin-left:91.538452pt;margin-top:7.419433pt;width:4.55pt;height:4.55pt;mso-position-horizontal-relative:page;mso-position-vertical-relative:paragraph;z-index:15837184" coordorigin="1831,148" coordsize="91,91" path="m1876,238l1863,238,1853,234,1835,216,1831,206,1831,181,1835,170,1853,153,1863,148,1888,148,1899,153,1916,170,1921,181,1921,193,1921,206,1916,216,1899,234,1888,238,1876,238xe" filled="true" fillcolor="#000000" stroked="false">
            <v:path arrowok="t"/>
            <v:fill type="solid"/>
            <w10:wrap type="none"/>
          </v:shape>
        </w:pict>
      </w:r>
      <w:r>
        <w:rPr/>
        <w:t>Беременные с тяжелой АГ или преэклампсией.</w:t>
      </w:r>
    </w:p>
    <w:p>
      <w:pPr>
        <w:pStyle w:val="BodyText"/>
        <w:spacing w:line="256" w:lineRule="auto" w:before="297"/>
        <w:ind w:left="695" w:right="129"/>
      </w:pPr>
      <w:r>
        <w:rPr/>
        <w:t>Ранее использовавшийся термин «неосложненный гипертонический криз», описывавший пациентов со значительным повышением АД, но без признаков острых изменений в органах-мишенях [276], в настоящее время не рекомендован к использованию. В данной группе пациентов снижение АД обычно может проводиться в амбулаторных условиях, чаще всего путем назначения пероральной терапии в соответствии со стандартным алгоритмом, представленным выше. У этих пациентов необходимо проводить строгий контроль цифр АД до достижения целевых значений.</w:t>
      </w:r>
    </w:p>
    <w:p>
      <w:pPr>
        <w:spacing w:after="0" w:line="256" w:lineRule="auto"/>
        <w:sectPr>
          <w:pgSz w:w="11900" w:h="16840"/>
          <w:pgMar w:top="0" w:bottom="0" w:left="1420" w:right="1520"/>
        </w:sectPr>
      </w:pPr>
    </w:p>
    <w:p>
      <w:pPr>
        <w:pStyle w:val="BodyText"/>
        <w:spacing w:line="256" w:lineRule="auto" w:before="16"/>
        <w:ind w:left="695" w:right="140"/>
      </w:pPr>
      <w:r>
        <w:rPr/>
        <w:pict>
          <v:shape style="position:absolute;margin-left:91.538452pt;margin-top:8.219431pt;width:4.55pt;height:4.55pt;mso-position-horizontal-relative:page;mso-position-vertical-relative:paragraph;z-index:15837696" coordorigin="1831,164" coordsize="91,91" path="m1888,254l1863,254,1853,250,1835,232,1831,222,1831,197,1835,186,1853,169,1863,164,1888,164,1899,169,1916,186,1921,197,1921,209,1921,222,1916,232,1899,250,1888,254xe" filled="true" fillcolor="#000000" stroked="false">
            <v:path arrowok="t"/>
            <v:fill type="solid"/>
            <w10:wrap type="none"/>
          </v:shape>
        </w:pict>
      </w:r>
      <w:r>
        <w:rPr/>
        <w:t>Лечение пациентов с ГК рекомендуется проводить в отделении неотложной кардиологии или палате интенсивной терапии [22].</w:t>
      </w:r>
    </w:p>
    <w:p>
      <w:pPr>
        <w:pStyle w:val="Heading3"/>
        <w:spacing w:before="272"/>
      </w:pPr>
      <w:r>
        <w:rPr>
          <w:w w:val="105"/>
        </w:rPr>
        <w:t>ЕОК/ЕОАГ нет </w:t>
      </w:r>
      <w:r>
        <w:rPr>
          <w:b w:val="0"/>
          <w:w w:val="105"/>
        </w:rPr>
        <w:t>(</w:t>
      </w:r>
      <w:r>
        <w:rPr>
          <w:w w:val="105"/>
        </w:rPr>
        <w:t>УУР C, УДД 5)</w:t>
      </w:r>
    </w:p>
    <w:p>
      <w:pPr>
        <w:spacing w:line="256" w:lineRule="auto" w:before="296"/>
        <w:ind w:left="695" w:right="128" w:firstLine="0"/>
        <w:jc w:val="both"/>
        <w:rPr>
          <w:i/>
          <w:sz w:val="27"/>
        </w:rPr>
      </w:pPr>
      <w:r>
        <w:rPr>
          <w:b/>
          <w:w w:val="105"/>
          <w:sz w:val="27"/>
        </w:rPr>
        <w:t>Комментарии. </w:t>
      </w:r>
      <w:r>
        <w:rPr>
          <w:i/>
          <w:w w:val="105"/>
          <w:sz w:val="27"/>
        </w:rPr>
        <w:t>При наличии инсульта целесообразна </w:t>
      </w:r>
      <w:r>
        <w:rPr>
          <w:i/>
          <w:w w:val="105"/>
          <w:sz w:val="27"/>
        </w:rPr>
        <w:t>безотлагательная госпитализация в палату интенсивной терапии неврологического отделения или нейрореанимацию сосудистого центра.</w:t>
      </w:r>
    </w:p>
    <w:p>
      <w:pPr>
        <w:pStyle w:val="BodyText"/>
        <w:spacing w:line="256" w:lineRule="auto" w:before="271"/>
        <w:ind w:left="695" w:right="131"/>
      </w:pPr>
      <w:r>
        <w:rPr/>
        <w:pict>
          <v:shape style="position:absolute;margin-left:91.538452pt;margin-top:20.969446pt;width:4.55pt;height:4.55pt;mso-position-horizontal-relative:page;mso-position-vertical-relative:paragraph;z-index:15838208"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t>Осмотр врачом-терапевтом или врачом-кардиологом рекомендуется проводить не позднее 10 минут от момента поступления в стационар [22].</w:t>
      </w:r>
    </w:p>
    <w:p>
      <w:pPr>
        <w:pStyle w:val="Heading3"/>
        <w:spacing w:before="272"/>
      </w:pPr>
      <w:r>
        <w:rPr>
          <w:w w:val="105"/>
        </w:rPr>
        <w:t>ЕОК/ЕОАГ нет </w:t>
      </w:r>
      <w:r>
        <w:rPr>
          <w:b w:val="0"/>
          <w:w w:val="105"/>
        </w:rPr>
        <w:t>(</w:t>
      </w:r>
      <w:r>
        <w:rPr>
          <w:w w:val="105"/>
        </w:rPr>
        <w:t>УУР C, УДД 5)</w:t>
      </w:r>
    </w:p>
    <w:p>
      <w:pPr>
        <w:pStyle w:val="BodyText"/>
        <w:spacing w:line="256" w:lineRule="auto" w:before="296"/>
        <w:ind w:left="695" w:right="141"/>
      </w:pPr>
      <w:r>
        <w:rPr/>
        <w:pict>
          <v:shape style="position:absolute;margin-left:91.538452pt;margin-top:22.219452pt;width:4.55pt;height:4.55pt;mso-position-horizontal-relative:page;mso-position-vertical-relative:paragraph;z-index:15838720"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ЭКГ рекомендуется проводить при ГК не позднее 15 минут от момента поступления в стационар [22].</w:t>
      </w:r>
    </w:p>
    <w:p>
      <w:pPr>
        <w:pStyle w:val="Heading3"/>
      </w:pPr>
      <w:r>
        <w:rPr>
          <w:w w:val="105"/>
        </w:rPr>
        <w:t>ЕОК/ЕОАГ нет </w:t>
      </w:r>
      <w:r>
        <w:rPr>
          <w:b w:val="0"/>
          <w:w w:val="105"/>
        </w:rPr>
        <w:t>(</w:t>
      </w:r>
      <w:r>
        <w:rPr>
          <w:w w:val="105"/>
        </w:rPr>
        <w:t>УУР C, УДД 5)</w:t>
      </w:r>
    </w:p>
    <w:p>
      <w:pPr>
        <w:spacing w:line="256" w:lineRule="auto" w:before="296"/>
        <w:ind w:left="695" w:right="128" w:firstLine="0"/>
        <w:jc w:val="both"/>
        <w:rPr>
          <w:i/>
          <w:sz w:val="27"/>
        </w:rPr>
      </w:pPr>
      <w:r>
        <w:rPr>
          <w:b/>
          <w:w w:val="105"/>
          <w:sz w:val="27"/>
        </w:rPr>
        <w:t>Комментарии. </w:t>
      </w:r>
      <w:r>
        <w:rPr>
          <w:i/>
          <w:w w:val="105"/>
          <w:sz w:val="27"/>
        </w:rPr>
        <w:t>Рутинное обследование при всех возможных </w:t>
      </w:r>
      <w:r>
        <w:rPr>
          <w:i/>
          <w:w w:val="105"/>
          <w:sz w:val="27"/>
        </w:rPr>
        <w:t>вариантах криза включает фундоскопию, ЭКГ, общий анализ крови, определение фибриногена, креатинина, рСКФ, электролитов, ЛДГ, гаптоглобин, оценку альбуминурии и микроскопию осадка мочи, тест на беременность у женщин детородного возраста. Специфическое обследование по показаниям может включать определение тропонина, МВ-КФК, НУП, рентгенографию органов грудной клетки, </w:t>
      </w:r>
      <w:r>
        <w:rPr>
          <w:i/>
          <w:spacing w:val="-3"/>
          <w:w w:val="105"/>
          <w:sz w:val="27"/>
        </w:rPr>
        <w:t>ЭХО-КГ, </w:t>
      </w:r>
      <w:r>
        <w:rPr>
          <w:i/>
          <w:w w:val="105"/>
          <w:sz w:val="27"/>
        </w:rPr>
        <w:t>КТ- ангиографию аорты и ее ветвей, КТ или МРТ головного мозга, УЗИ почек, исследование мочи на наркотики (метамфетамины, кокаин)</w:t>
      </w:r>
      <w:r>
        <w:rPr>
          <w:i/>
          <w:spacing w:val="-8"/>
          <w:w w:val="105"/>
          <w:sz w:val="27"/>
        </w:rPr>
        <w:t> </w:t>
      </w:r>
      <w:r>
        <w:rPr>
          <w:i/>
          <w:w w:val="105"/>
          <w:sz w:val="27"/>
        </w:rPr>
        <w:t>[269].</w:t>
      </w:r>
    </w:p>
    <w:p>
      <w:pPr>
        <w:pStyle w:val="BodyText"/>
        <w:spacing w:line="256" w:lineRule="auto" w:before="274"/>
        <w:ind w:left="695" w:right="133"/>
      </w:pPr>
      <w:r>
        <w:rPr/>
        <w:pict>
          <v:shape style="position:absolute;margin-left:91.538452pt;margin-top:21.119436pt;width:4.55pt;height:4.55pt;mso-position-horizontal-relative:page;mso-position-vertical-relative:paragraph;z-index:15839232" coordorigin="1831,422" coordsize="91,91" path="m1876,512l1863,512,1853,508,1835,490,1831,480,1831,455,1835,444,1853,427,1863,422,1888,422,1899,427,1916,444,1921,455,1921,467,1921,480,1916,490,1899,508,1888,512,1876,512xe" filled="true" fillcolor="#000000" stroked="false">
            <v:path arrowok="t"/>
            <v:fill type="solid"/>
            <w10:wrap type="none"/>
          </v:shape>
        </w:pict>
      </w:r>
      <w:r>
        <w:rPr/>
        <w:t>При ГК терапию антигипертензивными лекарственными препаратами внутривенно рекомендуется проводить не позднее 15 минут </w:t>
      </w:r>
      <w:r>
        <w:rPr>
          <w:spacing w:val="-3"/>
        </w:rPr>
        <w:t>от </w:t>
      </w:r>
      <w:r>
        <w:rPr/>
        <w:t>момента поступления в стационар [22, 278].</w:t>
      </w:r>
    </w:p>
    <w:p>
      <w:pPr>
        <w:pStyle w:val="Heading3"/>
        <w:spacing w:before="272"/>
      </w:pPr>
      <w:r>
        <w:rPr>
          <w:w w:val="105"/>
        </w:rPr>
        <w:t>ЕОК/ЕОАГ нет </w:t>
      </w:r>
      <w:r>
        <w:rPr>
          <w:b w:val="0"/>
          <w:w w:val="105"/>
        </w:rPr>
        <w:t>(</w:t>
      </w:r>
      <w:r>
        <w:rPr>
          <w:w w:val="105"/>
        </w:rPr>
        <w:t>УУР A, УДД 1)</w:t>
      </w:r>
    </w:p>
    <w:p>
      <w:pPr>
        <w:spacing w:line="256" w:lineRule="auto" w:before="296"/>
        <w:ind w:left="695" w:right="138" w:firstLine="0"/>
        <w:jc w:val="both"/>
        <w:rPr>
          <w:i/>
          <w:sz w:val="27"/>
        </w:rPr>
      </w:pPr>
      <w:r>
        <w:rPr>
          <w:b/>
          <w:w w:val="105"/>
          <w:sz w:val="27"/>
        </w:rPr>
        <w:t>Комментарии. </w:t>
      </w:r>
      <w:r>
        <w:rPr>
          <w:i/>
          <w:w w:val="105"/>
          <w:sz w:val="27"/>
        </w:rPr>
        <w:t>При лечении гипертонического криза для </w:t>
      </w:r>
      <w:r>
        <w:rPr>
          <w:i/>
          <w:w w:val="105"/>
          <w:sz w:val="27"/>
        </w:rPr>
        <w:t>своевременной коррекции терапии в соответствии с изменениями АД оптимальным представляется в/в назначение</w:t>
      </w:r>
    </w:p>
    <w:p>
      <w:pPr>
        <w:spacing w:after="0" w:line="256" w:lineRule="auto"/>
        <w:jc w:val="both"/>
        <w:rPr>
          <w:sz w:val="27"/>
        </w:rPr>
        <w:sectPr>
          <w:pgSz w:w="11900" w:h="16840"/>
          <w:pgMar w:top="0" w:bottom="280" w:left="1420" w:right="1520"/>
        </w:sectPr>
      </w:pPr>
    </w:p>
    <w:p>
      <w:pPr>
        <w:spacing w:line="256" w:lineRule="auto" w:before="16"/>
        <w:ind w:left="695" w:right="131" w:firstLine="0"/>
        <w:jc w:val="both"/>
        <w:rPr>
          <w:i/>
          <w:sz w:val="27"/>
        </w:rPr>
      </w:pPr>
      <w:r>
        <w:rPr>
          <w:i/>
          <w:w w:val="105"/>
          <w:sz w:val="27"/>
        </w:rPr>
        <w:t>препарата с коротким периодом полувыведения. Быстрое </w:t>
      </w:r>
      <w:r>
        <w:rPr>
          <w:i/>
          <w:w w:val="105"/>
          <w:sz w:val="27"/>
        </w:rPr>
        <w:t>неконтролируемое снижение АД не рекомендовано, так как может привести к осложнениям [277].</w:t>
      </w:r>
    </w:p>
    <w:p>
      <w:pPr>
        <w:spacing w:line="256" w:lineRule="auto" w:before="272"/>
        <w:ind w:left="695" w:right="128" w:firstLine="0"/>
        <w:jc w:val="both"/>
        <w:rPr>
          <w:i/>
          <w:sz w:val="27"/>
        </w:rPr>
      </w:pPr>
      <w:r>
        <w:rPr>
          <w:i/>
          <w:w w:val="105"/>
          <w:sz w:val="27"/>
        </w:rPr>
        <w:t>У пациентов со злокачественной АГ можно рассмотреть </w:t>
      </w:r>
      <w:r>
        <w:rPr>
          <w:i/>
          <w:w w:val="105"/>
          <w:sz w:val="27"/>
        </w:rPr>
        <w:t>осторожное пероральное назначение иАПФ, </w:t>
      </w:r>
      <w:r>
        <w:rPr>
          <w:i/>
          <w:spacing w:val="-7"/>
          <w:w w:val="105"/>
          <w:sz w:val="27"/>
        </w:rPr>
        <w:t>БРА </w:t>
      </w:r>
      <w:r>
        <w:rPr>
          <w:i/>
          <w:w w:val="105"/>
          <w:sz w:val="27"/>
        </w:rPr>
        <w:t>или ББ, так как почечная ишемия приводит к активации </w:t>
      </w:r>
      <w:r>
        <w:rPr>
          <w:i/>
          <w:spacing w:val="-7"/>
          <w:w w:val="105"/>
          <w:sz w:val="27"/>
        </w:rPr>
        <w:t>РААС. </w:t>
      </w:r>
      <w:r>
        <w:rPr>
          <w:i/>
          <w:w w:val="105"/>
          <w:sz w:val="27"/>
        </w:rPr>
        <w:t>Лечение следует начинать с очень низких доз в условиях стационара, поскольку такие пациенты могут быть очень чувствительны к данным препаратам.</w:t>
      </w:r>
    </w:p>
    <w:p>
      <w:pPr>
        <w:spacing w:line="256" w:lineRule="auto" w:before="272"/>
        <w:ind w:left="695" w:right="134" w:firstLine="0"/>
        <w:jc w:val="both"/>
        <w:rPr>
          <w:i/>
          <w:sz w:val="27"/>
        </w:rPr>
      </w:pPr>
      <w:r>
        <w:rPr>
          <w:i/>
          <w:w w:val="105"/>
          <w:sz w:val="27"/>
        </w:rPr>
        <w:t>Для лечения ГК используются следующие парентеральные </w:t>
      </w:r>
      <w:r>
        <w:rPr>
          <w:i/>
          <w:w w:val="105"/>
          <w:sz w:val="27"/>
        </w:rPr>
        <w:t>препараты:</w:t>
      </w:r>
    </w:p>
    <w:p>
      <w:pPr>
        <w:spacing w:before="271"/>
        <w:ind w:left="695" w:right="0" w:firstLine="0"/>
        <w:jc w:val="left"/>
        <w:rPr>
          <w:i/>
          <w:sz w:val="27"/>
        </w:rPr>
      </w:pPr>
      <w:r>
        <w:rPr/>
        <w:pict>
          <v:shape style="position:absolute;margin-left:91.538452pt;margin-top:20.969461pt;width:4.55pt;height:4.55pt;mso-position-horizontal-relative:page;mso-position-vertical-relative:paragraph;z-index:15839744"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i/>
          <w:w w:val="110"/>
          <w:sz w:val="27"/>
        </w:rPr>
        <w:t>Вазодилататоры:</w:t>
      </w:r>
    </w:p>
    <w:p>
      <w:pPr>
        <w:tabs>
          <w:tab w:pos="3252" w:val="left" w:leader="none"/>
          <w:tab w:pos="5773" w:val="left" w:leader="none"/>
          <w:tab w:pos="6560" w:val="left" w:leader="none"/>
          <w:tab w:pos="7436" w:val="left" w:leader="none"/>
          <w:tab w:pos="7927" w:val="left" w:leader="none"/>
        </w:tabs>
        <w:spacing w:line="256" w:lineRule="auto" w:before="26"/>
        <w:ind w:left="1011" w:right="130" w:firstLine="0"/>
        <w:jc w:val="left"/>
        <w:rPr>
          <w:i/>
          <w:sz w:val="27"/>
        </w:rPr>
      </w:pPr>
      <w:r>
        <w:rPr/>
        <w:drawing>
          <wp:anchor distT="0" distB="0" distL="0" distR="0" allowOverlap="1" layoutInCell="1" locked="0" behindDoc="0" simplePos="0" relativeHeight="15840256">
            <wp:simplePos x="0" y="0"/>
            <wp:positionH relativeFrom="page">
              <wp:posOffset>1357883</wp:posOffset>
            </wp:positionH>
            <wp:positionV relativeFrom="paragraph">
              <wp:posOffset>105972</wp:posOffset>
            </wp:positionV>
            <wp:extent cx="66703" cy="66703"/>
            <wp:effectExtent l="0" t="0" r="0" b="0"/>
            <wp:wrapNone/>
            <wp:docPr id="19" name="image4.png"/>
            <wp:cNvGraphicFramePr>
              <a:graphicFrameLocks noChangeAspect="1"/>
            </wp:cNvGraphicFramePr>
            <a:graphic>
              <a:graphicData uri="http://schemas.openxmlformats.org/drawingml/2006/picture">
                <pic:pic>
                  <pic:nvPicPr>
                    <pic:cNvPr id="20" name="image4.png"/>
                    <pic:cNvPicPr/>
                  </pic:nvPicPr>
                  <pic:blipFill>
                    <a:blip r:embed="rId8" cstate="print"/>
                    <a:stretch>
                      <a:fillRect/>
                    </a:stretch>
                  </pic:blipFill>
                  <pic:spPr>
                    <a:xfrm>
                      <a:off x="0" y="0"/>
                      <a:ext cx="66703" cy="66703"/>
                    </a:xfrm>
                    <a:prstGeom prst="rect">
                      <a:avLst/>
                    </a:prstGeom>
                  </pic:spPr>
                </pic:pic>
              </a:graphicData>
            </a:graphic>
          </wp:anchor>
        </w:drawing>
      </w:r>
      <w:r>
        <w:rPr>
          <w:i/>
          <w:w w:val="105"/>
          <w:sz w:val="27"/>
        </w:rPr>
        <w:t>нитроглицерин</w:t>
        <w:tab/>
        <w:t>(предпочтителен</w:t>
        <w:tab/>
        <w:t>при</w:t>
        <w:tab/>
      </w:r>
      <w:r>
        <w:rPr>
          <w:i/>
          <w:spacing w:val="-4"/>
          <w:w w:val="105"/>
          <w:sz w:val="27"/>
        </w:rPr>
        <w:t>ОКС</w:t>
        <w:tab/>
      </w:r>
      <w:r>
        <w:rPr>
          <w:i/>
          <w:w w:val="105"/>
          <w:sz w:val="27"/>
        </w:rPr>
        <w:t>и</w:t>
        <w:tab/>
      </w:r>
      <w:r>
        <w:rPr>
          <w:i/>
          <w:spacing w:val="-3"/>
          <w:w w:val="105"/>
          <w:sz w:val="27"/>
        </w:rPr>
        <w:t>острой </w:t>
      </w:r>
      <w:r>
        <w:rPr>
          <w:i/>
          <w:w w:val="105"/>
          <w:sz w:val="27"/>
        </w:rPr>
        <w:t>левожелудочковой</w:t>
      </w:r>
      <w:r>
        <w:rPr>
          <w:i/>
          <w:spacing w:val="-4"/>
          <w:w w:val="105"/>
          <w:sz w:val="27"/>
        </w:rPr>
        <w:t> </w:t>
      </w:r>
      <w:r>
        <w:rPr>
          <w:i/>
          <w:w w:val="105"/>
          <w:sz w:val="27"/>
        </w:rPr>
        <w:t>недостаточности);</w:t>
      </w:r>
    </w:p>
    <w:p>
      <w:pPr>
        <w:tabs>
          <w:tab w:pos="2945" w:val="left" w:leader="none"/>
          <w:tab w:pos="4096" w:val="left" w:leader="none"/>
          <w:tab w:pos="5533" w:val="left" w:leader="none"/>
          <w:tab w:pos="7293" w:val="left" w:leader="none"/>
          <w:tab w:pos="8386" w:val="left" w:leader="none"/>
        </w:tabs>
        <w:spacing w:line="256" w:lineRule="auto" w:before="1"/>
        <w:ind w:left="1011" w:right="129" w:firstLine="0"/>
        <w:jc w:val="left"/>
        <w:rPr>
          <w:i/>
          <w:sz w:val="27"/>
        </w:rPr>
      </w:pPr>
      <w:r>
        <w:rPr/>
        <w:drawing>
          <wp:anchor distT="0" distB="0" distL="0" distR="0" allowOverlap="1" layoutInCell="1" locked="0" behindDoc="0" simplePos="0" relativeHeight="15840768">
            <wp:simplePos x="0" y="0"/>
            <wp:positionH relativeFrom="page">
              <wp:posOffset>1357883</wp:posOffset>
            </wp:positionH>
            <wp:positionV relativeFrom="paragraph">
              <wp:posOffset>90097</wp:posOffset>
            </wp:positionV>
            <wp:extent cx="66703" cy="66703"/>
            <wp:effectExtent l="0" t="0" r="0" b="0"/>
            <wp:wrapNone/>
            <wp:docPr id="21" name="image5.png"/>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66703" cy="66703"/>
                    </a:xfrm>
                    <a:prstGeom prst="rect">
                      <a:avLst/>
                    </a:prstGeom>
                  </pic:spPr>
                </pic:pic>
              </a:graphicData>
            </a:graphic>
          </wp:anchor>
        </w:drawing>
      </w:r>
      <w:r>
        <w:rPr>
          <w:i/>
          <w:w w:val="105"/>
          <w:sz w:val="27"/>
        </w:rPr>
        <w:t>нитропруссид</w:t>
        <w:tab/>
        <w:t>натрия</w:t>
        <w:tab/>
        <w:t>(является</w:t>
        <w:tab/>
        <w:t>препаратом</w:t>
        <w:tab/>
        <w:t>выбора</w:t>
        <w:tab/>
      </w:r>
      <w:r>
        <w:rPr>
          <w:i/>
          <w:spacing w:val="-6"/>
          <w:sz w:val="27"/>
        </w:rPr>
        <w:t>при </w:t>
      </w:r>
      <w:r>
        <w:rPr>
          <w:i/>
          <w:w w:val="105"/>
          <w:sz w:val="27"/>
        </w:rPr>
        <w:t>острой гипертонической</w:t>
      </w:r>
      <w:r>
        <w:rPr>
          <w:i/>
          <w:spacing w:val="-11"/>
          <w:w w:val="105"/>
          <w:sz w:val="27"/>
        </w:rPr>
        <w:t> </w:t>
      </w:r>
      <w:r>
        <w:rPr>
          <w:i/>
          <w:w w:val="105"/>
          <w:sz w:val="27"/>
        </w:rPr>
        <w:t>энцефалопатии).</w:t>
      </w:r>
    </w:p>
    <w:p>
      <w:pPr>
        <w:tabs>
          <w:tab w:pos="2086" w:val="left" w:leader="none"/>
          <w:tab w:pos="4253" w:val="left" w:leader="none"/>
          <w:tab w:pos="6953" w:val="left" w:leader="none"/>
          <w:tab w:pos="7918" w:val="left" w:leader="none"/>
        </w:tabs>
        <w:spacing w:line="256" w:lineRule="auto" w:before="271"/>
        <w:ind w:left="695" w:right="140" w:firstLine="0"/>
        <w:jc w:val="left"/>
        <w:rPr>
          <w:i/>
          <w:sz w:val="27"/>
        </w:rPr>
      </w:pPr>
      <w:r>
        <w:rPr/>
        <w:pict>
          <v:shape style="position:absolute;margin-left:91.538452pt;margin-top:20.969427pt;width:4.55pt;height:4.55pt;mso-position-horizontal-relative:page;mso-position-vertical-relative:paragraph;z-index:15841280"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i/>
          <w:w w:val="105"/>
          <w:sz w:val="27"/>
        </w:rPr>
        <w:t>ИАПФ:</w:t>
        <w:tab/>
        <w:t>эналаприлат</w:t>
        <w:tab/>
        <w:t>(предпочтителен</w:t>
        <w:tab/>
        <w:t>при</w:t>
        <w:tab/>
      </w:r>
      <w:r>
        <w:rPr>
          <w:i/>
          <w:spacing w:val="-3"/>
          <w:w w:val="105"/>
          <w:sz w:val="27"/>
        </w:rPr>
        <w:t>острой </w:t>
      </w:r>
      <w:r>
        <w:rPr>
          <w:i/>
          <w:w w:val="105"/>
          <w:sz w:val="27"/>
        </w:rPr>
        <w:t>левожелудочковой</w:t>
      </w:r>
      <w:r>
        <w:rPr>
          <w:i/>
          <w:spacing w:val="-4"/>
          <w:w w:val="105"/>
          <w:sz w:val="27"/>
        </w:rPr>
        <w:t> </w:t>
      </w:r>
      <w:r>
        <w:rPr>
          <w:i/>
          <w:w w:val="105"/>
          <w:sz w:val="27"/>
        </w:rPr>
        <w:t>недостаточности);</w:t>
      </w:r>
    </w:p>
    <w:p>
      <w:pPr>
        <w:spacing w:line="256" w:lineRule="auto" w:before="1"/>
        <w:ind w:left="695" w:right="0" w:firstLine="0"/>
        <w:jc w:val="left"/>
        <w:rPr>
          <w:i/>
          <w:sz w:val="27"/>
        </w:rPr>
      </w:pPr>
      <w:r>
        <w:rPr/>
        <w:pict>
          <v:shape style="position:absolute;margin-left:91.538452pt;margin-top:7.469431pt;width:4.55pt;height:4.55pt;mso-position-horizontal-relative:page;mso-position-vertical-relative:paragraph;z-index:15841792"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i/>
          <w:w w:val="105"/>
          <w:sz w:val="27"/>
        </w:rPr>
        <w:t>ББ (метопролол предпочтителен при расслаивающей аневризме </w:t>
      </w:r>
      <w:r>
        <w:rPr>
          <w:i/>
          <w:w w:val="105"/>
          <w:sz w:val="27"/>
        </w:rPr>
        <w:t>аорты и ОКС);</w:t>
      </w:r>
    </w:p>
    <w:p>
      <w:pPr>
        <w:tabs>
          <w:tab w:pos="2478" w:val="left" w:leader="none"/>
          <w:tab w:pos="4337" w:val="left" w:leader="none"/>
          <w:tab w:pos="5242" w:val="left" w:leader="none"/>
          <w:tab w:pos="6605" w:val="left" w:leader="none"/>
        </w:tabs>
        <w:spacing w:line="256" w:lineRule="auto" w:before="0"/>
        <w:ind w:left="695" w:right="191" w:firstLine="0"/>
        <w:jc w:val="left"/>
        <w:rPr>
          <w:i/>
          <w:sz w:val="27"/>
        </w:rPr>
      </w:pPr>
      <w:r>
        <w:rPr/>
        <w:pict>
          <v:shape style="position:absolute;margin-left:91.538452pt;margin-top:7.419436pt;width:4.55pt;height:4.55pt;mso-position-horizontal-relative:page;mso-position-vertical-relative:paragraph;z-index:15842304" coordorigin="1831,148" coordsize="91,91" path="m1876,238l1863,238,1853,234,1835,216,1831,206,1831,181,1835,170,1853,153,1863,148,1888,148,1899,153,1916,170,1921,181,1921,193,1921,206,1916,216,1899,234,1888,238,1876,238xe" filled="true" fillcolor="#000000" stroked="false">
            <v:path arrowok="t"/>
            <v:fill type="solid"/>
            <w10:wrap type="none"/>
          </v:shape>
        </w:pict>
      </w:r>
      <w:r>
        <w:rPr>
          <w:i/>
          <w:w w:val="105"/>
          <w:sz w:val="27"/>
        </w:rPr>
        <w:t>диуретики</w:t>
        <w:tab/>
        <w:t>(фуросемид</w:t>
        <w:tab/>
        <w:t>при</w:t>
        <w:tab/>
        <w:t>острой</w:t>
        <w:tab/>
      </w:r>
      <w:r>
        <w:rPr>
          <w:i/>
          <w:spacing w:val="-3"/>
          <w:w w:val="105"/>
          <w:sz w:val="27"/>
        </w:rPr>
        <w:t>левожелудочковой </w:t>
      </w:r>
      <w:r>
        <w:rPr>
          <w:i/>
          <w:w w:val="105"/>
          <w:sz w:val="27"/>
        </w:rPr>
        <w:t>недостаточности);</w:t>
      </w:r>
    </w:p>
    <w:p>
      <w:pPr>
        <w:spacing w:line="256" w:lineRule="auto" w:before="1"/>
        <w:ind w:left="695" w:right="2035" w:firstLine="0"/>
        <w:jc w:val="left"/>
        <w:rPr>
          <w:i/>
          <w:sz w:val="27"/>
        </w:rPr>
      </w:pPr>
      <w:r>
        <w:rPr/>
        <w:pict>
          <v:shape style="position:absolute;margin-left:91.538452pt;margin-top:7.469441pt;width:4.55pt;height:4.55pt;mso-position-horizontal-relative:page;mso-position-vertical-relative:paragraph;z-index:15842816"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pict>
          <v:shape style="position:absolute;margin-left:91.538452pt;margin-top:26.977638pt;width:4.55pt;height:4.55pt;mso-position-horizontal-relative:page;mso-position-vertical-relative:paragraph;z-index:15843328" coordorigin="1831,540" coordsize="91,91" path="m1876,630l1863,629,1853,625,1835,608,1831,597,1831,572,1835,561,1853,544,1863,540,1888,540,1899,544,1916,561,1921,572,1921,585,1921,597,1916,608,1899,625,1888,629,1876,630xe" filled="true" fillcolor="#000000" stroked="false">
            <v:path arrowok="t"/>
            <v:fill type="solid"/>
            <w10:wrap type="none"/>
          </v:shape>
        </w:pict>
      </w:r>
      <w:r>
        <w:rPr>
          <w:i/>
          <w:w w:val="105"/>
          <w:sz w:val="27"/>
        </w:rPr>
        <w:t>альфа-адреноблокаторы (урапидил); </w:t>
      </w:r>
      <w:r>
        <w:rPr>
          <w:i/>
          <w:w w:val="105"/>
          <w:sz w:val="27"/>
        </w:rPr>
        <w:t>нейролептики (дроперидол).</w:t>
      </w:r>
    </w:p>
    <w:p>
      <w:pPr>
        <w:pStyle w:val="BodyText"/>
        <w:spacing w:line="256" w:lineRule="auto"/>
        <w:ind w:left="695" w:right="137"/>
      </w:pPr>
      <w:r>
        <w:rPr/>
        <w:pict>
          <v:shape style="position:absolute;margin-left:91.538452pt;margin-top:7.469447pt;width:4.55pt;height:4.55pt;mso-position-horizontal-relative:page;mso-position-vertical-relative:paragraph;z-index:15843840"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w w:val="105"/>
        </w:rPr>
        <w:t>В</w:t>
      </w:r>
      <w:r>
        <w:rPr>
          <w:spacing w:val="-42"/>
          <w:w w:val="105"/>
        </w:rPr>
        <w:t> </w:t>
      </w:r>
      <w:r>
        <w:rPr>
          <w:w w:val="105"/>
        </w:rPr>
        <w:t>остром</w:t>
      </w:r>
      <w:r>
        <w:rPr>
          <w:spacing w:val="-42"/>
          <w:w w:val="105"/>
        </w:rPr>
        <w:t> </w:t>
      </w:r>
      <w:r>
        <w:rPr>
          <w:w w:val="105"/>
        </w:rPr>
        <w:t>периоде</w:t>
      </w:r>
      <w:r>
        <w:rPr>
          <w:spacing w:val="-42"/>
          <w:w w:val="105"/>
        </w:rPr>
        <w:t> </w:t>
      </w:r>
      <w:r>
        <w:rPr>
          <w:w w:val="105"/>
        </w:rPr>
        <w:t>инсульта</w:t>
      </w:r>
      <w:r>
        <w:rPr>
          <w:spacing w:val="-42"/>
          <w:w w:val="105"/>
        </w:rPr>
        <w:t> </w:t>
      </w:r>
      <w:r>
        <w:rPr>
          <w:w w:val="105"/>
        </w:rPr>
        <w:t>вопрос</w:t>
      </w:r>
      <w:r>
        <w:rPr>
          <w:spacing w:val="-41"/>
          <w:w w:val="105"/>
        </w:rPr>
        <w:t> </w:t>
      </w:r>
      <w:r>
        <w:rPr>
          <w:w w:val="105"/>
        </w:rPr>
        <w:t>о</w:t>
      </w:r>
      <w:r>
        <w:rPr>
          <w:spacing w:val="-42"/>
          <w:w w:val="105"/>
        </w:rPr>
        <w:t> </w:t>
      </w:r>
      <w:r>
        <w:rPr>
          <w:w w:val="105"/>
        </w:rPr>
        <w:t>необходимости</w:t>
      </w:r>
      <w:r>
        <w:rPr>
          <w:spacing w:val="-42"/>
          <w:w w:val="105"/>
        </w:rPr>
        <w:t> </w:t>
      </w:r>
      <w:r>
        <w:rPr>
          <w:w w:val="105"/>
        </w:rPr>
        <w:t>снижения АД и его оптимальной величине рекомендуется решать совместно с врачом-неврологом, индивидуально для</w:t>
      </w:r>
      <w:r>
        <w:rPr>
          <w:spacing w:val="-45"/>
          <w:w w:val="105"/>
        </w:rPr>
        <w:t> </w:t>
      </w:r>
      <w:r>
        <w:rPr>
          <w:w w:val="105"/>
        </w:rPr>
        <w:t>каждого пациента</w:t>
      </w:r>
      <w:r>
        <w:rPr>
          <w:spacing w:val="-7"/>
          <w:w w:val="105"/>
        </w:rPr>
        <w:t> </w:t>
      </w:r>
      <w:r>
        <w:rPr>
          <w:w w:val="105"/>
        </w:rPr>
        <w:t>[22].</w:t>
      </w:r>
    </w:p>
    <w:p>
      <w:pPr>
        <w:pStyle w:val="Heading3"/>
        <w:spacing w:before="272"/>
      </w:pPr>
      <w:r>
        <w:rPr>
          <w:w w:val="105"/>
        </w:rPr>
        <w:t>ЕОК/ЕОАГ нет </w:t>
      </w:r>
      <w:r>
        <w:rPr>
          <w:b w:val="0"/>
          <w:w w:val="105"/>
        </w:rPr>
        <w:t>(</w:t>
      </w:r>
      <w:r>
        <w:rPr>
          <w:w w:val="105"/>
        </w:rPr>
        <w:t>УУР C, УДД 5)</w:t>
      </w:r>
    </w:p>
    <w:p>
      <w:pPr>
        <w:spacing w:line="256" w:lineRule="auto" w:before="296"/>
        <w:ind w:left="695" w:right="133" w:firstLine="0"/>
        <w:jc w:val="both"/>
        <w:rPr>
          <w:i/>
          <w:sz w:val="27"/>
        </w:rPr>
      </w:pPr>
      <w:r>
        <w:rPr>
          <w:b/>
          <w:w w:val="105"/>
          <w:sz w:val="27"/>
        </w:rPr>
        <w:t>Комментарии. </w:t>
      </w:r>
      <w:r>
        <w:rPr>
          <w:i/>
          <w:w w:val="105"/>
          <w:sz w:val="27"/>
        </w:rPr>
        <w:t>Пациенты с инсультом требуют особого </w:t>
      </w:r>
      <w:r>
        <w:rPr>
          <w:i/>
          <w:w w:val="105"/>
          <w:sz w:val="27"/>
        </w:rPr>
        <w:t>подхода, т.к. избыточное и/или быстрое снижение АД может привести к нарастанию ишемии головного мозга.</w:t>
      </w:r>
    </w:p>
    <w:p>
      <w:pPr>
        <w:pStyle w:val="BodyText"/>
        <w:spacing w:line="256" w:lineRule="auto" w:before="271"/>
        <w:ind w:left="695" w:right="129"/>
      </w:pPr>
      <w:r>
        <w:rPr/>
        <w:pict>
          <v:shape style="position:absolute;margin-left:91.538452pt;margin-top:20.969439pt;width:4.55pt;height:4.55pt;mso-position-horizontal-relative:page;mso-position-vertical-relative:paragraph;z-index:15844352" coordorigin="1831,419" coordsize="91,91" path="m1888,509l1863,509,1853,505,1835,487,1831,477,1831,452,1835,441,1853,424,1863,419,1888,419,1899,424,1916,441,1921,452,1921,464,1921,477,1916,487,1899,505,1888,509xe" filled="true" fillcolor="#000000" stroked="false">
            <v:path arrowok="t"/>
            <v:fill type="solid"/>
            <w10:wrap type="none"/>
          </v:shape>
        </w:pict>
      </w:r>
      <w:r>
        <w:rPr/>
        <w:t>В большинстве других случаев врачам рекомендуется обеспечить быстрое, но не более чем на 25% от исходных значений, снижение АД за первые 2 часа от момента поступления в стационар [22].</w:t>
      </w:r>
    </w:p>
    <w:p>
      <w:pPr>
        <w:pStyle w:val="Heading3"/>
        <w:spacing w:before="272"/>
      </w:pPr>
      <w:r>
        <w:rPr>
          <w:w w:val="105"/>
        </w:rPr>
        <w:t>ЕОК/ЕОАГ нет </w:t>
      </w:r>
      <w:r>
        <w:rPr>
          <w:b w:val="0"/>
          <w:w w:val="105"/>
        </w:rPr>
        <w:t>(</w:t>
      </w:r>
      <w:r>
        <w:rPr>
          <w:w w:val="105"/>
        </w:rPr>
        <w:t>УУР C, УДД 5)</w:t>
      </w:r>
    </w:p>
    <w:p>
      <w:pPr>
        <w:spacing w:after="0"/>
        <w:sectPr>
          <w:pgSz w:w="11900" w:h="16840"/>
          <w:pgMar w:top="0" w:bottom="0" w:left="1420" w:right="1520"/>
        </w:sectPr>
      </w:pPr>
    </w:p>
    <w:p>
      <w:pPr>
        <w:spacing w:line="256" w:lineRule="auto" w:before="16"/>
        <w:ind w:left="695" w:right="142" w:firstLine="0"/>
        <w:jc w:val="both"/>
        <w:rPr>
          <w:i/>
          <w:sz w:val="27"/>
        </w:rPr>
      </w:pPr>
      <w:r>
        <w:rPr>
          <w:b/>
          <w:sz w:val="27"/>
        </w:rPr>
        <w:t>Комментарии. </w:t>
      </w:r>
      <w:r>
        <w:rPr>
          <w:i/>
          <w:sz w:val="27"/>
        </w:rPr>
        <w:t>Рекомендуются следующие сроки  и </w:t>
      </w:r>
      <w:r>
        <w:rPr>
          <w:i/>
          <w:sz w:val="27"/>
        </w:rPr>
        <w:t>выраженность снижения АД [270,</w:t>
      </w:r>
      <w:r>
        <w:rPr>
          <w:i/>
          <w:spacing w:val="3"/>
          <w:sz w:val="27"/>
        </w:rPr>
        <w:t> </w:t>
      </w:r>
      <w:r>
        <w:rPr>
          <w:i/>
          <w:sz w:val="27"/>
        </w:rPr>
        <w:t>278]:</w:t>
      </w:r>
    </w:p>
    <w:p>
      <w:pPr>
        <w:spacing w:line="256" w:lineRule="auto" w:before="271"/>
        <w:ind w:left="695" w:right="129" w:firstLine="0"/>
        <w:jc w:val="both"/>
        <w:rPr>
          <w:i/>
          <w:sz w:val="27"/>
        </w:rPr>
      </w:pPr>
      <w:r>
        <w:rPr/>
        <w:pict>
          <v:shape style="position:absolute;margin-left:91.538452pt;margin-top:20.969427pt;width:4.55pt;height:4.55pt;mso-position-horizontal-relative:page;mso-position-vertical-relative:paragraph;z-index:15844864"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i/>
          <w:w w:val="105"/>
          <w:sz w:val="27"/>
        </w:rPr>
        <w:t>У пациентов со злокачественной АГ с или без почечной </w:t>
      </w:r>
      <w:r>
        <w:rPr>
          <w:i/>
          <w:w w:val="105"/>
          <w:sz w:val="27"/>
        </w:rPr>
        <w:t>недостаточности среднее давление должно быть снижено на 20– 25% от исходного в течение нескольких часов</w:t>
      </w:r>
    </w:p>
    <w:p>
      <w:pPr>
        <w:spacing w:line="256" w:lineRule="auto" w:before="2"/>
        <w:ind w:left="695" w:right="137" w:firstLine="0"/>
        <w:jc w:val="both"/>
        <w:rPr>
          <w:i/>
          <w:sz w:val="27"/>
        </w:rPr>
      </w:pPr>
      <w:r>
        <w:rPr/>
        <w:pict>
          <v:shape style="position:absolute;margin-left:91.538452pt;margin-top:7.51942pt;width:4.55pt;height:4.55pt;mso-position-horizontal-relative:page;mso-position-vertical-relative:paragraph;z-index:15845376" coordorigin="1831,150" coordsize="91,91" path="m1876,240l1863,240,1853,236,1835,218,1831,208,1831,183,1835,172,1853,155,1863,150,1888,150,1899,155,1916,172,1921,183,1921,195,1921,208,1916,218,1899,236,1888,240,1876,240xe" filled="true" fillcolor="#000000" stroked="false">
            <v:path arrowok="t"/>
            <v:fill type="solid"/>
            <w10:wrap type="none"/>
          </v:shape>
        </w:pict>
      </w:r>
      <w:r>
        <w:rPr>
          <w:i/>
          <w:w w:val="105"/>
          <w:sz w:val="27"/>
        </w:rPr>
        <w:t>У пациентов с гипертонической энцефалопатией рекомендовано </w:t>
      </w:r>
      <w:r>
        <w:rPr>
          <w:i/>
          <w:w w:val="105"/>
          <w:sz w:val="27"/>
        </w:rPr>
        <w:t>немедленное снижение среднего АД на 20–25% от исходного</w:t>
      </w:r>
    </w:p>
    <w:p>
      <w:pPr>
        <w:spacing w:line="256" w:lineRule="auto" w:before="0"/>
        <w:ind w:left="695" w:right="137" w:firstLine="0"/>
        <w:jc w:val="both"/>
        <w:rPr>
          <w:i/>
          <w:sz w:val="27"/>
        </w:rPr>
      </w:pPr>
      <w:r>
        <w:rPr/>
        <w:pict>
          <v:shape style="position:absolute;margin-left:91.538452pt;margin-top:7.419456pt;width:4.55pt;height:4.55pt;mso-position-horizontal-relative:page;mso-position-vertical-relative:paragraph;z-index:15845888" coordorigin="1831,148" coordsize="91,91" path="m1876,238l1863,238,1853,234,1835,216,1831,206,1831,181,1835,170,1853,153,1863,148,1888,148,1899,153,1916,170,1921,181,1921,193,1921,206,1916,216,1899,234,1888,238,1876,238xe" filled="true" fillcolor="#000000" stroked="false">
            <v:path arrowok="t"/>
            <v:fill type="solid"/>
            <w10:wrap type="none"/>
          </v:shape>
        </w:pict>
      </w:r>
      <w:r>
        <w:rPr>
          <w:i/>
          <w:w w:val="105"/>
          <w:sz w:val="27"/>
        </w:rPr>
        <w:t>У пациентов с ОКС рекомендовано немедленное снижение САД </w:t>
      </w:r>
      <w:r>
        <w:rPr>
          <w:i/>
          <w:w w:val="105"/>
          <w:sz w:val="27"/>
        </w:rPr>
        <w:t>ниже 140 мм рт. ст.</w:t>
      </w:r>
    </w:p>
    <w:p>
      <w:pPr>
        <w:spacing w:line="256" w:lineRule="auto" w:before="1"/>
        <w:ind w:left="695" w:right="129" w:firstLine="0"/>
        <w:jc w:val="both"/>
        <w:rPr>
          <w:i/>
          <w:sz w:val="27"/>
        </w:rPr>
      </w:pPr>
      <w:r>
        <w:rPr/>
        <w:pict>
          <v:shape style="position:absolute;margin-left:91.538452pt;margin-top:7.46943pt;width:4.55pt;height:4.55pt;mso-position-horizontal-relative:page;mso-position-vertical-relative:paragraph;z-index:15846400"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i/>
          <w:w w:val="105"/>
          <w:sz w:val="27"/>
        </w:rPr>
        <w:t>У пациентов с кардиогенным отеком легких рекомендовано </w:t>
      </w:r>
      <w:r>
        <w:rPr>
          <w:i/>
          <w:w w:val="105"/>
          <w:sz w:val="27"/>
        </w:rPr>
        <w:t>немедленное снижение САД ниже 140 мм рт. ст.</w:t>
      </w:r>
    </w:p>
    <w:p>
      <w:pPr>
        <w:spacing w:line="256" w:lineRule="auto" w:before="1"/>
        <w:ind w:left="695" w:right="130" w:firstLine="0"/>
        <w:jc w:val="both"/>
        <w:rPr>
          <w:i/>
          <w:sz w:val="27"/>
        </w:rPr>
      </w:pPr>
      <w:r>
        <w:rPr/>
        <w:pict>
          <v:shape style="position:absolute;margin-left:91.538452pt;margin-top:7.469465pt;width:4.55pt;height:4.55pt;mso-position-horizontal-relative:page;mso-position-vertical-relative:paragraph;z-index:15846912"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i/>
          <w:w w:val="105"/>
          <w:sz w:val="27"/>
        </w:rPr>
        <w:t>У пациентов с расслоением аорты рекомендовано немедленное </w:t>
      </w:r>
      <w:r>
        <w:rPr>
          <w:i/>
          <w:w w:val="105"/>
          <w:sz w:val="27"/>
        </w:rPr>
        <w:t>снижение САД ниже 120 мм рт. ст. и ЧСС ниже 60 уд/мин.</w:t>
      </w:r>
    </w:p>
    <w:p>
      <w:pPr>
        <w:spacing w:line="256" w:lineRule="auto" w:before="1"/>
        <w:ind w:left="695" w:right="134" w:firstLine="0"/>
        <w:jc w:val="both"/>
        <w:rPr>
          <w:i/>
          <w:sz w:val="27"/>
        </w:rPr>
      </w:pPr>
      <w:r>
        <w:rPr/>
        <w:pict>
          <v:shape style="position:absolute;margin-left:91.538452pt;margin-top:7.46944pt;width:4.55pt;height:4.55pt;mso-position-horizontal-relative:page;mso-position-vertical-relative:paragraph;z-index:15847424"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i/>
          <w:w w:val="105"/>
          <w:sz w:val="27"/>
        </w:rPr>
        <w:t>У</w:t>
      </w:r>
      <w:r>
        <w:rPr>
          <w:i/>
          <w:spacing w:val="-16"/>
          <w:w w:val="105"/>
          <w:sz w:val="27"/>
        </w:rPr>
        <w:t> </w:t>
      </w:r>
      <w:r>
        <w:rPr>
          <w:i/>
          <w:w w:val="105"/>
          <w:sz w:val="27"/>
        </w:rPr>
        <w:t>пациенток</w:t>
      </w:r>
      <w:r>
        <w:rPr>
          <w:i/>
          <w:spacing w:val="-15"/>
          <w:w w:val="105"/>
          <w:sz w:val="27"/>
        </w:rPr>
        <w:t> </w:t>
      </w:r>
      <w:r>
        <w:rPr>
          <w:i/>
          <w:w w:val="105"/>
          <w:sz w:val="27"/>
        </w:rPr>
        <w:t>с</w:t>
      </w:r>
      <w:r>
        <w:rPr>
          <w:i/>
          <w:spacing w:val="-16"/>
          <w:w w:val="105"/>
          <w:sz w:val="27"/>
        </w:rPr>
        <w:t> </w:t>
      </w:r>
      <w:r>
        <w:rPr>
          <w:i/>
          <w:w w:val="105"/>
          <w:sz w:val="27"/>
        </w:rPr>
        <w:t>эклампсией</w:t>
      </w:r>
      <w:r>
        <w:rPr>
          <w:i/>
          <w:spacing w:val="-15"/>
          <w:w w:val="105"/>
          <w:sz w:val="27"/>
        </w:rPr>
        <w:t> </w:t>
      </w:r>
      <w:r>
        <w:rPr>
          <w:i/>
          <w:w w:val="105"/>
          <w:sz w:val="27"/>
        </w:rPr>
        <w:t>и</w:t>
      </w:r>
      <w:r>
        <w:rPr>
          <w:i/>
          <w:spacing w:val="-16"/>
          <w:w w:val="105"/>
          <w:sz w:val="27"/>
        </w:rPr>
        <w:t> </w:t>
      </w:r>
      <w:r>
        <w:rPr>
          <w:i/>
          <w:w w:val="105"/>
          <w:sz w:val="27"/>
        </w:rPr>
        <w:t>тяжелой</w:t>
      </w:r>
      <w:r>
        <w:rPr>
          <w:i/>
          <w:spacing w:val="-15"/>
          <w:w w:val="105"/>
          <w:sz w:val="27"/>
        </w:rPr>
        <w:t> </w:t>
      </w:r>
      <w:r>
        <w:rPr>
          <w:i/>
          <w:w w:val="105"/>
          <w:sz w:val="27"/>
        </w:rPr>
        <w:t>преэклампсией</w:t>
      </w:r>
      <w:r>
        <w:rPr>
          <w:i/>
          <w:spacing w:val="-15"/>
          <w:w w:val="105"/>
          <w:sz w:val="27"/>
        </w:rPr>
        <w:t> </w:t>
      </w:r>
      <w:r>
        <w:rPr>
          <w:i/>
          <w:w w:val="105"/>
          <w:sz w:val="27"/>
        </w:rPr>
        <w:t>или</w:t>
      </w:r>
      <w:r>
        <w:rPr>
          <w:i/>
          <w:spacing w:val="-16"/>
          <w:w w:val="105"/>
          <w:sz w:val="27"/>
        </w:rPr>
        <w:t> </w:t>
      </w:r>
      <w:r>
        <w:rPr>
          <w:i/>
          <w:w w:val="105"/>
          <w:sz w:val="27"/>
        </w:rPr>
        <w:t>HELLP- </w:t>
      </w:r>
      <w:r>
        <w:rPr>
          <w:i/>
          <w:w w:val="105"/>
          <w:sz w:val="27"/>
        </w:rPr>
        <w:t>синдромом рекомендовано немедленное снижение </w:t>
      </w:r>
      <w:r>
        <w:rPr>
          <w:i/>
          <w:spacing w:val="-3"/>
          <w:w w:val="105"/>
          <w:sz w:val="27"/>
        </w:rPr>
        <w:t>САД </w:t>
      </w:r>
      <w:r>
        <w:rPr>
          <w:i/>
          <w:w w:val="105"/>
          <w:sz w:val="27"/>
        </w:rPr>
        <w:t>ниже 160 мм</w:t>
      </w:r>
      <w:r>
        <w:rPr>
          <w:i/>
          <w:spacing w:val="-8"/>
          <w:w w:val="105"/>
          <w:sz w:val="27"/>
        </w:rPr>
        <w:t> </w:t>
      </w:r>
      <w:r>
        <w:rPr>
          <w:i/>
          <w:w w:val="105"/>
          <w:sz w:val="27"/>
        </w:rPr>
        <w:t>рт.</w:t>
      </w:r>
      <w:r>
        <w:rPr>
          <w:i/>
          <w:spacing w:val="-8"/>
          <w:w w:val="105"/>
          <w:sz w:val="27"/>
        </w:rPr>
        <w:t> </w:t>
      </w:r>
      <w:r>
        <w:rPr>
          <w:i/>
          <w:w w:val="105"/>
          <w:sz w:val="27"/>
        </w:rPr>
        <w:t>ст.</w:t>
      </w:r>
      <w:r>
        <w:rPr>
          <w:i/>
          <w:spacing w:val="-8"/>
          <w:w w:val="105"/>
          <w:sz w:val="27"/>
        </w:rPr>
        <w:t> </w:t>
      </w:r>
      <w:r>
        <w:rPr>
          <w:i/>
          <w:w w:val="105"/>
          <w:sz w:val="27"/>
        </w:rPr>
        <w:t>и</w:t>
      </w:r>
      <w:r>
        <w:rPr>
          <w:i/>
          <w:spacing w:val="-8"/>
          <w:w w:val="105"/>
          <w:sz w:val="27"/>
        </w:rPr>
        <w:t> </w:t>
      </w:r>
      <w:r>
        <w:rPr>
          <w:i/>
          <w:w w:val="105"/>
          <w:sz w:val="27"/>
        </w:rPr>
        <w:t>ДАД</w:t>
      </w:r>
      <w:r>
        <w:rPr>
          <w:i/>
          <w:spacing w:val="-8"/>
          <w:w w:val="105"/>
          <w:sz w:val="27"/>
        </w:rPr>
        <w:t> </w:t>
      </w:r>
      <w:r>
        <w:rPr>
          <w:i/>
          <w:w w:val="105"/>
          <w:sz w:val="27"/>
        </w:rPr>
        <w:t>ниже</w:t>
      </w:r>
      <w:r>
        <w:rPr>
          <w:i/>
          <w:spacing w:val="-8"/>
          <w:w w:val="105"/>
          <w:sz w:val="27"/>
        </w:rPr>
        <w:t> </w:t>
      </w:r>
      <w:r>
        <w:rPr>
          <w:i/>
          <w:w w:val="105"/>
          <w:sz w:val="27"/>
        </w:rPr>
        <w:t>105</w:t>
      </w:r>
      <w:r>
        <w:rPr>
          <w:i/>
          <w:spacing w:val="-8"/>
          <w:w w:val="105"/>
          <w:sz w:val="27"/>
        </w:rPr>
        <w:t> </w:t>
      </w:r>
      <w:r>
        <w:rPr>
          <w:i/>
          <w:w w:val="105"/>
          <w:sz w:val="27"/>
        </w:rPr>
        <w:t>мм</w:t>
      </w:r>
      <w:r>
        <w:rPr>
          <w:i/>
          <w:spacing w:val="-8"/>
          <w:w w:val="105"/>
          <w:sz w:val="27"/>
        </w:rPr>
        <w:t> </w:t>
      </w:r>
      <w:r>
        <w:rPr>
          <w:i/>
          <w:w w:val="105"/>
          <w:sz w:val="27"/>
        </w:rPr>
        <w:t>рт.</w:t>
      </w:r>
      <w:r>
        <w:rPr>
          <w:i/>
          <w:spacing w:val="-8"/>
          <w:w w:val="105"/>
          <w:sz w:val="27"/>
        </w:rPr>
        <w:t> </w:t>
      </w:r>
      <w:r>
        <w:rPr>
          <w:i/>
          <w:w w:val="105"/>
          <w:sz w:val="27"/>
        </w:rPr>
        <w:t>ст.</w:t>
      </w:r>
    </w:p>
    <w:p>
      <w:pPr>
        <w:spacing w:line="256" w:lineRule="auto" w:before="271"/>
        <w:ind w:left="695" w:right="129" w:firstLine="0"/>
        <w:jc w:val="both"/>
        <w:rPr>
          <w:i/>
          <w:sz w:val="27"/>
        </w:rPr>
      </w:pPr>
      <w:r>
        <w:rPr>
          <w:i/>
          <w:w w:val="105"/>
          <w:sz w:val="27"/>
        </w:rPr>
        <w:t>Пациенты с ГК являются группой высокого риска [279, 280] и </w:t>
      </w:r>
      <w:r>
        <w:rPr>
          <w:i/>
          <w:w w:val="105"/>
          <w:sz w:val="27"/>
        </w:rPr>
        <w:t>должны быть скринированы на наличие вторичной АГ. Выписка из стационара осуществляется при достижении безопасного стабильного уровня АД на фоне перорального приема  препаратов. Наблюдение в амбулаторных условиях следует проводить хотя бы раз в месяц до достижения целевого АД. Далее рекомендуется длительное регулярное наблюдение специалистом.</w:t>
      </w:r>
    </w:p>
    <w:p>
      <w:pPr>
        <w:spacing w:after="0" w:line="256" w:lineRule="auto"/>
        <w:jc w:val="both"/>
        <w:rPr>
          <w:sz w:val="27"/>
        </w:rPr>
        <w:sectPr>
          <w:pgSz w:w="11900" w:h="16840"/>
          <w:pgMar w:top="0" w:bottom="280" w:left="1420" w:right="1520"/>
        </w:sectPr>
      </w:pPr>
    </w:p>
    <w:p>
      <w:pPr>
        <w:pStyle w:val="Heading1"/>
        <w:numPr>
          <w:ilvl w:val="0"/>
          <w:numId w:val="8"/>
        </w:numPr>
        <w:tabs>
          <w:tab w:pos="924" w:val="left" w:leader="none"/>
        </w:tabs>
        <w:spacing w:line="240" w:lineRule="auto" w:before="66" w:after="0"/>
        <w:ind w:left="923" w:right="0" w:hanging="544"/>
        <w:jc w:val="left"/>
      </w:pPr>
      <w:r>
        <w:rPr/>
        <w:t>Реабилитация</w:t>
      </w:r>
    </w:p>
    <w:p>
      <w:pPr>
        <w:pStyle w:val="BodyText"/>
        <w:spacing w:before="3"/>
        <w:ind w:left="0"/>
        <w:jc w:val="left"/>
        <w:rPr>
          <w:b/>
          <w:sz w:val="21"/>
        </w:rPr>
      </w:pPr>
    </w:p>
    <w:p>
      <w:pPr>
        <w:pStyle w:val="BodyText"/>
        <w:spacing w:line="256" w:lineRule="auto" w:before="97"/>
        <w:ind w:left="695" w:right="129"/>
      </w:pPr>
      <w:r>
        <w:rPr/>
        <w:pict>
          <v:shape style="position:absolute;margin-left:91.538452pt;margin-top:12.269443pt;width:4.55pt;height:4.55pt;mso-position-horizontal-relative:page;mso-position-vertical-relative:paragraph;z-index:15847936" coordorigin="1831,245" coordsize="91,91" path="m1876,335l1863,335,1853,331,1835,313,1831,303,1831,278,1835,267,1853,250,1863,245,1888,245,1899,250,1916,267,1921,278,1921,290,1921,303,1916,313,1899,331,1888,335,1876,335xe" filled="true" fillcolor="#000000" stroked="false">
            <v:path arrowok="t"/>
            <v:fill type="solid"/>
            <w10:wrap type="none"/>
          </v:shape>
        </w:pict>
      </w:r>
      <w:r>
        <w:rPr/>
        <w:t>Для всех пациентов с АГ рекомендована разработка индивидуального плана реабилитационных мероприятий, включающий в себя рекомендации по достижению целевого АД, самоконтролю АД, повышению приверженности к лечению, питанию, физической активности, контролю веса [287].</w:t>
      </w:r>
    </w:p>
    <w:p>
      <w:pPr>
        <w:pStyle w:val="Heading3"/>
        <w:spacing w:before="273"/>
        <w:jc w:val="both"/>
      </w:pPr>
      <w:r>
        <w:rPr>
          <w:w w:val="105"/>
        </w:rPr>
        <w:t>ЕОК/ЕОАГ нет </w:t>
      </w:r>
      <w:r>
        <w:rPr>
          <w:b w:val="0"/>
          <w:w w:val="105"/>
        </w:rPr>
        <w:t>(</w:t>
      </w:r>
      <w:r>
        <w:rPr>
          <w:w w:val="105"/>
        </w:rPr>
        <w:t>УУР B, УДД 2)</w:t>
      </w:r>
    </w:p>
    <w:p>
      <w:pPr>
        <w:pStyle w:val="BodyText"/>
        <w:spacing w:line="256" w:lineRule="auto" w:before="296"/>
        <w:ind w:left="695" w:right="129"/>
      </w:pPr>
      <w:r>
        <w:rPr/>
        <w:pict>
          <v:shape style="position:absolute;margin-left:91.538452pt;margin-top:22.219442pt;width:4.55pt;height:4.55pt;mso-position-horizontal-relative:page;mso-position-vertical-relative:paragraph;z-index:15848448"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w w:val="105"/>
        </w:rPr>
        <w:t>С целью снижения риска сердечно-сосудистых осложнений всем пациентам с АГ рекомендованы, по крайней мере, </w:t>
      </w:r>
      <w:r>
        <w:rPr>
          <w:spacing w:val="-4"/>
          <w:w w:val="105"/>
        </w:rPr>
        <w:t>150 </w:t>
      </w:r>
      <w:r>
        <w:rPr>
          <w:w w:val="105"/>
        </w:rPr>
        <w:t>мин</w:t>
      </w:r>
      <w:r>
        <w:rPr>
          <w:spacing w:val="-33"/>
          <w:w w:val="105"/>
        </w:rPr>
        <w:t> </w:t>
      </w:r>
      <w:r>
        <w:rPr>
          <w:w w:val="105"/>
        </w:rPr>
        <w:t>(2</w:t>
      </w:r>
      <w:r>
        <w:rPr>
          <w:spacing w:val="-33"/>
          <w:w w:val="105"/>
        </w:rPr>
        <w:t> </w:t>
      </w:r>
      <w:r>
        <w:rPr>
          <w:w w:val="105"/>
        </w:rPr>
        <w:t>часа</w:t>
      </w:r>
      <w:r>
        <w:rPr>
          <w:spacing w:val="-32"/>
          <w:w w:val="105"/>
        </w:rPr>
        <w:t> </w:t>
      </w:r>
      <w:r>
        <w:rPr>
          <w:w w:val="105"/>
        </w:rPr>
        <w:t>30</w:t>
      </w:r>
      <w:r>
        <w:rPr>
          <w:spacing w:val="-33"/>
          <w:w w:val="105"/>
        </w:rPr>
        <w:t> </w:t>
      </w:r>
      <w:r>
        <w:rPr>
          <w:w w:val="105"/>
        </w:rPr>
        <w:t>мин)</w:t>
      </w:r>
      <w:r>
        <w:rPr>
          <w:spacing w:val="-33"/>
          <w:w w:val="105"/>
        </w:rPr>
        <w:t> </w:t>
      </w:r>
      <w:r>
        <w:rPr>
          <w:w w:val="105"/>
        </w:rPr>
        <w:t>в</w:t>
      </w:r>
      <w:r>
        <w:rPr>
          <w:spacing w:val="-32"/>
          <w:w w:val="105"/>
        </w:rPr>
        <w:t> </w:t>
      </w:r>
      <w:r>
        <w:rPr>
          <w:w w:val="105"/>
        </w:rPr>
        <w:t>неделю</w:t>
      </w:r>
      <w:r>
        <w:rPr>
          <w:spacing w:val="-33"/>
          <w:w w:val="105"/>
        </w:rPr>
        <w:t> </w:t>
      </w:r>
      <w:r>
        <w:rPr>
          <w:w w:val="105"/>
        </w:rPr>
        <w:t>аэробной</w:t>
      </w:r>
      <w:r>
        <w:rPr>
          <w:spacing w:val="-33"/>
          <w:w w:val="105"/>
        </w:rPr>
        <w:t> </w:t>
      </w:r>
      <w:r>
        <w:rPr>
          <w:w w:val="105"/>
        </w:rPr>
        <w:t>физической</w:t>
      </w:r>
      <w:r>
        <w:rPr>
          <w:spacing w:val="-32"/>
          <w:w w:val="105"/>
        </w:rPr>
        <w:t> </w:t>
      </w:r>
      <w:r>
        <w:rPr>
          <w:w w:val="105"/>
        </w:rPr>
        <w:t>активности умеренной</w:t>
      </w:r>
      <w:r>
        <w:rPr>
          <w:spacing w:val="-10"/>
          <w:w w:val="105"/>
        </w:rPr>
        <w:t> </w:t>
      </w:r>
      <w:r>
        <w:rPr>
          <w:w w:val="105"/>
        </w:rPr>
        <w:t>интенсивности</w:t>
      </w:r>
      <w:r>
        <w:rPr>
          <w:spacing w:val="-10"/>
          <w:w w:val="105"/>
        </w:rPr>
        <w:t> </w:t>
      </w:r>
      <w:r>
        <w:rPr>
          <w:w w:val="105"/>
        </w:rPr>
        <w:t>или</w:t>
      </w:r>
      <w:r>
        <w:rPr>
          <w:spacing w:val="-10"/>
          <w:w w:val="105"/>
        </w:rPr>
        <w:t> </w:t>
      </w:r>
      <w:r>
        <w:rPr>
          <w:w w:val="105"/>
        </w:rPr>
        <w:t>75</w:t>
      </w:r>
      <w:r>
        <w:rPr>
          <w:spacing w:val="-10"/>
          <w:w w:val="105"/>
        </w:rPr>
        <w:t> </w:t>
      </w:r>
      <w:r>
        <w:rPr>
          <w:w w:val="105"/>
        </w:rPr>
        <w:t>мин</w:t>
      </w:r>
      <w:r>
        <w:rPr>
          <w:spacing w:val="-10"/>
          <w:w w:val="105"/>
        </w:rPr>
        <w:t> </w:t>
      </w:r>
      <w:r>
        <w:rPr>
          <w:w w:val="105"/>
        </w:rPr>
        <w:t>(1</w:t>
      </w:r>
      <w:r>
        <w:rPr>
          <w:spacing w:val="-10"/>
          <w:w w:val="105"/>
        </w:rPr>
        <w:t> </w:t>
      </w:r>
      <w:r>
        <w:rPr>
          <w:w w:val="105"/>
        </w:rPr>
        <w:t>час</w:t>
      </w:r>
      <w:r>
        <w:rPr>
          <w:spacing w:val="-10"/>
          <w:w w:val="105"/>
        </w:rPr>
        <w:t> </w:t>
      </w:r>
      <w:r>
        <w:rPr>
          <w:w w:val="105"/>
        </w:rPr>
        <w:t>15</w:t>
      </w:r>
      <w:r>
        <w:rPr>
          <w:spacing w:val="-10"/>
          <w:w w:val="105"/>
        </w:rPr>
        <w:t> </w:t>
      </w:r>
      <w:r>
        <w:rPr>
          <w:w w:val="105"/>
        </w:rPr>
        <w:t>мин)</w:t>
      </w:r>
      <w:r>
        <w:rPr>
          <w:spacing w:val="-9"/>
          <w:w w:val="105"/>
        </w:rPr>
        <w:t> </w:t>
      </w:r>
      <w:r>
        <w:rPr>
          <w:w w:val="105"/>
        </w:rPr>
        <w:t>в</w:t>
      </w:r>
      <w:r>
        <w:rPr>
          <w:spacing w:val="-10"/>
          <w:w w:val="105"/>
        </w:rPr>
        <w:t> </w:t>
      </w:r>
      <w:r>
        <w:rPr>
          <w:w w:val="105"/>
        </w:rPr>
        <w:t>неделю </w:t>
      </w:r>
      <w:r>
        <w:rPr/>
        <w:t>аэробной физической активности высокой интенсивности [281, </w:t>
      </w:r>
      <w:r>
        <w:rPr>
          <w:w w:val="105"/>
        </w:rPr>
        <w:t>300-301].</w:t>
      </w:r>
    </w:p>
    <w:p>
      <w:pPr>
        <w:pStyle w:val="Heading3"/>
        <w:spacing w:before="272"/>
        <w:jc w:val="both"/>
      </w:pPr>
      <w:r>
        <w:rPr>
          <w:w w:val="105"/>
        </w:rPr>
        <w:t>ЕОК/ЕОАГ нет </w:t>
      </w:r>
      <w:r>
        <w:rPr>
          <w:b w:val="0"/>
          <w:w w:val="105"/>
        </w:rPr>
        <w:t>(</w:t>
      </w:r>
      <w:r>
        <w:rPr>
          <w:w w:val="105"/>
        </w:rPr>
        <w:t>УУР B, УДД 1)</w:t>
      </w:r>
    </w:p>
    <w:p>
      <w:pPr>
        <w:spacing w:line="256" w:lineRule="auto" w:before="296"/>
        <w:ind w:left="695" w:right="134" w:firstLine="0"/>
        <w:jc w:val="both"/>
        <w:rPr>
          <w:i/>
          <w:sz w:val="27"/>
        </w:rPr>
      </w:pPr>
      <w:r>
        <w:rPr>
          <w:b/>
          <w:w w:val="105"/>
          <w:sz w:val="27"/>
        </w:rPr>
        <w:t>Комментарии. </w:t>
      </w:r>
      <w:r>
        <w:rPr>
          <w:i/>
          <w:w w:val="105"/>
          <w:sz w:val="27"/>
        </w:rPr>
        <w:t>Умеренная физическая нагрузка — это такая </w:t>
      </w:r>
      <w:r>
        <w:rPr>
          <w:i/>
          <w:w w:val="105"/>
          <w:sz w:val="27"/>
        </w:rPr>
        <w:t>нагрузка, которую можно выдержать в течение 1 часа, а интенсивная физическая нагрузка та, при которой через 30 минут появляется усталость [281]. Во время проведения физических нагрузок обязателен контроль АД.</w:t>
      </w:r>
    </w:p>
    <w:p>
      <w:pPr>
        <w:spacing w:after="0" w:line="256" w:lineRule="auto"/>
        <w:jc w:val="both"/>
        <w:rPr>
          <w:sz w:val="27"/>
        </w:rPr>
        <w:sectPr>
          <w:pgSz w:w="11900" w:h="16840"/>
          <w:pgMar w:top="600" w:bottom="280" w:left="1420" w:right="1520"/>
        </w:sectPr>
      </w:pPr>
    </w:p>
    <w:p>
      <w:pPr>
        <w:pStyle w:val="Heading1"/>
        <w:numPr>
          <w:ilvl w:val="0"/>
          <w:numId w:val="8"/>
        </w:numPr>
        <w:tabs>
          <w:tab w:pos="924" w:val="left" w:leader="none"/>
        </w:tabs>
        <w:spacing w:line="240" w:lineRule="auto" w:before="66" w:after="0"/>
        <w:ind w:left="923" w:right="0" w:hanging="544"/>
        <w:jc w:val="left"/>
      </w:pPr>
      <w:r>
        <w:rPr/>
        <w:t>Профилактика</w:t>
      </w:r>
    </w:p>
    <w:p>
      <w:pPr>
        <w:pStyle w:val="BodyText"/>
        <w:spacing w:line="256" w:lineRule="auto" w:before="384"/>
        <w:ind w:left="695" w:right="130"/>
      </w:pPr>
      <w:r>
        <w:rPr>
          <w:w w:val="105"/>
        </w:rPr>
        <w:t>Динамическое наблюдение — чрезвычайно важная </w:t>
      </w:r>
      <w:r>
        <w:rPr/>
        <w:t>составляющая медицинской помощи пациентам с АГ,</w:t>
      </w:r>
      <w:r>
        <w:rPr>
          <w:spacing w:val="-47"/>
        </w:rPr>
        <w:t> </w:t>
      </w:r>
      <w:r>
        <w:rPr/>
        <w:t>задачами </w:t>
      </w:r>
      <w:r>
        <w:rPr>
          <w:w w:val="105"/>
        </w:rPr>
        <w:t>которого являются: поддержание целевых уровней АД, </w:t>
      </w:r>
      <w:r>
        <w:rPr/>
        <w:t>контроль выполнения врачебных рекомендаций по коррекции </w:t>
      </w:r>
      <w:r>
        <w:rPr>
          <w:w w:val="105"/>
        </w:rPr>
        <w:t>ФР, контроль за соблюдением режима приема АГП, оценка состояния</w:t>
      </w:r>
      <w:r>
        <w:rPr>
          <w:spacing w:val="-8"/>
          <w:w w:val="105"/>
        </w:rPr>
        <w:t> </w:t>
      </w:r>
      <w:r>
        <w:rPr>
          <w:w w:val="105"/>
        </w:rPr>
        <w:t>органов-мишеней.</w:t>
      </w:r>
    </w:p>
    <w:p>
      <w:pPr>
        <w:pStyle w:val="BodyText"/>
        <w:spacing w:line="256" w:lineRule="auto" w:before="272"/>
        <w:ind w:left="695" w:right="132"/>
      </w:pPr>
      <w:r>
        <w:rPr/>
        <w:t>При стабильном течении АГ приемлемой альтернативой визитам в медицинское учреждение могут быть ДМАД [292, 294–296].</w:t>
      </w:r>
    </w:p>
    <w:p>
      <w:pPr>
        <w:pStyle w:val="BodyText"/>
        <w:spacing w:line="256" w:lineRule="auto" w:before="271"/>
        <w:ind w:left="695" w:right="142"/>
      </w:pPr>
      <w:r>
        <w:rPr/>
        <w:t>Все рекомендации, даваемые пациенту, должны быть ясными, четкими и соответствовать его интеллектуальному уровню.</w:t>
      </w:r>
    </w:p>
    <w:p>
      <w:pPr>
        <w:pStyle w:val="BodyText"/>
        <w:spacing w:line="256" w:lineRule="auto" w:before="271"/>
        <w:ind w:left="695" w:right="132"/>
      </w:pPr>
      <w:r>
        <w:rPr/>
        <w:t>С целью обеспечить осознанное участие пациента в лечебно- профилактическом процессе и повысить эффективность лечения целесообразно для ряда пациентов, для которых устных рекомендаций недостаточно, продублировать их в письменном виде.</w:t>
      </w:r>
    </w:p>
    <w:p>
      <w:pPr>
        <w:pStyle w:val="BodyText"/>
        <w:spacing w:line="256" w:lineRule="auto" w:before="272"/>
        <w:ind w:left="695" w:right="133"/>
      </w:pPr>
      <w:r>
        <w:rPr/>
        <w:pict>
          <v:shape style="position:absolute;margin-left:91.538452pt;margin-top:21.019445pt;width:4.55pt;height:4.55pt;mso-position-horizontal-relative:page;mso-position-vertical-relative:paragraph;z-index:15848960" coordorigin="1831,420" coordsize="91,91" path="m1876,510l1863,510,1853,506,1835,488,1831,478,1831,453,1835,442,1853,425,1863,420,1888,420,1899,425,1916,442,1921,453,1921,465,1921,478,1916,488,1899,506,1888,510,1876,510xe" filled="true" fillcolor="#000000" stroked="false">
            <v:path arrowok="t"/>
            <v:fill type="solid"/>
            <w10:wrap type="none"/>
          </v:shape>
        </w:pict>
      </w:r>
      <w:r>
        <w:rPr/>
        <w:t>Всем пациентам с высоким нормальным АД (130–139/85–89 мм рт. ст.) рекомендуется изменение образа жизни [21, 22, 98].</w:t>
      </w:r>
    </w:p>
    <w:p>
      <w:pPr>
        <w:pStyle w:val="Heading3"/>
        <w:jc w:val="both"/>
      </w:pPr>
      <w:r>
        <w:rPr>
          <w:w w:val="105"/>
        </w:rPr>
        <w:t>ЕОК/ЕОАГ IА (УУР C, УДД 5)</w:t>
      </w:r>
    </w:p>
    <w:p>
      <w:pPr>
        <w:pStyle w:val="BodyText"/>
        <w:spacing w:line="256" w:lineRule="auto" w:before="296"/>
        <w:ind w:left="695" w:right="132"/>
      </w:pPr>
      <w:r>
        <w:rPr/>
        <w:pict>
          <v:shape style="position:absolute;margin-left:91.538452pt;margin-top:22.219435pt;width:4.55pt;height:4.55pt;mso-position-horizontal-relative:page;mso-position-vertical-relative:paragraph;z-index:15849472"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Рекомендуется всем пациентам с АГ в рамках диспансерного наблюдения проводить оценку факторов риска и ПОМ не реже, чем 1 раз в год [21].</w:t>
      </w:r>
    </w:p>
    <w:p>
      <w:pPr>
        <w:pStyle w:val="Heading3"/>
        <w:spacing w:before="272"/>
        <w:jc w:val="both"/>
      </w:pPr>
      <w:r>
        <w:rPr/>
        <w:t>ЕОК/ЕОАГ нет </w:t>
      </w:r>
      <w:r>
        <w:rPr>
          <w:b w:val="0"/>
        </w:rPr>
        <w:t>(</w:t>
      </w:r>
      <w:r>
        <w:rPr/>
        <w:t>УУР 5, УДД С)</w:t>
      </w:r>
    </w:p>
    <w:p>
      <w:pPr>
        <w:spacing w:before="296"/>
        <w:ind w:left="695" w:right="0" w:firstLine="0"/>
        <w:jc w:val="both"/>
        <w:rPr>
          <w:i/>
          <w:sz w:val="27"/>
        </w:rPr>
      </w:pPr>
      <w:r>
        <w:rPr>
          <w:b/>
          <w:sz w:val="27"/>
        </w:rPr>
        <w:t>Комментарии. </w:t>
      </w:r>
      <w:r>
        <w:rPr>
          <w:i/>
          <w:sz w:val="27"/>
        </w:rPr>
        <w:t>У пациентов с высоким нормальным АД или АГ</w:t>
      </w:r>
    </w:p>
    <w:p>
      <w:pPr>
        <w:spacing w:line="256" w:lineRule="auto" w:before="26"/>
        <w:ind w:left="695" w:right="130" w:firstLine="0"/>
        <w:jc w:val="both"/>
        <w:rPr>
          <w:i/>
          <w:sz w:val="27"/>
        </w:rPr>
      </w:pPr>
      <w:r>
        <w:rPr>
          <w:i/>
          <w:w w:val="105"/>
          <w:sz w:val="27"/>
        </w:rPr>
        <w:t>«белого халата» нередко выявляются дополнительные факторы </w:t>
      </w:r>
      <w:r>
        <w:rPr>
          <w:i/>
          <w:w w:val="105"/>
          <w:sz w:val="27"/>
        </w:rPr>
        <w:t>риска, ПОМ, а также высокий риск развития устойчивой АГ [282–286], поэтому даже при отсутствии лечения пациентов необходимо регулярно наблюдать (по крайней мере, ежегодно) для оценки клинического АД, АД, измеренного вне медицинского учреждения и СС риска. При ежегодных визитах следует обращать внимание на рекомендации по изменению образа жизни, которые являются методом адекватной терапии таких пациентов.</w:t>
      </w:r>
    </w:p>
    <w:p>
      <w:pPr>
        <w:spacing w:after="0" w:line="256" w:lineRule="auto"/>
        <w:jc w:val="both"/>
        <w:rPr>
          <w:sz w:val="27"/>
        </w:rPr>
        <w:sectPr>
          <w:pgSz w:w="11900" w:h="16840"/>
          <w:pgMar w:top="600" w:bottom="0" w:left="1420" w:right="1520"/>
        </w:sectPr>
      </w:pPr>
    </w:p>
    <w:p>
      <w:pPr>
        <w:pStyle w:val="BodyText"/>
        <w:spacing w:line="256" w:lineRule="auto" w:before="16"/>
        <w:ind w:left="695" w:right="130"/>
      </w:pPr>
      <w:r>
        <w:rPr/>
        <w:pict>
          <v:shape style="position:absolute;margin-left:91.538452pt;margin-top:8.219438pt;width:4.55pt;height:4.55pt;mso-position-horizontal-relative:page;mso-position-vertical-relative:paragraph;z-index:15849984" coordorigin="1831,164" coordsize="91,91" path="m1876,254l1863,254,1853,250,1835,232,1831,222,1831,197,1835,186,1853,169,1863,164,1888,164,1899,169,1916,186,1921,197,1921,209,1921,222,1916,232,1899,250,1888,254,1876,254xe" filled="true" fillcolor="#000000" stroked="false">
            <v:path arrowok="t"/>
            <v:fill type="solid"/>
            <w10:wrap type="none"/>
          </v:shape>
        </w:pict>
      </w:r>
      <w:r>
        <w:rPr/>
        <w:t>Всем пациентам с АГ, которым была назначена АГТ, рекомендуется проводить плановые визиты к врачу для оценки переносимости, эффективности и безопасности лечения, а также контроля выполнения врачебных рекомендаций [21, 289, 290].</w:t>
      </w:r>
    </w:p>
    <w:p>
      <w:pPr>
        <w:pStyle w:val="Heading3"/>
        <w:spacing w:before="273"/>
        <w:jc w:val="both"/>
      </w:pPr>
      <w:r>
        <w:rPr>
          <w:w w:val="105"/>
        </w:rPr>
        <w:t>ЕОК/ЕОАГ нет </w:t>
      </w:r>
      <w:r>
        <w:rPr>
          <w:b w:val="0"/>
          <w:w w:val="105"/>
        </w:rPr>
        <w:t>(</w:t>
      </w:r>
      <w:r>
        <w:rPr>
          <w:w w:val="105"/>
        </w:rPr>
        <w:t>УУР B, УДД 1)</w:t>
      </w:r>
    </w:p>
    <w:p>
      <w:pPr>
        <w:spacing w:line="256" w:lineRule="auto" w:before="296"/>
        <w:ind w:left="695" w:right="132" w:firstLine="0"/>
        <w:jc w:val="both"/>
        <w:rPr>
          <w:i/>
          <w:sz w:val="27"/>
        </w:rPr>
      </w:pPr>
      <w:r>
        <w:rPr>
          <w:b/>
          <w:w w:val="105"/>
          <w:sz w:val="27"/>
        </w:rPr>
        <w:t>Комментарии. </w:t>
      </w:r>
      <w:r>
        <w:rPr>
          <w:i/>
          <w:w w:val="105"/>
          <w:sz w:val="27"/>
        </w:rPr>
        <w:t>Визиты проводятся с интервалом в 3–4 недели </w:t>
      </w:r>
      <w:r>
        <w:rPr>
          <w:i/>
          <w:w w:val="105"/>
          <w:sz w:val="27"/>
        </w:rPr>
        <w:t>до достижения целевого уровня АД (при отсутствии других причин более частых визитов). Целевое АД должно </w:t>
      </w:r>
      <w:r>
        <w:rPr>
          <w:i/>
          <w:spacing w:val="-3"/>
          <w:w w:val="105"/>
          <w:sz w:val="27"/>
        </w:rPr>
        <w:t>быть </w:t>
      </w:r>
      <w:r>
        <w:rPr>
          <w:i/>
          <w:w w:val="105"/>
          <w:sz w:val="27"/>
        </w:rPr>
        <w:t>достигнуто в течение 3</w:t>
      </w:r>
      <w:r>
        <w:rPr>
          <w:i/>
          <w:spacing w:val="-21"/>
          <w:w w:val="105"/>
          <w:sz w:val="27"/>
        </w:rPr>
        <w:t> </w:t>
      </w:r>
      <w:r>
        <w:rPr>
          <w:i/>
          <w:w w:val="105"/>
          <w:sz w:val="27"/>
        </w:rPr>
        <w:t>месяцев.</w:t>
      </w:r>
    </w:p>
    <w:p>
      <w:pPr>
        <w:pStyle w:val="BodyText"/>
        <w:spacing w:line="256" w:lineRule="auto" w:before="271"/>
        <w:ind w:left="695" w:right="129"/>
      </w:pPr>
      <w:r>
        <w:rPr/>
        <w:pict>
          <v:shape style="position:absolute;margin-left:91.538452pt;margin-top:20.969427pt;width:4.55pt;height:4.55pt;mso-position-horizontal-relative:page;mso-position-vertical-relative:paragraph;z-index:15850496"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t>Всем пациентам с АГ, принимающим АГТ, при ее недостаточной эффективности рекомендуется производить замену ранее назначенного АГП или присоединять другой</w:t>
      </w:r>
      <w:r>
        <w:rPr>
          <w:spacing w:val="-35"/>
        </w:rPr>
        <w:t> </w:t>
      </w:r>
      <w:r>
        <w:rPr/>
        <w:t>АГП. При отсутствии эффективного снижения АД на фоне 2- компонентной терапии рекомендуется присоединение  третьего препарата (одним из трех препаратов, как правило, должен быть диуретик) с обязательным последующим контролем эффективности, безопасности и переносимости комбинированной терапии</w:t>
      </w:r>
      <w:r>
        <w:rPr>
          <w:spacing w:val="-5"/>
        </w:rPr>
        <w:t> </w:t>
      </w:r>
      <w:r>
        <w:rPr/>
        <w:t>[21].</w:t>
      </w:r>
    </w:p>
    <w:p>
      <w:pPr>
        <w:pStyle w:val="Heading3"/>
        <w:spacing w:before="274"/>
        <w:jc w:val="both"/>
      </w:pPr>
      <w:r>
        <w:rPr>
          <w:w w:val="105"/>
        </w:rPr>
        <w:t>ЕОК/ЕОАГ нет </w:t>
      </w:r>
      <w:r>
        <w:rPr>
          <w:b w:val="0"/>
          <w:w w:val="105"/>
        </w:rPr>
        <w:t>(</w:t>
      </w:r>
      <w:r>
        <w:rPr>
          <w:w w:val="105"/>
        </w:rPr>
        <w:t>УУР C, УДД 5)</w:t>
      </w:r>
    </w:p>
    <w:p>
      <w:pPr>
        <w:spacing w:line="256" w:lineRule="auto" w:before="296"/>
        <w:ind w:left="695" w:right="129" w:firstLine="0"/>
        <w:jc w:val="both"/>
        <w:rPr>
          <w:i/>
          <w:sz w:val="27"/>
        </w:rPr>
      </w:pPr>
      <w:r>
        <w:rPr>
          <w:b/>
          <w:w w:val="105"/>
          <w:sz w:val="27"/>
        </w:rPr>
        <w:t>Комментарии.</w:t>
      </w:r>
      <w:r>
        <w:rPr>
          <w:b/>
          <w:spacing w:val="-34"/>
          <w:w w:val="105"/>
          <w:sz w:val="27"/>
        </w:rPr>
        <w:t> </w:t>
      </w:r>
      <w:r>
        <w:rPr>
          <w:i/>
          <w:w w:val="105"/>
          <w:sz w:val="27"/>
        </w:rPr>
        <w:t>Целевые</w:t>
      </w:r>
      <w:r>
        <w:rPr>
          <w:i/>
          <w:spacing w:val="-37"/>
          <w:w w:val="105"/>
          <w:sz w:val="27"/>
        </w:rPr>
        <w:t> </w:t>
      </w:r>
      <w:r>
        <w:rPr>
          <w:i/>
          <w:w w:val="105"/>
          <w:sz w:val="27"/>
        </w:rPr>
        <w:t>уровни</w:t>
      </w:r>
      <w:r>
        <w:rPr>
          <w:i/>
          <w:spacing w:val="-37"/>
          <w:w w:val="105"/>
          <w:sz w:val="27"/>
        </w:rPr>
        <w:t> </w:t>
      </w:r>
      <w:r>
        <w:rPr>
          <w:i/>
          <w:w w:val="105"/>
          <w:sz w:val="27"/>
        </w:rPr>
        <w:t>АД</w:t>
      </w:r>
      <w:r>
        <w:rPr>
          <w:i/>
          <w:spacing w:val="-37"/>
          <w:w w:val="105"/>
          <w:sz w:val="27"/>
        </w:rPr>
        <w:t> </w:t>
      </w:r>
      <w:r>
        <w:rPr>
          <w:i/>
          <w:w w:val="105"/>
          <w:sz w:val="27"/>
        </w:rPr>
        <w:t>являются</w:t>
      </w:r>
      <w:r>
        <w:rPr>
          <w:i/>
          <w:spacing w:val="-37"/>
          <w:w w:val="105"/>
          <w:sz w:val="27"/>
        </w:rPr>
        <w:t> </w:t>
      </w:r>
      <w:r>
        <w:rPr>
          <w:i/>
          <w:w w:val="105"/>
          <w:sz w:val="27"/>
        </w:rPr>
        <w:t>рекомендованными </w:t>
      </w:r>
      <w:r>
        <w:rPr>
          <w:i/>
          <w:w w:val="105"/>
          <w:sz w:val="27"/>
        </w:rPr>
        <w:t>для достижения в каждой подгруппе пациентов, но важнейшим принципом их достижения является соблюдение безопасности и сохранения качества жизни пациента. Поэтому скорость достижения целевых значений и степень снижения АД могут быть скорректированы у конкретного пациента в зависимости от конкретной клинической ситуации. При этом плохая переносимость снижения АД может быть основанием для более медленной титрации доз и числа назначаемых препаратов,  равно как и при хорошей переносимости АД может быть снижено до более низких значений, чем рекомендовано в среднем. Недостижение целевого АД в указанные сроки не является ошибочным, если это продиктовано клинической необходимостью. Если врач считает, что препятствием к достижению целевого АД является плохая приверженность пациента, это должно находить отражение в медицинской документации</w:t>
      </w:r>
      <w:r>
        <w:rPr>
          <w:i/>
          <w:spacing w:val="49"/>
          <w:w w:val="105"/>
          <w:sz w:val="27"/>
        </w:rPr>
        <w:t> </w:t>
      </w:r>
      <w:r>
        <w:rPr>
          <w:i/>
          <w:w w:val="105"/>
          <w:sz w:val="27"/>
        </w:rPr>
        <w:t>и</w:t>
      </w:r>
      <w:r>
        <w:rPr>
          <w:i/>
          <w:spacing w:val="50"/>
          <w:w w:val="105"/>
          <w:sz w:val="27"/>
        </w:rPr>
        <w:t> </w:t>
      </w:r>
      <w:r>
        <w:rPr>
          <w:i/>
          <w:w w:val="105"/>
          <w:sz w:val="27"/>
        </w:rPr>
        <w:t>должны</w:t>
      </w:r>
      <w:r>
        <w:rPr>
          <w:i/>
          <w:spacing w:val="50"/>
          <w:w w:val="105"/>
          <w:sz w:val="27"/>
        </w:rPr>
        <w:t> </w:t>
      </w:r>
      <w:r>
        <w:rPr>
          <w:i/>
          <w:w w:val="105"/>
          <w:sz w:val="27"/>
        </w:rPr>
        <w:t>быть</w:t>
      </w:r>
      <w:r>
        <w:rPr>
          <w:i/>
          <w:spacing w:val="50"/>
          <w:w w:val="105"/>
          <w:sz w:val="27"/>
        </w:rPr>
        <w:t> </w:t>
      </w:r>
      <w:r>
        <w:rPr>
          <w:i/>
          <w:w w:val="105"/>
          <w:sz w:val="27"/>
        </w:rPr>
        <w:t>предприняты</w:t>
      </w:r>
      <w:r>
        <w:rPr>
          <w:i/>
          <w:spacing w:val="50"/>
          <w:w w:val="105"/>
          <w:sz w:val="27"/>
        </w:rPr>
        <w:t> </w:t>
      </w:r>
      <w:r>
        <w:rPr>
          <w:i/>
          <w:w w:val="105"/>
          <w:sz w:val="27"/>
        </w:rPr>
        <w:t>и</w:t>
      </w:r>
      <w:r>
        <w:rPr>
          <w:i/>
          <w:spacing w:val="50"/>
          <w:w w:val="105"/>
          <w:sz w:val="27"/>
        </w:rPr>
        <w:t> </w:t>
      </w:r>
      <w:r>
        <w:rPr>
          <w:i/>
          <w:w w:val="105"/>
          <w:sz w:val="27"/>
        </w:rPr>
        <w:t>зафиксированы</w:t>
      </w:r>
    </w:p>
    <w:p>
      <w:pPr>
        <w:spacing w:after="0" w:line="256" w:lineRule="auto"/>
        <w:jc w:val="both"/>
        <w:rPr>
          <w:sz w:val="27"/>
        </w:rPr>
        <w:sectPr>
          <w:pgSz w:w="11900" w:h="16840"/>
          <w:pgMar w:top="0" w:bottom="280" w:left="1420" w:right="1520"/>
        </w:sectPr>
      </w:pPr>
    </w:p>
    <w:p>
      <w:pPr>
        <w:spacing w:line="256" w:lineRule="auto" w:before="16"/>
        <w:ind w:left="695" w:right="134" w:firstLine="0"/>
        <w:jc w:val="both"/>
        <w:rPr>
          <w:i/>
          <w:sz w:val="27"/>
        </w:rPr>
      </w:pPr>
      <w:r>
        <w:rPr>
          <w:i/>
          <w:w w:val="105"/>
          <w:sz w:val="27"/>
        </w:rPr>
        <w:t>меры по повышению приверженности. В этих случаях </w:t>
      </w:r>
      <w:r>
        <w:rPr>
          <w:i/>
          <w:w w:val="105"/>
          <w:sz w:val="27"/>
        </w:rPr>
        <w:t>недостижение целевого уровня не должно считаться дефектом оказания помощи.</w:t>
      </w:r>
    </w:p>
    <w:p>
      <w:pPr>
        <w:pStyle w:val="BodyText"/>
        <w:spacing w:line="256" w:lineRule="auto" w:before="272"/>
        <w:ind w:left="695" w:right="131"/>
      </w:pPr>
      <w:r>
        <w:rPr/>
        <w:pict>
          <v:shape style="position:absolute;margin-left:91.538452pt;margin-top:21.019424pt;width:4.55pt;height:4.55pt;mso-position-horizontal-relative:page;mso-position-vertical-relative:paragraph;z-index:15851008"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w w:val="105"/>
        </w:rPr>
        <w:t>Пациентам с высоким и очень высоким</w:t>
      </w:r>
      <w:r>
        <w:rPr>
          <w:spacing w:val="-52"/>
          <w:w w:val="105"/>
        </w:rPr>
        <w:t> </w:t>
      </w:r>
      <w:r>
        <w:rPr>
          <w:w w:val="105"/>
        </w:rPr>
        <w:t>сердечно-сосудистым риском (таблица П10, Приложение Г2 и таблица П12, Приложение</w:t>
      </w:r>
      <w:r>
        <w:rPr>
          <w:spacing w:val="-17"/>
          <w:w w:val="105"/>
        </w:rPr>
        <w:t> </w:t>
      </w:r>
      <w:r>
        <w:rPr>
          <w:w w:val="105"/>
        </w:rPr>
        <w:t>Г2),</w:t>
      </w:r>
      <w:r>
        <w:rPr>
          <w:spacing w:val="-16"/>
          <w:w w:val="105"/>
        </w:rPr>
        <w:t> </w:t>
      </w:r>
      <w:r>
        <w:rPr>
          <w:w w:val="105"/>
        </w:rPr>
        <w:t>а</w:t>
      </w:r>
      <w:r>
        <w:rPr>
          <w:spacing w:val="-16"/>
          <w:w w:val="105"/>
        </w:rPr>
        <w:t> </w:t>
      </w:r>
      <w:r>
        <w:rPr>
          <w:w w:val="105"/>
        </w:rPr>
        <w:t>также</w:t>
      </w:r>
      <w:r>
        <w:rPr>
          <w:spacing w:val="-16"/>
          <w:w w:val="105"/>
        </w:rPr>
        <w:t> </w:t>
      </w:r>
      <w:r>
        <w:rPr>
          <w:w w:val="105"/>
        </w:rPr>
        <w:t>для</w:t>
      </w:r>
      <w:r>
        <w:rPr>
          <w:spacing w:val="-16"/>
          <w:w w:val="105"/>
        </w:rPr>
        <w:t> </w:t>
      </w:r>
      <w:r>
        <w:rPr>
          <w:w w:val="105"/>
        </w:rPr>
        <w:t>пациентов,</w:t>
      </w:r>
      <w:r>
        <w:rPr>
          <w:spacing w:val="-16"/>
          <w:w w:val="105"/>
        </w:rPr>
        <w:t> </w:t>
      </w:r>
      <w:r>
        <w:rPr>
          <w:w w:val="105"/>
        </w:rPr>
        <w:t>получающих</w:t>
      </w:r>
      <w:r>
        <w:rPr>
          <w:spacing w:val="-16"/>
          <w:w w:val="105"/>
        </w:rPr>
        <w:t> </w:t>
      </w:r>
      <w:r>
        <w:rPr>
          <w:w w:val="105"/>
        </w:rPr>
        <w:t>только немедикаментозное лечение, и для лиц с низкой приверженностью к лечению после достижения целевого </w:t>
      </w:r>
      <w:r>
        <w:rPr/>
        <w:t>уровня АД на фоне проводимой терапии последующие визиты </w:t>
      </w:r>
      <w:r>
        <w:rPr>
          <w:w w:val="105"/>
        </w:rPr>
        <w:t>к врачу рекомендуется проводить не реже, чем один раз в 3 месяца; визиты для пациентов </w:t>
      </w:r>
      <w:r>
        <w:rPr>
          <w:spacing w:val="-3"/>
          <w:w w:val="105"/>
        </w:rPr>
        <w:t>со </w:t>
      </w:r>
      <w:r>
        <w:rPr>
          <w:w w:val="105"/>
        </w:rPr>
        <w:t>средним и низким риском, которые регулярно измеряют АД дома, рекомендуется проводить с интервалом в 4–6 месяцев</w:t>
      </w:r>
      <w:r>
        <w:rPr>
          <w:spacing w:val="-50"/>
          <w:w w:val="105"/>
        </w:rPr>
        <w:t> </w:t>
      </w:r>
      <w:r>
        <w:rPr>
          <w:w w:val="105"/>
        </w:rPr>
        <w:t>[288].</w:t>
      </w:r>
    </w:p>
    <w:p>
      <w:pPr>
        <w:pStyle w:val="Heading3"/>
        <w:spacing w:before="274"/>
      </w:pPr>
      <w:r>
        <w:rPr>
          <w:w w:val="105"/>
        </w:rPr>
        <w:t>ЕОК/ЕОАГ нет </w:t>
      </w:r>
      <w:r>
        <w:rPr>
          <w:b w:val="0"/>
          <w:w w:val="105"/>
        </w:rPr>
        <w:t>(</w:t>
      </w:r>
      <w:r>
        <w:rPr>
          <w:w w:val="105"/>
        </w:rPr>
        <w:t>УУР С, УДД 2)</w:t>
      </w:r>
    </w:p>
    <w:p>
      <w:pPr>
        <w:pStyle w:val="BodyText"/>
        <w:spacing w:line="256" w:lineRule="auto" w:before="296"/>
        <w:ind w:left="695" w:right="129"/>
      </w:pPr>
      <w:r>
        <w:rPr/>
        <w:pict>
          <v:shape style="position:absolute;margin-left:91.538452pt;margin-top:22.219433pt;width:4.55pt;height:4.55pt;mso-position-horizontal-relative:page;mso-position-vertical-relative:paragraph;z-index:15851520"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t>Пациентам с АГ для повышения приверженности к проводимой АГТ рекомендуется проведение ДМАД и ведение дневников с указанием доз принимаемых препаратов и уровня АД [21, 289, 290].</w:t>
      </w:r>
    </w:p>
    <w:p>
      <w:pPr>
        <w:pStyle w:val="Heading3"/>
        <w:spacing w:before="272"/>
      </w:pPr>
      <w:r>
        <w:rPr>
          <w:w w:val="105"/>
        </w:rPr>
        <w:t>ЕОК/ЕОАГ нет </w:t>
      </w:r>
      <w:r>
        <w:rPr>
          <w:b w:val="0"/>
          <w:w w:val="105"/>
        </w:rPr>
        <w:t>(</w:t>
      </w:r>
      <w:r>
        <w:rPr>
          <w:w w:val="105"/>
        </w:rPr>
        <w:t>УУР B, УДД 1)</w:t>
      </w:r>
    </w:p>
    <w:p>
      <w:pPr>
        <w:pStyle w:val="BodyText"/>
        <w:spacing w:line="256" w:lineRule="auto" w:before="296"/>
        <w:ind w:left="695" w:right="129"/>
      </w:pPr>
      <w:r>
        <w:rPr/>
        <w:pict>
          <v:shape style="position:absolute;margin-left:91.538452pt;margin-top:22.219427pt;width:4.55pt;height:4.55pt;mso-position-horizontal-relative:page;mso-position-vertical-relative:paragraph;z-index:15852032"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Пациентам с АГ для повышения эффективности и приверженности к проводимой АГТ рекомендуется проведение телемониторинга показателей системной гемодинамики с телеметрической передачей результатов измерения АД непосредственно в лечебное учреждение для оперативной обработки информации и оперативного принятия решения [291–293].</w:t>
      </w:r>
    </w:p>
    <w:p>
      <w:pPr>
        <w:pStyle w:val="Heading3"/>
        <w:spacing w:before="272"/>
      </w:pPr>
      <w:r>
        <w:rPr>
          <w:w w:val="105"/>
        </w:rPr>
        <w:t>ЕОК/ЕОАГ нет </w:t>
      </w:r>
      <w:r>
        <w:rPr>
          <w:b w:val="0"/>
          <w:w w:val="105"/>
        </w:rPr>
        <w:t>(</w:t>
      </w:r>
      <w:r>
        <w:rPr>
          <w:w w:val="105"/>
        </w:rPr>
        <w:t>УУР В, УДД 1)</w:t>
      </w:r>
    </w:p>
    <w:p>
      <w:pPr>
        <w:pStyle w:val="BodyText"/>
        <w:spacing w:line="256" w:lineRule="auto" w:before="296"/>
        <w:ind w:left="695" w:right="130"/>
      </w:pPr>
      <w:r>
        <w:rPr/>
        <w:pict>
          <v:shape style="position:absolute;margin-left:91.538452pt;margin-top:22.219427pt;width:4.55pt;height:4.55pt;mso-position-horizontal-relative:page;mso-position-vertical-relative:paragraph;z-index:15852544"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t>Рекомендуется при динамическом наблюдении особое внимание уделять показателям АД в ночные часы (особенно у пациентов с метаболическим синдромом (МС), сахарным диабетом (СД), синдромом обструктивного апноэ во время сна (СОАС), хронической болезнью почек (ХБП) 3–5-й ст.) и ранние утренние часы с целью снижения риска таких осложнений, как ИМ, инсульт [21, 34, 35].</w:t>
      </w:r>
    </w:p>
    <w:p>
      <w:pPr>
        <w:spacing w:before="273"/>
        <w:ind w:left="695" w:right="0" w:firstLine="0"/>
        <w:jc w:val="left"/>
        <w:rPr>
          <w:b/>
          <w:sz w:val="27"/>
        </w:rPr>
      </w:pPr>
      <w:r>
        <w:rPr>
          <w:b/>
          <w:w w:val="105"/>
          <w:sz w:val="27"/>
        </w:rPr>
        <w:t>ЕОК/ЕОАГ нет </w:t>
      </w:r>
      <w:r>
        <w:rPr>
          <w:w w:val="105"/>
          <w:sz w:val="27"/>
        </w:rPr>
        <w:t>(</w:t>
      </w:r>
      <w:r>
        <w:rPr>
          <w:b/>
          <w:w w:val="105"/>
          <w:sz w:val="27"/>
        </w:rPr>
        <w:t>УУР В, УДД 2)</w:t>
      </w:r>
    </w:p>
    <w:p>
      <w:pPr>
        <w:spacing w:after="0"/>
        <w:jc w:val="left"/>
        <w:rPr>
          <w:sz w:val="27"/>
        </w:rPr>
        <w:sectPr>
          <w:pgSz w:w="11900" w:h="16840"/>
          <w:pgMar w:top="0" w:bottom="280" w:left="1420" w:right="1520"/>
        </w:sectPr>
      </w:pPr>
    </w:p>
    <w:p>
      <w:pPr>
        <w:pStyle w:val="Heading1"/>
        <w:numPr>
          <w:ilvl w:val="0"/>
          <w:numId w:val="9"/>
        </w:numPr>
        <w:tabs>
          <w:tab w:pos="899" w:val="left" w:leader="none"/>
        </w:tabs>
        <w:spacing w:line="177" w:lineRule="auto" w:before="47" w:after="0"/>
        <w:ind w:left="380" w:right="2450" w:firstLine="0"/>
        <w:jc w:val="left"/>
      </w:pPr>
      <w:r>
        <w:rPr/>
        <w:t>Организация оказания медицинской</w:t>
      </w:r>
      <w:r>
        <w:rPr>
          <w:spacing w:val="9"/>
        </w:rPr>
        <w:t> </w:t>
      </w:r>
      <w:r>
        <w:rPr/>
        <w:t>помощи</w:t>
      </w:r>
    </w:p>
    <w:p>
      <w:pPr>
        <w:pStyle w:val="BodyText"/>
        <w:spacing w:before="9"/>
        <w:ind w:left="0"/>
        <w:jc w:val="left"/>
        <w:rPr>
          <w:b/>
          <w:sz w:val="47"/>
        </w:rPr>
      </w:pPr>
    </w:p>
    <w:p>
      <w:pPr>
        <w:pStyle w:val="Heading2"/>
        <w:numPr>
          <w:ilvl w:val="1"/>
          <w:numId w:val="9"/>
        </w:numPr>
        <w:tabs>
          <w:tab w:pos="1021" w:val="left" w:leader="none"/>
        </w:tabs>
        <w:spacing w:line="240" w:lineRule="auto" w:before="1" w:after="0"/>
        <w:ind w:left="1020" w:right="0" w:hanging="641"/>
        <w:jc w:val="left"/>
      </w:pPr>
      <w:r>
        <w:rPr/>
        <w:t>Показания для плановой</w:t>
      </w:r>
      <w:r>
        <w:rPr>
          <w:spacing w:val="42"/>
        </w:rPr>
        <w:t> </w:t>
      </w:r>
      <w:r>
        <w:rPr/>
        <w:t>госпитализации:</w:t>
      </w:r>
    </w:p>
    <w:p>
      <w:pPr>
        <w:pStyle w:val="BodyText"/>
        <w:spacing w:before="5"/>
        <w:ind w:left="0"/>
        <w:jc w:val="left"/>
        <w:rPr>
          <w:b/>
          <w:sz w:val="23"/>
        </w:rPr>
      </w:pPr>
    </w:p>
    <w:p>
      <w:pPr>
        <w:pStyle w:val="BodyText"/>
        <w:spacing w:line="256" w:lineRule="auto" w:before="97"/>
        <w:ind w:left="695" w:right="130"/>
      </w:pPr>
      <w:r>
        <w:rPr/>
        <w:pict>
          <v:shape style="position:absolute;margin-left:91.538452pt;margin-top:12.269421pt;width:4.55pt;height:4.55pt;mso-position-horizontal-relative:page;mso-position-vertical-relative:paragraph;z-index:15853056" coordorigin="1831,245" coordsize="91,91" path="m1876,335l1863,335,1853,331,1835,313,1831,303,1831,278,1835,267,1853,250,1863,245,1888,245,1899,250,1916,267,1921,278,1921,290,1921,303,1916,313,1899,331,1888,335,1876,335xe" filled="true" fillcolor="#000000" stroked="false">
            <v:path arrowok="t"/>
            <v:fill type="solid"/>
            <w10:wrap type="none"/>
          </v:shape>
        </w:pict>
      </w:r>
      <w:r>
        <w:rPr/>
        <w:t>неясность диагноза и необходимость в специальных методах исследования (использование диагностических процедур, проведение которых невозможно или нецелесообразно в условиях поликлиники) для уточнения причины повышения АД (исключение симптоматических АГ);</w:t>
      </w:r>
    </w:p>
    <w:p>
      <w:pPr>
        <w:pStyle w:val="BodyText"/>
        <w:spacing w:line="256" w:lineRule="auto" w:before="2"/>
        <w:ind w:left="695" w:right="132"/>
      </w:pPr>
      <w:r>
        <w:rPr/>
        <w:pict>
          <v:shape style="position:absolute;margin-left:91.538452pt;margin-top:7.519448pt;width:4.55pt;height:4.55pt;mso-position-horizontal-relative:page;mso-position-vertical-relative:paragraph;z-index:15853568" coordorigin="1831,150" coordsize="91,91" path="m1876,240l1863,240,1853,236,1835,218,1831,208,1831,183,1835,172,1853,155,1863,150,1888,150,1899,155,1916,172,1921,183,1921,195,1921,208,1916,218,1899,236,1888,240,1876,240xe" filled="true" fillcolor="#000000" stroked="false">
            <v:path arrowok="t"/>
            <v:fill type="solid"/>
            <w10:wrap type="none"/>
          </v:shape>
        </w:pict>
      </w:r>
      <w:r>
        <w:rPr/>
        <w:t>трудности в подборе медикаментозной терапии (сочетанная патология, частые гипертонические кризы);</w:t>
      </w:r>
    </w:p>
    <w:p>
      <w:pPr>
        <w:pStyle w:val="BodyText"/>
        <w:ind w:left="695"/>
      </w:pPr>
      <w:r>
        <w:rPr/>
        <w:pict>
          <v:shape style="position:absolute;margin-left:91.538452pt;margin-top:7.469423pt;width:4.55pt;height:4.55pt;mso-position-horizontal-relative:page;mso-position-vertical-relative:paragraph;z-index:15854080"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t>рефрактерная АГ.</w:t>
      </w:r>
    </w:p>
    <w:p>
      <w:pPr>
        <w:pStyle w:val="BodyText"/>
        <w:spacing w:before="10"/>
        <w:ind w:left="0"/>
        <w:jc w:val="left"/>
        <w:rPr>
          <w:sz w:val="51"/>
        </w:rPr>
      </w:pPr>
    </w:p>
    <w:p>
      <w:pPr>
        <w:pStyle w:val="Heading2"/>
        <w:numPr>
          <w:ilvl w:val="1"/>
          <w:numId w:val="9"/>
        </w:numPr>
        <w:tabs>
          <w:tab w:pos="1021" w:val="left" w:leader="none"/>
        </w:tabs>
        <w:spacing w:line="240" w:lineRule="auto" w:before="0" w:after="0"/>
        <w:ind w:left="1020" w:right="0" w:hanging="641"/>
        <w:jc w:val="left"/>
      </w:pPr>
      <w:r>
        <w:rPr/>
        <w:t>Показания для экстренной</w:t>
      </w:r>
      <w:r>
        <w:rPr>
          <w:spacing w:val="41"/>
        </w:rPr>
        <w:t> </w:t>
      </w:r>
      <w:r>
        <w:rPr/>
        <w:t>госпитализации:</w:t>
      </w:r>
    </w:p>
    <w:p>
      <w:pPr>
        <w:pStyle w:val="BodyText"/>
        <w:spacing w:before="6"/>
        <w:ind w:left="0"/>
        <w:jc w:val="left"/>
        <w:rPr>
          <w:b/>
          <w:sz w:val="23"/>
        </w:rPr>
      </w:pPr>
    </w:p>
    <w:p>
      <w:pPr>
        <w:pStyle w:val="BodyText"/>
        <w:spacing w:line="256" w:lineRule="auto" w:before="97"/>
        <w:ind w:left="695" w:right="141"/>
      </w:pPr>
      <w:r>
        <w:rPr/>
        <w:pict>
          <v:shape style="position:absolute;margin-left:91.538452pt;margin-top:12.26943pt;width:4.55pt;height:4.55pt;mso-position-horizontal-relative:page;mso-position-vertical-relative:paragraph;z-index:15854592" coordorigin="1831,245" coordsize="91,91" path="m1876,335l1863,335,1853,331,1835,313,1831,303,1831,278,1835,267,1853,250,1863,245,1888,245,1899,250,1916,267,1921,278,1921,290,1921,303,1916,313,1899,331,1888,335,1876,335xe" filled="true" fillcolor="#000000" stroked="false">
            <v:path arrowok="t"/>
            <v:fill type="solid"/>
            <w10:wrap type="none"/>
          </v:shape>
        </w:pict>
      </w:r>
      <w:r>
        <w:rPr/>
        <w:t>гипертонический криз, не купирующийся на догоспитальном этапе;</w:t>
      </w:r>
    </w:p>
    <w:p>
      <w:pPr>
        <w:pStyle w:val="BodyText"/>
        <w:ind w:left="695"/>
      </w:pPr>
      <w:r>
        <w:rPr/>
        <w:pict>
          <v:shape style="position:absolute;margin-left:91.538452pt;margin-top:7.469435pt;width:4.55pt;height:4.55pt;mso-position-horizontal-relative:page;mso-position-vertical-relative:paragraph;z-index:15855104"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t>гипертонический криз при феохромоцитоме;</w:t>
      </w:r>
    </w:p>
    <w:p>
      <w:pPr>
        <w:pStyle w:val="BodyText"/>
        <w:spacing w:line="256" w:lineRule="auto" w:before="26"/>
        <w:ind w:left="695" w:right="134"/>
      </w:pPr>
      <w:r>
        <w:rPr/>
        <w:pict>
          <v:shape style="position:absolute;margin-left:91.538452pt;margin-top:8.719422pt;width:4.55pt;height:4.55pt;mso-position-horizontal-relative:page;mso-position-vertical-relative:paragraph;z-index:15855616" coordorigin="1831,174" coordsize="91,91" path="m1876,264l1863,264,1853,260,1835,242,1831,232,1831,207,1835,196,1853,179,1863,174,1888,174,1899,179,1916,196,1921,207,1921,219,1921,232,1916,242,1899,260,1888,264,1876,264xe" filled="true" fillcolor="#000000" stroked="false">
            <v:path arrowok="t"/>
            <v:fill type="solid"/>
            <w10:wrap type="none"/>
          </v:shape>
        </w:pict>
      </w:r>
      <w:r>
        <w:rPr/>
        <w:t>гипертонический криз с выраженными явлениями гипертонической энцефалопатии;</w:t>
      </w:r>
    </w:p>
    <w:p>
      <w:pPr>
        <w:pStyle w:val="BodyText"/>
        <w:spacing w:line="256" w:lineRule="auto"/>
        <w:ind w:left="695" w:right="134"/>
      </w:pPr>
      <w:r>
        <w:rPr/>
        <w:pict>
          <v:shape style="position:absolute;margin-left:91.538452pt;margin-top:7.469428pt;width:4.55pt;height:4.55pt;mso-position-horizontal-relative:page;mso-position-vertical-relative:paragraph;z-index:15856128"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t>осложнения АГ, требующие интенсивной терапии: инсульт, ОКС, субарахноидальное кровоизлияние, острые нарушения зрения, отек легких, расслоение аорты, почечная недостаточность, эклампсия.</w:t>
      </w:r>
    </w:p>
    <w:p>
      <w:pPr>
        <w:pStyle w:val="BodyText"/>
        <w:spacing w:before="0"/>
        <w:ind w:left="0"/>
        <w:jc w:val="left"/>
        <w:rPr>
          <w:sz w:val="36"/>
        </w:rPr>
      </w:pPr>
    </w:p>
    <w:p>
      <w:pPr>
        <w:pStyle w:val="Heading2"/>
        <w:numPr>
          <w:ilvl w:val="1"/>
          <w:numId w:val="9"/>
        </w:numPr>
        <w:tabs>
          <w:tab w:pos="1021" w:val="left" w:leader="none"/>
        </w:tabs>
        <w:spacing w:line="177" w:lineRule="auto" w:before="278" w:after="0"/>
        <w:ind w:left="380" w:right="2160" w:firstLine="0"/>
        <w:jc w:val="left"/>
      </w:pPr>
      <w:r>
        <w:rPr>
          <w:w w:val="105"/>
        </w:rPr>
        <w:t>Показания</w:t>
      </w:r>
      <w:r>
        <w:rPr>
          <w:spacing w:val="-46"/>
          <w:w w:val="105"/>
        </w:rPr>
        <w:t> </w:t>
      </w:r>
      <w:r>
        <w:rPr>
          <w:w w:val="105"/>
        </w:rPr>
        <w:t>к</w:t>
      </w:r>
      <w:r>
        <w:rPr>
          <w:spacing w:val="-46"/>
          <w:w w:val="105"/>
        </w:rPr>
        <w:t> </w:t>
      </w:r>
      <w:r>
        <w:rPr>
          <w:w w:val="105"/>
        </w:rPr>
        <w:t>выписке</w:t>
      </w:r>
      <w:r>
        <w:rPr>
          <w:spacing w:val="-45"/>
          <w:w w:val="105"/>
        </w:rPr>
        <w:t> </w:t>
      </w:r>
      <w:r>
        <w:rPr>
          <w:w w:val="105"/>
        </w:rPr>
        <w:t>пациента</w:t>
      </w:r>
      <w:r>
        <w:rPr>
          <w:spacing w:val="-46"/>
          <w:w w:val="105"/>
        </w:rPr>
        <w:t> </w:t>
      </w:r>
      <w:r>
        <w:rPr>
          <w:spacing w:val="-6"/>
          <w:w w:val="105"/>
        </w:rPr>
        <w:t>из </w:t>
      </w:r>
      <w:r>
        <w:rPr>
          <w:w w:val="105"/>
        </w:rPr>
        <w:t>стационара:</w:t>
      </w:r>
    </w:p>
    <w:p>
      <w:pPr>
        <w:pStyle w:val="BodyText"/>
        <w:spacing w:before="5"/>
        <w:ind w:left="0"/>
        <w:jc w:val="left"/>
        <w:rPr>
          <w:b/>
          <w:sz w:val="25"/>
        </w:rPr>
      </w:pPr>
    </w:p>
    <w:p>
      <w:pPr>
        <w:pStyle w:val="BodyText"/>
        <w:spacing w:line="256" w:lineRule="auto" w:before="97"/>
        <w:ind w:left="695" w:right="129"/>
      </w:pPr>
      <w:r>
        <w:rPr/>
        <w:pict>
          <v:shape style="position:absolute;margin-left:91.538452pt;margin-top:12.269436pt;width:4.55pt;height:4.55pt;mso-position-horizontal-relative:page;mso-position-vertical-relative:paragraph;z-index:15856640" coordorigin="1831,245" coordsize="91,91" path="m1888,335l1863,335,1853,331,1835,313,1831,303,1831,278,1835,267,1853,250,1863,245,1888,245,1899,250,1916,267,1921,278,1921,290,1921,303,1916,313,1899,331,1888,335xe" filled="true" fillcolor="#000000" stroked="false">
            <v:path arrowok="t"/>
            <v:fill type="solid"/>
            <w10:wrap type="none"/>
          </v:shape>
        </w:pict>
      </w:r>
      <w:r>
        <w:rPr/>
        <w:t>установленный диагноз симптоматической АГ или ГБ с использованием специальных методов исследования при уточнении причины повышения АД;</w:t>
      </w:r>
    </w:p>
    <w:p>
      <w:pPr>
        <w:pStyle w:val="BodyText"/>
        <w:tabs>
          <w:tab w:pos="2412" w:val="left" w:leader="none"/>
          <w:tab w:pos="2651" w:val="left" w:leader="none"/>
          <w:tab w:pos="3543" w:val="left" w:leader="none"/>
          <w:tab w:pos="4824" w:val="left" w:leader="none"/>
          <w:tab w:pos="5237" w:val="left" w:leader="none"/>
          <w:tab w:pos="6567" w:val="left" w:leader="none"/>
          <w:tab w:pos="7349" w:val="left" w:leader="none"/>
          <w:tab w:pos="7428" w:val="left" w:leader="none"/>
          <w:tab w:pos="8693" w:val="left" w:leader="none"/>
        </w:tabs>
        <w:spacing w:line="256" w:lineRule="auto"/>
        <w:ind w:left="695" w:right="132"/>
        <w:jc w:val="left"/>
      </w:pPr>
      <w:r>
        <w:rPr/>
        <w:pict>
          <v:shape style="position:absolute;margin-left:91.538452pt;margin-top:7.469428pt;width:4.55pt;height:4.55pt;mso-position-horizontal-relative:page;mso-position-vertical-relative:paragraph;z-index:15857152"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pict>
          <v:shape style="position:absolute;margin-left:91.538452pt;margin-top:85.502213pt;width:4.55pt;height:4.55pt;mso-position-horizontal-relative:page;mso-position-vertical-relative:paragraph;z-index:15857664" coordorigin="1831,1710" coordsize="91,91" path="m1876,1800l1863,1800,1853,1796,1835,1778,1831,1767,1831,1743,1835,1732,1853,1714,1863,1710,1888,1710,1899,1714,1916,1732,1921,1743,1921,1755,1921,1767,1916,1778,1899,1796,1888,1800,1876,1800xe" filled="true" fillcolor="#000000" stroked="false">
            <v:path arrowok="t"/>
            <v:fill type="solid"/>
            <w10:wrap type="none"/>
          </v:shape>
        </w:pict>
      </w:r>
      <w:r>
        <w:rPr/>
        <w:t>подобранная</w:t>
        <w:tab/>
        <w:tab/>
        <w:t>медикаментозная</w:t>
        <w:tab/>
        <w:t>терапия</w:t>
        <w:tab/>
        <w:t>при</w:t>
        <w:tab/>
      </w:r>
      <w:r>
        <w:rPr>
          <w:spacing w:val="-1"/>
        </w:rPr>
        <w:t>сочетанной </w:t>
      </w:r>
      <w:r>
        <w:rPr/>
        <w:t>патологии</w:t>
        <w:tab/>
        <w:t>и/или</w:t>
        <w:tab/>
        <w:t>частых</w:t>
        <w:tab/>
        <w:t>гипертонических</w:t>
        <w:tab/>
        <w:tab/>
        <w:t>кризах</w:t>
        <w:tab/>
      </w:r>
      <w:r>
        <w:rPr>
          <w:spacing w:val="-11"/>
        </w:rPr>
        <w:t>с </w:t>
      </w:r>
      <w:r>
        <w:rPr/>
        <w:t>достижением целевого уровняАД или снижение АД на 25–30% </w:t>
      </w:r>
      <w:r>
        <w:rPr>
          <w:spacing w:val="-3"/>
        </w:rPr>
        <w:t>от </w:t>
      </w:r>
      <w:r>
        <w:rPr/>
        <w:t>исходных значений на момент выписки из стационара; купированный гипертонический криз, отсутствие осложнений, требующих интенсивной терапии, стабилизация уровня</w:t>
      </w:r>
      <w:r>
        <w:rPr>
          <w:spacing w:val="-29"/>
        </w:rPr>
        <w:t> </w:t>
      </w:r>
      <w:r>
        <w:rPr/>
        <w:t>АД.</w:t>
      </w:r>
    </w:p>
    <w:p>
      <w:pPr>
        <w:spacing w:after="0" w:line="256" w:lineRule="auto"/>
        <w:jc w:val="left"/>
        <w:sectPr>
          <w:pgSz w:w="11900" w:h="16840"/>
          <w:pgMar w:top="0" w:bottom="280" w:left="1420" w:right="1520"/>
        </w:sectPr>
      </w:pPr>
    </w:p>
    <w:p>
      <w:pPr>
        <w:pStyle w:val="Heading2"/>
        <w:numPr>
          <w:ilvl w:val="1"/>
          <w:numId w:val="9"/>
        </w:numPr>
        <w:tabs>
          <w:tab w:pos="1021" w:val="left" w:leader="none"/>
        </w:tabs>
        <w:spacing w:line="384" w:lineRule="exact" w:before="0" w:after="0"/>
        <w:ind w:left="1020" w:right="0" w:hanging="641"/>
        <w:jc w:val="left"/>
      </w:pPr>
      <w:r>
        <w:rPr/>
        <w:t>Иные организационные</w:t>
      </w:r>
      <w:r>
        <w:rPr>
          <w:spacing w:val="12"/>
        </w:rPr>
        <w:t> </w:t>
      </w:r>
      <w:r>
        <w:rPr/>
        <w:t>технологии</w:t>
      </w:r>
    </w:p>
    <w:p>
      <w:pPr>
        <w:pStyle w:val="BodyText"/>
        <w:spacing w:before="8"/>
        <w:ind w:left="0"/>
        <w:jc w:val="left"/>
        <w:rPr>
          <w:b/>
          <w:sz w:val="30"/>
        </w:rPr>
      </w:pPr>
    </w:p>
    <w:p>
      <w:pPr>
        <w:pStyle w:val="BodyText"/>
        <w:spacing w:line="256" w:lineRule="auto" w:before="0"/>
        <w:ind w:left="695"/>
        <w:jc w:val="left"/>
      </w:pPr>
      <w:r>
        <w:rPr/>
        <w:t>При анализе работы медицинской организации с пациентами с АГ целесообразно анализировать следующие показатели:</w:t>
      </w:r>
    </w:p>
    <w:p>
      <w:pPr>
        <w:pStyle w:val="BodyText"/>
        <w:tabs>
          <w:tab w:pos="2299" w:val="left" w:leader="none"/>
          <w:tab w:pos="4271" w:val="left" w:leader="none"/>
          <w:tab w:pos="6431" w:val="left" w:leader="none"/>
        </w:tabs>
        <w:spacing w:line="256" w:lineRule="auto" w:before="271"/>
        <w:ind w:left="695" w:right="132"/>
        <w:jc w:val="left"/>
      </w:pPr>
      <w:r>
        <w:rPr/>
        <w:pict>
          <v:shape style="position:absolute;margin-left:91.538452pt;margin-top:20.969404pt;width:4.55pt;height:4.55pt;mso-position-horizontal-relative:page;mso-position-vertical-relative:paragraph;z-index:15858176" coordorigin="1831,419" coordsize="91,91" path="m1876,509l1863,509,1853,505,1835,487,1831,477,1831,452,1835,441,1853,424,1863,419,1888,419,1899,424,1916,441,1921,452,1921,464,1921,477,1916,487,1899,505,1888,509,1876,509xe" filled="true" fillcolor="#000000" stroked="false">
            <v:path arrowok="t"/>
            <v:fill type="solid"/>
            <w10:wrap type="none"/>
          </v:shape>
        </w:pict>
      </w:r>
      <w:r>
        <w:rPr/>
        <w:pict>
          <v:shape style="position:absolute;margin-left:91.538452pt;margin-top:59.985798pt;width:4.55pt;height:4.55pt;mso-position-horizontal-relative:page;mso-position-vertical-relative:paragraph;z-index:15858688" coordorigin="1831,1200" coordsize="91,91" path="m1876,1290l1863,1290,1853,1285,1835,1268,1831,1257,1831,1232,1835,1222,1853,1204,1863,1200,1888,1200,1899,1204,1916,1222,1921,1232,1921,1245,1921,1257,1916,1268,1899,1285,1888,1290,1876,1290xe" filled="true" fillcolor="#000000" stroked="false">
            <v:path arrowok="t"/>
            <v:fill type="solid"/>
            <w10:wrap type="none"/>
          </v:shape>
        </w:pict>
      </w:r>
      <w:r>
        <w:rPr/>
        <w:t>процент пациентов, достигших целевого АД менее 140/90 мм рт. ст. и 130/80 мм рт. ст. через 3, 6 и 12 месяцев наблюдения; процент</w:t>
        <w:tab/>
        <w:t>пациентов,</w:t>
        <w:tab/>
        <w:t>получающих</w:t>
        <w:tab/>
      </w:r>
      <w:r>
        <w:rPr>
          <w:spacing w:val="-1"/>
        </w:rPr>
        <w:t>комбинированную </w:t>
      </w:r>
      <w:r>
        <w:rPr/>
        <w:t>антигипертензивную</w:t>
      </w:r>
      <w:r>
        <w:rPr>
          <w:spacing w:val="-2"/>
        </w:rPr>
        <w:t> </w:t>
      </w:r>
      <w:r>
        <w:rPr/>
        <w:t>терапию.</w:t>
      </w:r>
    </w:p>
    <w:p>
      <w:pPr>
        <w:spacing w:after="0" w:line="256" w:lineRule="auto"/>
        <w:jc w:val="left"/>
        <w:sectPr>
          <w:pgSz w:w="11900" w:h="16840"/>
          <w:pgMar w:top="0" w:bottom="280" w:left="1420" w:right="1520"/>
        </w:sectPr>
      </w:pPr>
    </w:p>
    <w:p>
      <w:pPr>
        <w:pStyle w:val="Heading1"/>
        <w:spacing w:line="177" w:lineRule="auto" w:before="197"/>
      </w:pPr>
      <w:r>
        <w:rPr/>
        <w:t>6. Дополнительная информация, влияющая на течение и исход заболевания</w:t>
      </w:r>
    </w:p>
    <w:p>
      <w:pPr>
        <w:pStyle w:val="BodyText"/>
        <w:spacing w:line="256" w:lineRule="auto" w:before="423"/>
        <w:ind w:left="380" w:right="129"/>
      </w:pPr>
      <w:r>
        <w:rPr/>
        <w:t>Снижение АД, достижение и удержание его на целевом уровне является ключевым фактором, влияющим на прогноз и улучшающим сердечно-сосудистые исходы у пациентов с АГ.</w:t>
      </w:r>
    </w:p>
    <w:p>
      <w:pPr>
        <w:pStyle w:val="BodyText"/>
        <w:spacing w:before="271"/>
        <w:ind w:left="380"/>
        <w:jc w:val="left"/>
      </w:pPr>
      <w:r>
        <w:rPr/>
        <w:t>Другими важными целями при лечении АГ являются:</w:t>
      </w:r>
    </w:p>
    <w:p>
      <w:pPr>
        <w:pStyle w:val="ListParagraph"/>
        <w:numPr>
          <w:ilvl w:val="0"/>
          <w:numId w:val="10"/>
        </w:numPr>
        <w:tabs>
          <w:tab w:pos="562" w:val="left" w:leader="none"/>
        </w:tabs>
        <w:spacing w:line="240" w:lineRule="auto" w:before="296" w:after="0"/>
        <w:ind w:left="561" w:right="0" w:hanging="182"/>
        <w:jc w:val="left"/>
        <w:rPr>
          <w:sz w:val="27"/>
        </w:rPr>
      </w:pPr>
      <w:r>
        <w:rPr>
          <w:sz w:val="27"/>
        </w:rPr>
        <w:t>максимальное снижение риска развития </w:t>
      </w:r>
      <w:r>
        <w:rPr>
          <w:spacing w:val="-5"/>
          <w:sz w:val="27"/>
        </w:rPr>
        <w:t>ССО </w:t>
      </w:r>
      <w:r>
        <w:rPr>
          <w:sz w:val="27"/>
        </w:rPr>
        <w:t>и</w:t>
      </w:r>
      <w:r>
        <w:rPr>
          <w:spacing w:val="-11"/>
          <w:sz w:val="27"/>
        </w:rPr>
        <w:t> </w:t>
      </w:r>
      <w:r>
        <w:rPr>
          <w:sz w:val="27"/>
        </w:rPr>
        <w:t>смерти;</w:t>
      </w:r>
    </w:p>
    <w:p>
      <w:pPr>
        <w:pStyle w:val="ListParagraph"/>
        <w:numPr>
          <w:ilvl w:val="0"/>
          <w:numId w:val="10"/>
        </w:numPr>
        <w:tabs>
          <w:tab w:pos="594" w:val="left" w:leader="none"/>
        </w:tabs>
        <w:spacing w:line="256" w:lineRule="auto" w:before="296" w:after="0"/>
        <w:ind w:left="380" w:right="136" w:firstLine="0"/>
        <w:jc w:val="both"/>
        <w:rPr>
          <w:sz w:val="27"/>
        </w:rPr>
      </w:pPr>
      <w:r>
        <w:rPr>
          <w:sz w:val="27"/>
        </w:rPr>
        <w:t>коррекция </w:t>
      </w:r>
      <w:r>
        <w:rPr>
          <w:spacing w:val="-3"/>
          <w:sz w:val="27"/>
        </w:rPr>
        <w:t>всех </w:t>
      </w:r>
      <w:r>
        <w:rPr>
          <w:sz w:val="27"/>
        </w:rPr>
        <w:t>модифицируемых ФР (курение, дислипидемия, гипергликемия,</w:t>
      </w:r>
      <w:r>
        <w:rPr>
          <w:spacing w:val="-3"/>
          <w:sz w:val="27"/>
        </w:rPr>
        <w:t> </w:t>
      </w:r>
      <w:r>
        <w:rPr>
          <w:sz w:val="27"/>
        </w:rPr>
        <w:t>ожирение);</w:t>
      </w:r>
    </w:p>
    <w:p>
      <w:pPr>
        <w:pStyle w:val="ListParagraph"/>
        <w:numPr>
          <w:ilvl w:val="0"/>
          <w:numId w:val="10"/>
        </w:numPr>
        <w:tabs>
          <w:tab w:pos="649" w:val="left" w:leader="none"/>
        </w:tabs>
        <w:spacing w:line="256" w:lineRule="auto" w:before="271" w:after="0"/>
        <w:ind w:left="380" w:right="138" w:firstLine="0"/>
        <w:jc w:val="both"/>
        <w:rPr>
          <w:sz w:val="27"/>
        </w:rPr>
      </w:pPr>
      <w:r>
        <w:rPr>
          <w:sz w:val="27"/>
        </w:rPr>
        <w:t>предупреждение, замедление темпа прогрессирования и/или уменьшение</w:t>
      </w:r>
      <w:r>
        <w:rPr>
          <w:spacing w:val="-3"/>
          <w:sz w:val="27"/>
        </w:rPr>
        <w:t> </w:t>
      </w:r>
      <w:r>
        <w:rPr>
          <w:sz w:val="27"/>
        </w:rPr>
        <w:t>ПОМ;</w:t>
      </w:r>
    </w:p>
    <w:p>
      <w:pPr>
        <w:pStyle w:val="ListParagraph"/>
        <w:numPr>
          <w:ilvl w:val="0"/>
          <w:numId w:val="10"/>
        </w:numPr>
        <w:tabs>
          <w:tab w:pos="562" w:val="left" w:leader="none"/>
        </w:tabs>
        <w:spacing w:line="240" w:lineRule="auto" w:before="271" w:after="0"/>
        <w:ind w:left="561" w:right="0" w:hanging="182"/>
        <w:jc w:val="left"/>
        <w:rPr>
          <w:sz w:val="27"/>
        </w:rPr>
      </w:pPr>
      <w:r>
        <w:rPr>
          <w:sz w:val="27"/>
        </w:rPr>
        <w:t>лечение</w:t>
      </w:r>
      <w:r>
        <w:rPr>
          <w:spacing w:val="-11"/>
          <w:sz w:val="27"/>
        </w:rPr>
        <w:t> </w:t>
      </w:r>
      <w:r>
        <w:rPr>
          <w:sz w:val="27"/>
        </w:rPr>
        <w:t>сопутствующих</w:t>
      </w:r>
      <w:r>
        <w:rPr>
          <w:spacing w:val="-10"/>
          <w:sz w:val="27"/>
        </w:rPr>
        <w:t> </w:t>
      </w:r>
      <w:r>
        <w:rPr>
          <w:sz w:val="27"/>
        </w:rPr>
        <w:t>заболеваний</w:t>
      </w:r>
      <w:r>
        <w:rPr>
          <w:spacing w:val="-10"/>
          <w:sz w:val="27"/>
        </w:rPr>
        <w:t> </w:t>
      </w:r>
      <w:r>
        <w:rPr>
          <w:sz w:val="27"/>
        </w:rPr>
        <w:t>(ИБС,</w:t>
      </w:r>
      <w:r>
        <w:rPr>
          <w:spacing w:val="-10"/>
          <w:sz w:val="27"/>
        </w:rPr>
        <w:t> </w:t>
      </w:r>
      <w:r>
        <w:rPr>
          <w:spacing w:val="-3"/>
          <w:sz w:val="27"/>
        </w:rPr>
        <w:t>ХСН,</w:t>
      </w:r>
      <w:r>
        <w:rPr>
          <w:spacing w:val="-10"/>
          <w:sz w:val="27"/>
        </w:rPr>
        <w:t> </w:t>
      </w:r>
      <w:r>
        <w:rPr>
          <w:spacing w:val="-3"/>
          <w:sz w:val="27"/>
        </w:rPr>
        <w:t>СД,</w:t>
      </w:r>
      <w:r>
        <w:rPr>
          <w:spacing w:val="-10"/>
          <w:sz w:val="27"/>
        </w:rPr>
        <w:t> </w:t>
      </w:r>
      <w:r>
        <w:rPr>
          <w:sz w:val="27"/>
        </w:rPr>
        <w:t>ФП,</w:t>
      </w:r>
      <w:r>
        <w:rPr>
          <w:spacing w:val="-10"/>
          <w:sz w:val="27"/>
        </w:rPr>
        <w:t> </w:t>
      </w:r>
      <w:r>
        <w:rPr>
          <w:sz w:val="27"/>
        </w:rPr>
        <w:t>ХБП).</w:t>
      </w:r>
    </w:p>
    <w:p>
      <w:pPr>
        <w:spacing w:after="0" w:line="240" w:lineRule="auto"/>
        <w:jc w:val="left"/>
        <w:rPr>
          <w:sz w:val="27"/>
        </w:rPr>
        <w:sectPr>
          <w:pgSz w:w="11900" w:h="16840"/>
          <w:pgMar w:top="600" w:bottom="280" w:left="1420" w:right="1520"/>
        </w:sectPr>
      </w:pPr>
    </w:p>
    <w:p>
      <w:pPr>
        <w:pStyle w:val="Heading1"/>
        <w:spacing w:line="177" w:lineRule="auto" w:before="197"/>
      </w:pPr>
      <w:r>
        <w:rPr/>
        <w:t>Критерии оценки качества медицинской помощи</w:t>
      </w: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13"/>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5"/>
        <w:gridCol w:w="5042"/>
        <w:gridCol w:w="1831"/>
        <w:gridCol w:w="886"/>
      </w:tblGrid>
      <w:tr>
        <w:trPr>
          <w:trHeight w:val="790" w:hRule="atLeast"/>
        </w:trPr>
        <w:tc>
          <w:tcPr>
            <w:tcW w:w="675" w:type="dxa"/>
          </w:tcPr>
          <w:p>
            <w:pPr>
              <w:pStyle w:val="TableParagraph"/>
              <w:rPr>
                <w:b/>
                <w:sz w:val="16"/>
              </w:rPr>
            </w:pPr>
            <w:r>
              <w:rPr>
                <w:b/>
                <w:w w:val="103"/>
                <w:sz w:val="16"/>
              </w:rPr>
              <w:t>№</w:t>
            </w:r>
          </w:p>
        </w:tc>
        <w:tc>
          <w:tcPr>
            <w:tcW w:w="5042" w:type="dxa"/>
          </w:tcPr>
          <w:p>
            <w:pPr>
              <w:pStyle w:val="TableParagraph"/>
              <w:rPr>
                <w:b/>
                <w:sz w:val="16"/>
              </w:rPr>
            </w:pPr>
            <w:r>
              <w:rPr>
                <w:b/>
                <w:w w:val="105"/>
                <w:sz w:val="16"/>
              </w:rPr>
              <w:t>Критерий качества</w:t>
            </w:r>
          </w:p>
        </w:tc>
        <w:tc>
          <w:tcPr>
            <w:tcW w:w="1831" w:type="dxa"/>
          </w:tcPr>
          <w:p>
            <w:pPr>
              <w:pStyle w:val="TableParagraph"/>
              <w:spacing w:line="180" w:lineRule="exact"/>
              <w:rPr>
                <w:b/>
                <w:sz w:val="16"/>
              </w:rPr>
            </w:pPr>
            <w:r>
              <w:rPr>
                <w:b/>
                <w:w w:val="105"/>
                <w:sz w:val="16"/>
              </w:rPr>
              <w:t>EОК</w:t>
            </w:r>
          </w:p>
          <w:p>
            <w:pPr>
              <w:pStyle w:val="TableParagraph"/>
              <w:tabs>
                <w:tab w:pos="1544" w:val="left" w:leader="none"/>
              </w:tabs>
              <w:spacing w:line="165" w:lineRule="exact" w:before="0"/>
              <w:rPr>
                <w:b/>
                <w:sz w:val="16"/>
              </w:rPr>
            </w:pPr>
            <w:r>
              <w:rPr>
                <w:b/>
                <w:w w:val="105"/>
                <w:sz w:val="16"/>
              </w:rPr>
              <w:t>Класс</w:t>
              <w:tab/>
              <w:t>и</w:t>
            </w:r>
          </w:p>
          <w:p>
            <w:pPr>
              <w:pStyle w:val="TableParagraph"/>
              <w:spacing w:line="180" w:lineRule="exact" w:before="0"/>
              <w:rPr>
                <w:b/>
                <w:sz w:val="16"/>
              </w:rPr>
            </w:pPr>
            <w:r>
              <w:rPr>
                <w:b/>
                <w:w w:val="105"/>
                <w:sz w:val="16"/>
              </w:rPr>
              <w:t>уровень</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1120" w:hRule="atLeast"/>
        </w:trPr>
        <w:tc>
          <w:tcPr>
            <w:tcW w:w="675" w:type="dxa"/>
          </w:tcPr>
          <w:p>
            <w:pPr>
              <w:pStyle w:val="TableParagraph"/>
              <w:rPr>
                <w:b/>
                <w:sz w:val="16"/>
              </w:rPr>
            </w:pPr>
            <w:r>
              <w:rPr>
                <w:b/>
                <w:w w:val="103"/>
                <w:sz w:val="16"/>
              </w:rPr>
              <w:t>1</w:t>
            </w:r>
          </w:p>
        </w:tc>
        <w:tc>
          <w:tcPr>
            <w:tcW w:w="5042" w:type="dxa"/>
          </w:tcPr>
          <w:p>
            <w:pPr>
              <w:pStyle w:val="TableParagraph"/>
              <w:spacing w:line="204" w:lineRule="auto" w:before="161"/>
              <w:ind w:right="138"/>
              <w:jc w:val="both"/>
              <w:rPr>
                <w:sz w:val="16"/>
              </w:rPr>
            </w:pPr>
            <w:r>
              <w:rPr>
                <w:w w:val="105"/>
                <w:sz w:val="16"/>
              </w:rPr>
              <w:t>Установлен диагноз АГ согласно рекомендациям. Зафиксировано повышение офисного</w:t>
            </w:r>
            <w:r>
              <w:rPr>
                <w:spacing w:val="-16"/>
                <w:w w:val="105"/>
                <w:sz w:val="16"/>
              </w:rPr>
              <w:t> </w:t>
            </w:r>
            <w:r>
              <w:rPr>
                <w:w w:val="105"/>
                <w:sz w:val="16"/>
              </w:rPr>
              <w:t>(клинического) АД выше 140 и/или 90 мм рт. ст. на повторных визитах, либо на основании СМАД </w:t>
            </w:r>
            <w:r>
              <w:rPr>
                <w:i/>
                <w:w w:val="105"/>
                <w:sz w:val="16"/>
              </w:rPr>
              <w:t>(</w:t>
            </w:r>
            <w:r>
              <w:rPr>
                <w:w w:val="105"/>
                <w:sz w:val="16"/>
              </w:rPr>
              <w:t>среднее за 24 часа ≥130 мм и/или ≥80 мм рт.</w:t>
            </w:r>
            <w:r>
              <w:rPr>
                <w:spacing w:val="-23"/>
                <w:w w:val="105"/>
                <w:sz w:val="16"/>
              </w:rPr>
              <w:t> </w:t>
            </w:r>
            <w:r>
              <w:rPr>
                <w:w w:val="105"/>
                <w:sz w:val="16"/>
              </w:rPr>
              <w:t>ст.)</w:t>
            </w:r>
          </w:p>
        </w:tc>
        <w:tc>
          <w:tcPr>
            <w:tcW w:w="1831" w:type="dxa"/>
          </w:tcPr>
          <w:p>
            <w:pPr>
              <w:pStyle w:val="TableParagraph"/>
              <w:rPr>
                <w:sz w:val="16"/>
              </w:rPr>
            </w:pPr>
            <w:r>
              <w:rPr>
                <w:w w:val="105"/>
                <w:sz w:val="16"/>
              </w:rPr>
              <w:t>IA</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625" w:hRule="atLeast"/>
        </w:trPr>
        <w:tc>
          <w:tcPr>
            <w:tcW w:w="675" w:type="dxa"/>
          </w:tcPr>
          <w:p>
            <w:pPr>
              <w:pStyle w:val="TableParagraph"/>
              <w:rPr>
                <w:b/>
                <w:sz w:val="16"/>
              </w:rPr>
            </w:pPr>
            <w:r>
              <w:rPr>
                <w:b/>
                <w:w w:val="103"/>
                <w:sz w:val="16"/>
              </w:rPr>
              <w:t>2</w:t>
            </w:r>
          </w:p>
        </w:tc>
        <w:tc>
          <w:tcPr>
            <w:tcW w:w="5042" w:type="dxa"/>
          </w:tcPr>
          <w:p>
            <w:pPr>
              <w:pStyle w:val="TableParagraph"/>
              <w:rPr>
                <w:sz w:val="16"/>
              </w:rPr>
            </w:pPr>
            <w:r>
              <w:rPr>
                <w:w w:val="105"/>
                <w:sz w:val="16"/>
              </w:rPr>
              <w:t>Выполнен общий анализ крови</w:t>
            </w:r>
          </w:p>
        </w:tc>
        <w:tc>
          <w:tcPr>
            <w:tcW w:w="1831" w:type="dxa"/>
          </w:tcPr>
          <w:p>
            <w:pPr>
              <w:pStyle w:val="TableParagraph"/>
              <w:rPr>
                <w:sz w:val="16"/>
              </w:rPr>
            </w:pPr>
            <w:r>
              <w:rPr>
                <w:w w:val="103"/>
                <w:sz w:val="16"/>
              </w:rPr>
              <w:t>-</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955" w:hRule="atLeast"/>
        </w:trPr>
        <w:tc>
          <w:tcPr>
            <w:tcW w:w="675" w:type="dxa"/>
          </w:tcPr>
          <w:p>
            <w:pPr>
              <w:pStyle w:val="TableParagraph"/>
              <w:rPr>
                <w:b/>
                <w:sz w:val="16"/>
              </w:rPr>
            </w:pPr>
            <w:r>
              <w:rPr>
                <w:b/>
                <w:w w:val="103"/>
                <w:sz w:val="16"/>
              </w:rPr>
              <w:t>3</w:t>
            </w:r>
          </w:p>
        </w:tc>
        <w:tc>
          <w:tcPr>
            <w:tcW w:w="5042" w:type="dxa"/>
          </w:tcPr>
          <w:p>
            <w:pPr>
              <w:pStyle w:val="TableParagraph"/>
              <w:spacing w:line="204" w:lineRule="auto" w:before="161"/>
              <w:ind w:right="139"/>
              <w:jc w:val="both"/>
              <w:rPr>
                <w:sz w:val="16"/>
              </w:rPr>
            </w:pPr>
            <w:r>
              <w:rPr>
                <w:w w:val="105"/>
                <w:sz w:val="16"/>
              </w:rPr>
              <w:t>Выполнен биохимический анализ крови (креатинин, расчетная скорость клубочковой фильтрации, глюкоза, калий, натрий, мочевая кислота, ОХ, ЛПНП, ТГ, ЛПВП)</w:t>
            </w:r>
          </w:p>
        </w:tc>
        <w:tc>
          <w:tcPr>
            <w:tcW w:w="1831" w:type="dxa"/>
          </w:tcPr>
          <w:p>
            <w:pPr>
              <w:pStyle w:val="TableParagraph"/>
              <w:rPr>
                <w:sz w:val="16"/>
              </w:rPr>
            </w:pPr>
            <w:r>
              <w:rPr>
                <w:w w:val="105"/>
                <w:sz w:val="16"/>
              </w:rPr>
              <w:t>IB</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625" w:hRule="atLeast"/>
        </w:trPr>
        <w:tc>
          <w:tcPr>
            <w:tcW w:w="675" w:type="dxa"/>
          </w:tcPr>
          <w:p>
            <w:pPr>
              <w:pStyle w:val="TableParagraph"/>
              <w:rPr>
                <w:b/>
                <w:sz w:val="16"/>
              </w:rPr>
            </w:pPr>
            <w:r>
              <w:rPr>
                <w:b/>
                <w:w w:val="103"/>
                <w:sz w:val="16"/>
              </w:rPr>
              <w:t>4</w:t>
            </w:r>
          </w:p>
        </w:tc>
        <w:tc>
          <w:tcPr>
            <w:tcW w:w="5042" w:type="dxa"/>
          </w:tcPr>
          <w:p>
            <w:pPr>
              <w:pStyle w:val="TableParagraph"/>
              <w:rPr>
                <w:sz w:val="16"/>
              </w:rPr>
            </w:pPr>
            <w:r>
              <w:rPr>
                <w:w w:val="105"/>
                <w:sz w:val="16"/>
              </w:rPr>
              <w:t>Выполнен общий анализ мочи</w:t>
            </w:r>
          </w:p>
        </w:tc>
        <w:tc>
          <w:tcPr>
            <w:tcW w:w="1831" w:type="dxa"/>
          </w:tcPr>
          <w:p>
            <w:pPr>
              <w:pStyle w:val="TableParagraph"/>
              <w:rPr>
                <w:sz w:val="16"/>
              </w:rPr>
            </w:pPr>
            <w:r>
              <w:rPr>
                <w:w w:val="105"/>
                <w:sz w:val="16"/>
              </w:rPr>
              <w:t>IВ</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790" w:hRule="atLeast"/>
        </w:trPr>
        <w:tc>
          <w:tcPr>
            <w:tcW w:w="675" w:type="dxa"/>
          </w:tcPr>
          <w:p>
            <w:pPr>
              <w:pStyle w:val="TableParagraph"/>
              <w:rPr>
                <w:b/>
                <w:sz w:val="16"/>
              </w:rPr>
            </w:pPr>
            <w:r>
              <w:rPr>
                <w:b/>
                <w:w w:val="103"/>
                <w:sz w:val="16"/>
              </w:rPr>
              <w:t>5</w:t>
            </w:r>
          </w:p>
        </w:tc>
        <w:tc>
          <w:tcPr>
            <w:tcW w:w="5042" w:type="dxa"/>
          </w:tcPr>
          <w:p>
            <w:pPr>
              <w:pStyle w:val="TableParagraph"/>
              <w:spacing w:line="204" w:lineRule="auto" w:before="161"/>
              <w:ind w:right="149"/>
              <w:jc w:val="both"/>
              <w:rPr>
                <w:sz w:val="16"/>
              </w:rPr>
            </w:pPr>
            <w:r>
              <w:rPr>
                <w:w w:val="105"/>
                <w:sz w:val="16"/>
              </w:rPr>
              <w:t>Выполнена качественная оценка протеинурии </w:t>
            </w:r>
            <w:r>
              <w:rPr>
                <w:spacing w:val="-4"/>
                <w:w w:val="105"/>
                <w:sz w:val="16"/>
              </w:rPr>
              <w:t>тест-</w:t>
            </w:r>
            <w:r>
              <w:rPr>
                <w:spacing w:val="51"/>
                <w:w w:val="105"/>
                <w:sz w:val="16"/>
              </w:rPr>
              <w:t> </w:t>
            </w:r>
            <w:r>
              <w:rPr>
                <w:w w:val="105"/>
                <w:sz w:val="16"/>
              </w:rPr>
              <w:t>полоской или количественное определение альбуминурии</w:t>
            </w:r>
          </w:p>
        </w:tc>
        <w:tc>
          <w:tcPr>
            <w:tcW w:w="1831" w:type="dxa"/>
          </w:tcPr>
          <w:p>
            <w:pPr>
              <w:pStyle w:val="TableParagraph"/>
              <w:rPr>
                <w:sz w:val="16"/>
              </w:rPr>
            </w:pPr>
            <w:r>
              <w:rPr>
                <w:w w:val="105"/>
                <w:sz w:val="16"/>
              </w:rPr>
              <w:t>IВ</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625" w:hRule="atLeast"/>
        </w:trPr>
        <w:tc>
          <w:tcPr>
            <w:tcW w:w="675" w:type="dxa"/>
          </w:tcPr>
          <w:p>
            <w:pPr>
              <w:pStyle w:val="TableParagraph"/>
              <w:rPr>
                <w:b/>
                <w:sz w:val="16"/>
              </w:rPr>
            </w:pPr>
            <w:r>
              <w:rPr>
                <w:b/>
                <w:w w:val="103"/>
                <w:sz w:val="16"/>
              </w:rPr>
              <w:t>6</w:t>
            </w:r>
          </w:p>
        </w:tc>
        <w:tc>
          <w:tcPr>
            <w:tcW w:w="5042" w:type="dxa"/>
          </w:tcPr>
          <w:p>
            <w:pPr>
              <w:pStyle w:val="TableParagraph"/>
              <w:rPr>
                <w:sz w:val="16"/>
              </w:rPr>
            </w:pPr>
            <w:r>
              <w:rPr>
                <w:w w:val="105"/>
                <w:sz w:val="16"/>
              </w:rPr>
              <w:t>Выполнена ЭКГ в 12 отведениях</w:t>
            </w:r>
          </w:p>
        </w:tc>
        <w:tc>
          <w:tcPr>
            <w:tcW w:w="1831" w:type="dxa"/>
          </w:tcPr>
          <w:p>
            <w:pPr>
              <w:pStyle w:val="TableParagraph"/>
              <w:rPr>
                <w:sz w:val="16"/>
              </w:rPr>
            </w:pPr>
            <w:r>
              <w:rPr>
                <w:w w:val="105"/>
                <w:sz w:val="16"/>
              </w:rPr>
              <w:t>IВ</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1120" w:hRule="atLeast"/>
        </w:trPr>
        <w:tc>
          <w:tcPr>
            <w:tcW w:w="675" w:type="dxa"/>
          </w:tcPr>
          <w:p>
            <w:pPr>
              <w:pStyle w:val="TableParagraph"/>
              <w:rPr>
                <w:b/>
                <w:sz w:val="16"/>
              </w:rPr>
            </w:pPr>
            <w:r>
              <w:rPr>
                <w:b/>
                <w:w w:val="103"/>
                <w:sz w:val="16"/>
              </w:rPr>
              <w:t>7</w:t>
            </w:r>
          </w:p>
        </w:tc>
        <w:tc>
          <w:tcPr>
            <w:tcW w:w="5042" w:type="dxa"/>
          </w:tcPr>
          <w:p>
            <w:pPr>
              <w:pStyle w:val="TableParagraph"/>
              <w:spacing w:line="204" w:lineRule="auto" w:before="161"/>
              <w:ind w:right="138"/>
              <w:jc w:val="both"/>
              <w:rPr>
                <w:sz w:val="16"/>
              </w:rPr>
            </w:pPr>
            <w:r>
              <w:rPr>
                <w:w w:val="105"/>
                <w:sz w:val="16"/>
              </w:rPr>
              <w:t>Даны рекомендации по модификации образа </w:t>
            </w:r>
            <w:r>
              <w:rPr>
                <w:spacing w:val="-3"/>
                <w:w w:val="105"/>
                <w:sz w:val="16"/>
              </w:rPr>
              <w:t>жизни </w:t>
            </w:r>
            <w:r>
              <w:rPr>
                <w:w w:val="105"/>
                <w:sz w:val="16"/>
              </w:rPr>
              <w:t>(ограничение потребления натрия, увеличение физической активности, снижение избыточной</w:t>
            </w:r>
            <w:r>
              <w:rPr>
                <w:spacing w:val="-23"/>
                <w:w w:val="105"/>
                <w:sz w:val="16"/>
              </w:rPr>
              <w:t> </w:t>
            </w:r>
            <w:r>
              <w:rPr>
                <w:w w:val="105"/>
                <w:sz w:val="16"/>
              </w:rPr>
              <w:t>массы тела, отказ от курения, ограничение потребления алкоголя)</w:t>
            </w:r>
          </w:p>
        </w:tc>
        <w:tc>
          <w:tcPr>
            <w:tcW w:w="1831" w:type="dxa"/>
          </w:tcPr>
          <w:p>
            <w:pPr>
              <w:pStyle w:val="TableParagraph"/>
              <w:rPr>
                <w:sz w:val="16"/>
              </w:rPr>
            </w:pPr>
            <w:r>
              <w:rPr>
                <w:w w:val="105"/>
                <w:sz w:val="16"/>
              </w:rPr>
              <w:t>IA</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790" w:hRule="atLeast"/>
        </w:trPr>
        <w:tc>
          <w:tcPr>
            <w:tcW w:w="675" w:type="dxa"/>
          </w:tcPr>
          <w:p>
            <w:pPr>
              <w:pStyle w:val="TableParagraph"/>
              <w:rPr>
                <w:b/>
                <w:sz w:val="16"/>
              </w:rPr>
            </w:pPr>
            <w:r>
              <w:rPr>
                <w:b/>
                <w:w w:val="103"/>
                <w:sz w:val="16"/>
              </w:rPr>
              <w:t>8</w:t>
            </w:r>
          </w:p>
        </w:tc>
        <w:tc>
          <w:tcPr>
            <w:tcW w:w="5042" w:type="dxa"/>
          </w:tcPr>
          <w:p>
            <w:pPr>
              <w:pStyle w:val="TableParagraph"/>
              <w:spacing w:line="204" w:lineRule="auto" w:before="161"/>
              <w:ind w:right="146"/>
              <w:jc w:val="both"/>
              <w:rPr>
                <w:sz w:val="16"/>
              </w:rPr>
            </w:pPr>
            <w:r>
              <w:rPr>
                <w:w w:val="105"/>
                <w:sz w:val="16"/>
              </w:rPr>
              <w:t>Поставлен клинический диагноз с указанием </w:t>
            </w:r>
            <w:r>
              <w:rPr>
                <w:spacing w:val="-3"/>
                <w:w w:val="105"/>
                <w:sz w:val="16"/>
              </w:rPr>
              <w:t>стадии </w:t>
            </w:r>
            <w:r>
              <w:rPr>
                <w:w w:val="105"/>
                <w:sz w:val="16"/>
              </w:rPr>
              <w:t>заболевания, степени повышения АД (при</w:t>
            </w:r>
            <w:r>
              <w:rPr>
                <w:spacing w:val="-40"/>
                <w:w w:val="105"/>
                <w:sz w:val="16"/>
              </w:rPr>
              <w:t> </w:t>
            </w:r>
            <w:r>
              <w:rPr>
                <w:w w:val="105"/>
                <w:sz w:val="16"/>
              </w:rPr>
              <w:t>отсутствии терапии), категории риска, наличия ПОМ и</w:t>
            </w:r>
            <w:r>
              <w:rPr>
                <w:spacing w:val="-37"/>
                <w:w w:val="105"/>
                <w:sz w:val="16"/>
              </w:rPr>
              <w:t> </w:t>
            </w:r>
            <w:r>
              <w:rPr>
                <w:w w:val="105"/>
                <w:sz w:val="16"/>
              </w:rPr>
              <w:t>АКС</w:t>
            </w:r>
          </w:p>
        </w:tc>
        <w:tc>
          <w:tcPr>
            <w:tcW w:w="1831" w:type="dxa"/>
          </w:tcPr>
          <w:p>
            <w:pPr>
              <w:pStyle w:val="TableParagraph"/>
              <w:rPr>
                <w:sz w:val="16"/>
              </w:rPr>
            </w:pPr>
            <w:r>
              <w:rPr>
                <w:w w:val="103"/>
                <w:sz w:val="16"/>
              </w:rPr>
              <w:t>-</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1120" w:hRule="atLeast"/>
        </w:trPr>
        <w:tc>
          <w:tcPr>
            <w:tcW w:w="675" w:type="dxa"/>
          </w:tcPr>
          <w:p>
            <w:pPr>
              <w:pStyle w:val="TableParagraph"/>
              <w:rPr>
                <w:b/>
                <w:sz w:val="16"/>
              </w:rPr>
            </w:pPr>
            <w:r>
              <w:rPr>
                <w:b/>
                <w:w w:val="103"/>
                <w:sz w:val="16"/>
              </w:rPr>
              <w:t>9</w:t>
            </w:r>
          </w:p>
        </w:tc>
        <w:tc>
          <w:tcPr>
            <w:tcW w:w="5042" w:type="dxa"/>
          </w:tcPr>
          <w:p>
            <w:pPr>
              <w:pStyle w:val="TableParagraph"/>
              <w:spacing w:line="204" w:lineRule="auto" w:before="161"/>
              <w:ind w:right="138"/>
              <w:jc w:val="both"/>
              <w:rPr>
                <w:sz w:val="16"/>
              </w:rPr>
            </w:pPr>
            <w:r>
              <w:rPr>
                <w:w w:val="105"/>
                <w:sz w:val="16"/>
              </w:rPr>
              <w:t>У пациентов с АГ 1-й степени, относящимся к категориям низкого/среднего риска, </w:t>
            </w:r>
            <w:r>
              <w:rPr>
                <w:spacing w:val="-3"/>
                <w:w w:val="105"/>
                <w:sz w:val="16"/>
              </w:rPr>
              <w:t>начата </w:t>
            </w:r>
            <w:r>
              <w:rPr>
                <w:w w:val="105"/>
                <w:sz w:val="16"/>
              </w:rPr>
              <w:t>антигипертензивная лекарственная терапия одним</w:t>
            </w:r>
            <w:r>
              <w:rPr>
                <w:spacing w:val="-33"/>
                <w:w w:val="105"/>
                <w:sz w:val="16"/>
              </w:rPr>
              <w:t> </w:t>
            </w:r>
            <w:r>
              <w:rPr>
                <w:spacing w:val="-9"/>
                <w:w w:val="105"/>
                <w:sz w:val="16"/>
              </w:rPr>
              <w:t>из </w:t>
            </w:r>
            <w:r>
              <w:rPr>
                <w:w w:val="105"/>
                <w:sz w:val="16"/>
              </w:rPr>
              <w:t>препаратов рекомендованных классов после 3-го месяца модификации образа</w:t>
            </w:r>
            <w:r>
              <w:rPr>
                <w:spacing w:val="-11"/>
                <w:w w:val="105"/>
                <w:sz w:val="16"/>
              </w:rPr>
              <w:t> </w:t>
            </w:r>
            <w:r>
              <w:rPr>
                <w:w w:val="105"/>
                <w:sz w:val="16"/>
              </w:rPr>
              <w:t>жизни</w:t>
            </w:r>
          </w:p>
        </w:tc>
        <w:tc>
          <w:tcPr>
            <w:tcW w:w="1831" w:type="dxa"/>
          </w:tcPr>
          <w:p>
            <w:pPr>
              <w:pStyle w:val="TableParagraph"/>
              <w:rPr>
                <w:sz w:val="16"/>
              </w:rPr>
            </w:pPr>
            <w:r>
              <w:rPr>
                <w:w w:val="105"/>
                <w:sz w:val="16"/>
              </w:rPr>
              <w:t>IA</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1120" w:hRule="atLeast"/>
        </w:trPr>
        <w:tc>
          <w:tcPr>
            <w:tcW w:w="675" w:type="dxa"/>
          </w:tcPr>
          <w:p>
            <w:pPr>
              <w:pStyle w:val="TableParagraph"/>
              <w:rPr>
                <w:b/>
                <w:sz w:val="16"/>
              </w:rPr>
            </w:pPr>
            <w:r>
              <w:rPr>
                <w:b/>
                <w:w w:val="105"/>
                <w:sz w:val="16"/>
              </w:rPr>
              <w:t>10</w:t>
            </w:r>
          </w:p>
        </w:tc>
        <w:tc>
          <w:tcPr>
            <w:tcW w:w="5042" w:type="dxa"/>
          </w:tcPr>
          <w:p>
            <w:pPr>
              <w:pStyle w:val="TableParagraph"/>
              <w:tabs>
                <w:tab w:pos="3268" w:val="left" w:leader="none"/>
              </w:tabs>
              <w:spacing w:line="204" w:lineRule="auto" w:before="161"/>
              <w:ind w:right="139"/>
              <w:jc w:val="both"/>
              <w:rPr>
                <w:sz w:val="16"/>
              </w:rPr>
            </w:pPr>
            <w:r>
              <w:rPr>
                <w:w w:val="105"/>
                <w:sz w:val="16"/>
              </w:rPr>
              <w:t>Лицам с АГ второй степени и выше назначена комбинированная</w:t>
              <w:tab/>
            </w:r>
            <w:r>
              <w:rPr>
                <w:sz w:val="16"/>
              </w:rPr>
              <w:t>двухкомпонентная </w:t>
            </w:r>
            <w:r>
              <w:rPr>
                <w:w w:val="105"/>
                <w:sz w:val="16"/>
              </w:rPr>
              <w:t>антигипертензивная терапия сразу после постановки диагноза и проведена ее интенсификация для достижения целевого</w:t>
            </w:r>
            <w:r>
              <w:rPr>
                <w:spacing w:val="-6"/>
                <w:w w:val="105"/>
                <w:sz w:val="16"/>
              </w:rPr>
              <w:t> </w:t>
            </w:r>
            <w:r>
              <w:rPr>
                <w:w w:val="105"/>
                <w:sz w:val="16"/>
              </w:rPr>
              <w:t>АД.</w:t>
            </w:r>
          </w:p>
        </w:tc>
        <w:tc>
          <w:tcPr>
            <w:tcW w:w="1831" w:type="dxa"/>
          </w:tcPr>
          <w:p>
            <w:pPr>
              <w:pStyle w:val="TableParagraph"/>
              <w:rPr>
                <w:sz w:val="16"/>
              </w:rPr>
            </w:pPr>
            <w:r>
              <w:rPr>
                <w:w w:val="105"/>
                <w:sz w:val="16"/>
              </w:rPr>
              <w:t>IA</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2275" w:hRule="atLeast"/>
        </w:trPr>
        <w:tc>
          <w:tcPr>
            <w:tcW w:w="675" w:type="dxa"/>
          </w:tcPr>
          <w:p>
            <w:pPr>
              <w:pStyle w:val="TableParagraph"/>
              <w:rPr>
                <w:b/>
                <w:sz w:val="16"/>
              </w:rPr>
            </w:pPr>
            <w:r>
              <w:rPr>
                <w:b/>
                <w:w w:val="105"/>
                <w:sz w:val="16"/>
              </w:rPr>
              <w:t>11</w:t>
            </w:r>
          </w:p>
        </w:tc>
        <w:tc>
          <w:tcPr>
            <w:tcW w:w="5042" w:type="dxa"/>
          </w:tcPr>
          <w:p>
            <w:pPr>
              <w:pStyle w:val="TableParagraph"/>
              <w:spacing w:line="204" w:lineRule="auto" w:before="161"/>
              <w:ind w:right="137"/>
              <w:jc w:val="both"/>
              <w:rPr>
                <w:sz w:val="16"/>
              </w:rPr>
            </w:pPr>
            <w:r>
              <w:rPr>
                <w:w w:val="105"/>
                <w:sz w:val="16"/>
              </w:rPr>
              <w:t>Достигнут целевой уровень САД&lt;140 мм рт. ст. и ДАД &lt; 90 мм рт. ст. через 3 месяца от начала лечения. При недостижении целевого АД приведено объяснение необходимости индивидуального </w:t>
            </w:r>
            <w:r>
              <w:rPr>
                <w:spacing w:val="-3"/>
                <w:w w:val="105"/>
                <w:sz w:val="16"/>
              </w:rPr>
              <w:t>уровня </w:t>
            </w:r>
            <w:r>
              <w:rPr>
                <w:w w:val="105"/>
                <w:sz w:val="16"/>
              </w:rPr>
              <w:t>АД и скорости его снижения (плохая переносимость, побочные эффекты лекарственной терапии, </w:t>
            </w:r>
            <w:r>
              <w:rPr>
                <w:spacing w:val="-3"/>
                <w:w w:val="105"/>
                <w:sz w:val="16"/>
              </w:rPr>
              <w:t>низкая </w:t>
            </w:r>
            <w:r>
              <w:rPr>
                <w:w w:val="105"/>
                <w:sz w:val="16"/>
              </w:rPr>
              <w:t>приверженность пациента к лечению, включая невыполнения рекомендаций врача, </w:t>
            </w:r>
            <w:r>
              <w:rPr>
                <w:spacing w:val="-2"/>
                <w:w w:val="105"/>
                <w:sz w:val="16"/>
              </w:rPr>
              <w:t>необходимость </w:t>
            </w:r>
            <w:r>
              <w:rPr>
                <w:w w:val="105"/>
                <w:sz w:val="16"/>
              </w:rPr>
              <w:t>ревизии поставленного диагноза для исключения симптоматической АГ, наличие сопутствующей патологии или лекарственной терапии, затрудняющей контроль</w:t>
            </w:r>
            <w:r>
              <w:rPr>
                <w:spacing w:val="-6"/>
                <w:w w:val="105"/>
                <w:sz w:val="16"/>
              </w:rPr>
              <w:t> </w:t>
            </w:r>
            <w:r>
              <w:rPr>
                <w:w w:val="105"/>
                <w:sz w:val="16"/>
              </w:rPr>
              <w:t>АД)</w:t>
            </w:r>
          </w:p>
        </w:tc>
        <w:tc>
          <w:tcPr>
            <w:tcW w:w="1831" w:type="dxa"/>
          </w:tcPr>
          <w:p>
            <w:pPr>
              <w:pStyle w:val="TableParagraph"/>
              <w:rPr>
                <w:sz w:val="16"/>
              </w:rPr>
            </w:pPr>
            <w:r>
              <w:rPr>
                <w:w w:val="105"/>
                <w:sz w:val="16"/>
              </w:rPr>
              <w:t>IA</w:t>
            </w:r>
          </w:p>
        </w:tc>
        <w:tc>
          <w:tcPr>
            <w:tcW w:w="886" w:type="dxa"/>
          </w:tcPr>
          <w:p>
            <w:pPr>
              <w:pStyle w:val="TableParagraph"/>
              <w:spacing w:line="204" w:lineRule="auto" w:before="161"/>
              <w:ind w:right="339"/>
              <w:rPr>
                <w:b/>
                <w:sz w:val="16"/>
              </w:rPr>
            </w:pPr>
            <w:r>
              <w:rPr>
                <w:b/>
                <w:sz w:val="16"/>
              </w:rPr>
              <w:t>Да/ </w:t>
            </w:r>
            <w:r>
              <w:rPr>
                <w:b/>
                <w:w w:val="105"/>
                <w:sz w:val="16"/>
              </w:rPr>
              <w:t>нет</w:t>
            </w:r>
          </w:p>
        </w:tc>
      </w:tr>
      <w:tr>
        <w:trPr>
          <w:trHeight w:val="625" w:hRule="atLeast"/>
        </w:trPr>
        <w:tc>
          <w:tcPr>
            <w:tcW w:w="675" w:type="dxa"/>
          </w:tcPr>
          <w:p>
            <w:pPr>
              <w:pStyle w:val="TableParagraph"/>
              <w:rPr>
                <w:b/>
                <w:sz w:val="16"/>
              </w:rPr>
            </w:pPr>
            <w:r>
              <w:rPr>
                <w:b/>
                <w:w w:val="105"/>
                <w:sz w:val="16"/>
              </w:rPr>
              <w:t>12</w:t>
            </w:r>
          </w:p>
        </w:tc>
        <w:tc>
          <w:tcPr>
            <w:tcW w:w="5042" w:type="dxa"/>
          </w:tcPr>
          <w:p>
            <w:pPr>
              <w:pStyle w:val="TableParagraph"/>
              <w:rPr>
                <w:sz w:val="16"/>
              </w:rPr>
            </w:pPr>
            <w:r>
              <w:rPr>
                <w:w w:val="105"/>
                <w:sz w:val="16"/>
              </w:rPr>
              <w:t>Пациент взят под диспансерное наблюдение</w:t>
            </w:r>
          </w:p>
        </w:tc>
        <w:tc>
          <w:tcPr>
            <w:tcW w:w="1831" w:type="dxa"/>
          </w:tcPr>
          <w:p>
            <w:pPr>
              <w:pStyle w:val="TableParagraph"/>
              <w:rPr>
                <w:sz w:val="16"/>
              </w:rPr>
            </w:pPr>
            <w:r>
              <w:rPr>
                <w:w w:val="103"/>
                <w:sz w:val="16"/>
              </w:rPr>
              <w:t>-</w:t>
            </w:r>
          </w:p>
        </w:tc>
        <w:tc>
          <w:tcPr>
            <w:tcW w:w="886" w:type="dxa"/>
          </w:tcPr>
          <w:p>
            <w:pPr>
              <w:pStyle w:val="TableParagraph"/>
              <w:spacing w:line="204" w:lineRule="auto" w:before="161"/>
              <w:ind w:right="339"/>
              <w:rPr>
                <w:b/>
                <w:sz w:val="16"/>
              </w:rPr>
            </w:pPr>
            <w:r>
              <w:rPr>
                <w:b/>
                <w:sz w:val="16"/>
              </w:rPr>
              <w:t>Да/ </w:t>
            </w:r>
            <w:r>
              <w:rPr>
                <w:b/>
                <w:w w:val="105"/>
                <w:sz w:val="16"/>
              </w:rPr>
              <w:t>нет</w:t>
            </w:r>
          </w:p>
        </w:tc>
      </w:tr>
    </w:tbl>
    <w:p>
      <w:pPr>
        <w:spacing w:after="0" w:line="204" w:lineRule="auto"/>
        <w:rPr>
          <w:sz w:val="16"/>
        </w:rPr>
        <w:sectPr>
          <w:pgSz w:w="11900" w:h="16840"/>
          <w:pgMar w:top="600" w:bottom="280" w:left="1420" w:right="1520"/>
        </w:sectPr>
      </w:pPr>
    </w:p>
    <w:p>
      <w:pPr>
        <w:tabs>
          <w:tab w:pos="2089" w:val="left" w:leader="none"/>
          <w:tab w:pos="3799" w:val="left" w:leader="none"/>
          <w:tab w:pos="4547" w:val="left" w:leader="none"/>
          <w:tab w:pos="5975" w:val="left" w:leader="none"/>
          <w:tab w:pos="7851" w:val="left" w:leader="none"/>
        </w:tabs>
        <w:spacing w:line="256" w:lineRule="auto" w:before="16"/>
        <w:ind w:left="380" w:right="134" w:firstLine="0"/>
        <w:jc w:val="left"/>
        <w:rPr>
          <w:i/>
          <w:sz w:val="27"/>
        </w:rPr>
      </w:pPr>
      <w:r>
        <w:rPr>
          <w:i/>
          <w:sz w:val="27"/>
        </w:rPr>
        <w:t>Типичными</w:t>
        <w:tab/>
        <w:t>дефектами</w:t>
        <w:tab/>
        <w:t>при</w:t>
        <w:tab/>
        <w:t>оказании</w:t>
        <w:tab/>
        <w:t>медицинской</w:t>
        <w:tab/>
      </w:r>
      <w:r>
        <w:rPr>
          <w:i/>
          <w:spacing w:val="-4"/>
          <w:sz w:val="27"/>
        </w:rPr>
        <w:t>помощи </w:t>
      </w:r>
      <w:r>
        <w:rPr>
          <w:i/>
          <w:sz w:val="27"/>
        </w:rPr>
        <w:t>пациентам с АГ</w:t>
      </w:r>
      <w:r>
        <w:rPr>
          <w:i/>
          <w:spacing w:val="-3"/>
          <w:sz w:val="27"/>
        </w:rPr>
        <w:t> </w:t>
      </w:r>
      <w:r>
        <w:rPr>
          <w:i/>
          <w:sz w:val="27"/>
        </w:rPr>
        <w:t>являются:</w:t>
      </w:r>
    </w:p>
    <w:p>
      <w:pPr>
        <w:spacing w:before="271"/>
        <w:ind w:left="380" w:right="0" w:firstLine="0"/>
        <w:jc w:val="left"/>
        <w:rPr>
          <w:i/>
          <w:sz w:val="27"/>
        </w:rPr>
      </w:pPr>
      <w:r>
        <w:rPr/>
        <w:pict>
          <v:rect style="position:absolute;margin-left:100.626266pt;margin-top:28.470541pt;width:33.138292pt;height:.750315pt;mso-position-horizontal-relative:page;mso-position-vertical-relative:paragraph;z-index:-18249728" filled="true" fillcolor="#000000" stroked="false">
            <v:fill type="solid"/>
            <w10:wrap type="none"/>
          </v:rect>
        </w:pict>
      </w:r>
      <w:r>
        <w:rPr/>
        <w:pict>
          <v:rect style="position:absolute;margin-left:138.1315pt;margin-top:28.470541pt;width:76.153835pt;height:.750315pt;mso-position-horizontal-relative:page;mso-position-vertical-relative:paragraph;z-index:-18249216" filled="true" fillcolor="#000000" stroked="false">
            <v:fill type="solid"/>
            <w10:wrap type="none"/>
          </v:rect>
        </w:pict>
      </w:r>
      <w:r>
        <w:rPr>
          <w:i/>
          <w:w w:val="110"/>
          <w:sz w:val="27"/>
          <w:u w:val="single"/>
        </w:rPr>
        <w:t>п</w:t>
      </w:r>
      <w:r>
        <w:rPr>
          <w:i/>
          <w:w w:val="110"/>
          <w:sz w:val="27"/>
        </w:rPr>
        <w:t>ри сборе анамнеза:</w:t>
      </w:r>
    </w:p>
    <w:p>
      <w:pPr>
        <w:spacing w:line="256" w:lineRule="auto" w:before="296"/>
        <w:ind w:left="695" w:right="138" w:firstLine="0"/>
        <w:jc w:val="both"/>
        <w:rPr>
          <w:i/>
          <w:sz w:val="27"/>
        </w:rPr>
      </w:pPr>
      <w:r>
        <w:rPr/>
        <w:pict>
          <v:shape style="position:absolute;margin-left:91.538452pt;margin-top:22.219429pt;width:4.55pt;height:4.55pt;mso-position-horizontal-relative:page;mso-position-vertical-relative:paragraph;z-index:15860224"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i/>
          <w:w w:val="105"/>
          <w:sz w:val="27"/>
        </w:rPr>
        <w:t>не уточнены характер начала заболевания, продолжительность, </w:t>
      </w:r>
      <w:r>
        <w:rPr>
          <w:i/>
          <w:w w:val="105"/>
          <w:sz w:val="27"/>
        </w:rPr>
        <w:t>особенности течения заболевания;</w:t>
      </w:r>
    </w:p>
    <w:p>
      <w:pPr>
        <w:tabs>
          <w:tab w:pos="4401" w:val="left" w:leader="none"/>
          <w:tab w:pos="7243" w:val="left" w:leader="none"/>
        </w:tabs>
        <w:spacing w:line="256" w:lineRule="auto" w:before="1"/>
        <w:ind w:left="695" w:right="130" w:firstLine="0"/>
        <w:jc w:val="both"/>
        <w:rPr>
          <w:i/>
          <w:sz w:val="27"/>
        </w:rPr>
      </w:pPr>
      <w:r>
        <w:rPr/>
        <w:pict>
          <v:shape style="position:absolute;margin-left:91.538452pt;margin-top:7.469403pt;width:4.55pt;height:4.55pt;mso-position-horizontal-relative:page;mso-position-vertical-relative:paragraph;z-index:15860736"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i/>
          <w:w w:val="105"/>
          <w:sz w:val="27"/>
        </w:rPr>
        <w:t>отсутствуют сведения об эффективности ранее проводимой </w:t>
      </w:r>
      <w:r>
        <w:rPr>
          <w:i/>
          <w:w w:val="105"/>
          <w:sz w:val="27"/>
        </w:rPr>
        <w:t>терапии, о возможном приеме пациентами других, </w:t>
      </w:r>
      <w:r>
        <w:rPr>
          <w:i/>
          <w:spacing w:val="-3"/>
          <w:w w:val="105"/>
          <w:sz w:val="27"/>
        </w:rPr>
        <w:t>помимо </w:t>
      </w:r>
      <w:r>
        <w:rPr>
          <w:i/>
          <w:w w:val="105"/>
          <w:sz w:val="27"/>
        </w:rPr>
        <w:t>антигипертензивных,</w:t>
        <w:tab/>
        <w:t>лекарственных</w:t>
        <w:tab/>
      </w:r>
      <w:r>
        <w:rPr>
          <w:i/>
          <w:spacing w:val="-2"/>
          <w:w w:val="105"/>
          <w:sz w:val="27"/>
        </w:rPr>
        <w:t>препаратов: </w:t>
      </w:r>
      <w:r>
        <w:rPr>
          <w:i/>
          <w:w w:val="105"/>
          <w:sz w:val="27"/>
        </w:rPr>
        <w:t>глюкокортикоидных гормонов, цитостатиков, нестероидных противовоспалительных препаратов, оральных контрацептивов и</w:t>
      </w:r>
      <w:r>
        <w:rPr>
          <w:i/>
          <w:spacing w:val="-6"/>
          <w:w w:val="105"/>
          <w:sz w:val="27"/>
        </w:rPr>
        <w:t> </w:t>
      </w:r>
      <w:r>
        <w:rPr>
          <w:i/>
          <w:w w:val="105"/>
          <w:sz w:val="27"/>
        </w:rPr>
        <w:t>др.</w:t>
      </w:r>
    </w:p>
    <w:p>
      <w:pPr>
        <w:spacing w:line="256" w:lineRule="auto" w:before="3"/>
        <w:ind w:left="695" w:right="130" w:firstLine="0"/>
        <w:jc w:val="both"/>
        <w:rPr>
          <w:i/>
          <w:sz w:val="27"/>
        </w:rPr>
      </w:pPr>
      <w:r>
        <w:rPr/>
        <w:pict>
          <v:shape style="position:absolute;margin-left:91.538452pt;margin-top:7.569449pt;width:4.55pt;height:4.55pt;mso-position-horizontal-relative:page;mso-position-vertical-relative:paragraph;z-index:15861248" coordorigin="1831,151" coordsize="91,91" path="m1876,241l1863,241,1853,237,1835,219,1831,209,1831,184,1835,173,1853,156,1863,151,1888,151,1899,156,1916,173,1921,184,1921,196,1921,209,1916,219,1899,237,1888,241,1876,241xe" filled="true" fillcolor="#000000" stroked="false">
            <v:path arrowok="t"/>
            <v:fill type="solid"/>
            <w10:wrap type="none"/>
          </v:shape>
        </w:pict>
      </w:r>
      <w:r>
        <w:rPr>
          <w:i/>
          <w:w w:val="105"/>
          <w:sz w:val="27"/>
        </w:rPr>
        <w:t>отсутствуют сведения о наличии менопаузы у женщин, </w:t>
      </w:r>
      <w:r>
        <w:rPr>
          <w:i/>
          <w:w w:val="105"/>
          <w:sz w:val="27"/>
        </w:rPr>
        <w:t>характере</w:t>
      </w:r>
      <w:r>
        <w:rPr>
          <w:i/>
          <w:spacing w:val="-23"/>
          <w:w w:val="105"/>
          <w:sz w:val="27"/>
        </w:rPr>
        <w:t> </w:t>
      </w:r>
      <w:r>
        <w:rPr>
          <w:i/>
          <w:w w:val="105"/>
          <w:sz w:val="27"/>
        </w:rPr>
        <w:t>питания,</w:t>
      </w:r>
      <w:r>
        <w:rPr>
          <w:i/>
          <w:spacing w:val="-23"/>
          <w:w w:val="105"/>
          <w:sz w:val="27"/>
        </w:rPr>
        <w:t> </w:t>
      </w:r>
      <w:r>
        <w:rPr>
          <w:i/>
          <w:w w:val="105"/>
          <w:sz w:val="27"/>
        </w:rPr>
        <w:t>статусе</w:t>
      </w:r>
      <w:r>
        <w:rPr>
          <w:i/>
          <w:spacing w:val="-22"/>
          <w:w w:val="105"/>
          <w:sz w:val="27"/>
        </w:rPr>
        <w:t> </w:t>
      </w:r>
      <w:r>
        <w:rPr>
          <w:i/>
          <w:w w:val="105"/>
          <w:sz w:val="27"/>
        </w:rPr>
        <w:t>курения,</w:t>
      </w:r>
      <w:r>
        <w:rPr>
          <w:i/>
          <w:spacing w:val="-23"/>
          <w:w w:val="105"/>
          <w:sz w:val="27"/>
        </w:rPr>
        <w:t> </w:t>
      </w:r>
      <w:r>
        <w:rPr>
          <w:i/>
          <w:w w:val="105"/>
          <w:sz w:val="27"/>
        </w:rPr>
        <w:t>семейном</w:t>
      </w:r>
      <w:r>
        <w:rPr>
          <w:i/>
          <w:spacing w:val="-23"/>
          <w:w w:val="105"/>
          <w:sz w:val="27"/>
        </w:rPr>
        <w:t> </w:t>
      </w:r>
      <w:r>
        <w:rPr>
          <w:i/>
          <w:w w:val="105"/>
          <w:sz w:val="27"/>
        </w:rPr>
        <w:t>анамнезе</w:t>
      </w:r>
      <w:r>
        <w:rPr>
          <w:i/>
          <w:spacing w:val="-22"/>
          <w:w w:val="105"/>
          <w:sz w:val="27"/>
        </w:rPr>
        <w:t> </w:t>
      </w:r>
      <w:r>
        <w:rPr>
          <w:i/>
          <w:w w:val="105"/>
          <w:sz w:val="27"/>
        </w:rPr>
        <w:t>ранних сердечно-сосудистых заболеваний, осложнений</w:t>
      </w:r>
      <w:r>
        <w:rPr>
          <w:i/>
          <w:spacing w:val="-14"/>
          <w:w w:val="105"/>
          <w:sz w:val="27"/>
        </w:rPr>
        <w:t> </w:t>
      </w:r>
      <w:r>
        <w:rPr>
          <w:i/>
          <w:w w:val="105"/>
          <w:sz w:val="27"/>
        </w:rPr>
        <w:t>АГ;</w:t>
      </w:r>
    </w:p>
    <w:p>
      <w:pPr>
        <w:spacing w:line="256" w:lineRule="auto" w:before="1"/>
        <w:ind w:left="695" w:right="137" w:firstLine="0"/>
        <w:jc w:val="both"/>
        <w:rPr>
          <w:i/>
          <w:sz w:val="27"/>
        </w:rPr>
      </w:pPr>
      <w:r>
        <w:rPr/>
        <w:pict>
          <v:shape style="position:absolute;margin-left:91.538452pt;margin-top:7.469441pt;width:4.55pt;height:4.55pt;mso-position-horizontal-relative:page;mso-position-vertical-relative:paragraph;z-index:15861760"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i/>
          <w:w w:val="105"/>
          <w:sz w:val="27"/>
        </w:rPr>
        <w:t>отсутствие сведений о наличии предшествующих </w:t>
      </w:r>
      <w:r>
        <w:rPr>
          <w:i/>
          <w:w w:val="105"/>
          <w:sz w:val="27"/>
        </w:rPr>
        <w:t>госпитализаций.</w:t>
      </w:r>
    </w:p>
    <w:p>
      <w:pPr>
        <w:spacing w:before="271"/>
        <w:ind w:left="380" w:right="0" w:firstLine="0"/>
        <w:jc w:val="left"/>
        <w:rPr>
          <w:i/>
          <w:sz w:val="27"/>
        </w:rPr>
      </w:pPr>
      <w:r>
        <w:rPr/>
        <w:pict>
          <v:rect style="position:absolute;margin-left:100.626266pt;margin-top:28.470533pt;width:118.496018pt;height:.750315pt;mso-position-horizontal-relative:page;mso-position-vertical-relative:paragraph;z-index:-18246656" filled="true" fillcolor="#000000" stroked="false">
            <v:fill type="solid"/>
            <w10:wrap type="none"/>
          </v:rect>
        </w:pict>
      </w:r>
      <w:r>
        <w:rPr>
          <w:i/>
          <w:w w:val="105"/>
          <w:sz w:val="27"/>
          <w:u w:val="single"/>
        </w:rPr>
        <w:t>п</w:t>
      </w:r>
      <w:r>
        <w:rPr>
          <w:i/>
          <w:w w:val="105"/>
          <w:sz w:val="27"/>
        </w:rPr>
        <w:t>ри обследовании пац</w:t>
      </w:r>
      <w:r>
        <w:rPr>
          <w:i/>
          <w:w w:val="105"/>
          <w:sz w:val="27"/>
          <w:u w:val="single"/>
        </w:rPr>
        <w:t>иентов:</w:t>
      </w:r>
    </w:p>
    <w:p>
      <w:pPr>
        <w:spacing w:line="256" w:lineRule="auto" w:before="296"/>
        <w:ind w:left="695" w:right="134" w:firstLine="0"/>
        <w:jc w:val="both"/>
        <w:rPr>
          <w:i/>
          <w:sz w:val="27"/>
        </w:rPr>
      </w:pPr>
      <w:r>
        <w:rPr/>
        <w:pict>
          <v:shape style="position:absolute;margin-left:91.538452pt;margin-top:22.219429pt;width:4.55pt;height:4.55pt;mso-position-horizontal-relative:page;mso-position-vertical-relative:paragraph;z-index:15862784" coordorigin="1831,444" coordsize="91,91" path="m1888,534l1863,534,1853,530,1835,512,1831,502,1831,477,1835,466,1853,449,1863,444,1888,444,1899,449,1916,466,1921,477,1921,489,1921,502,1916,512,1899,530,1888,534xe" filled="true" fillcolor="#000000" stroked="false">
            <v:path arrowok="t"/>
            <v:fill type="solid"/>
            <w10:wrap type="none"/>
          </v:shape>
        </w:pict>
      </w:r>
      <w:r>
        <w:rPr>
          <w:i/>
          <w:w w:val="105"/>
          <w:sz w:val="27"/>
        </w:rPr>
        <w:t>неполное физическое, лабораторное и инструментальное </w:t>
      </w:r>
      <w:r>
        <w:rPr>
          <w:i/>
          <w:w w:val="105"/>
          <w:sz w:val="27"/>
        </w:rPr>
        <w:t>обследование, что приводит к недооценке возможности наличия симптоматической АГ, неверной оценке ПОМ и СС риска;</w:t>
      </w:r>
    </w:p>
    <w:p>
      <w:pPr>
        <w:spacing w:before="271"/>
        <w:ind w:left="380" w:right="0" w:firstLine="0"/>
        <w:jc w:val="left"/>
        <w:rPr>
          <w:i/>
          <w:sz w:val="27"/>
        </w:rPr>
      </w:pPr>
      <w:r>
        <w:rPr/>
        <w:pict>
          <v:rect style="position:absolute;margin-left:100.626266pt;margin-top:28.470537pt;width:148.337702pt;height:.750315pt;mso-position-horizontal-relative:page;mso-position-vertical-relative:paragraph;z-index:-18245632" filled="true" fillcolor="#000000" stroked="false">
            <v:fill type="solid"/>
            <w10:wrap type="none"/>
          </v:rect>
        </w:pict>
      </w:r>
      <w:r>
        <w:rPr>
          <w:i/>
          <w:w w:val="110"/>
          <w:sz w:val="27"/>
          <w:u w:val="single"/>
        </w:rPr>
        <w:t>п</w:t>
      </w:r>
      <w:r>
        <w:rPr>
          <w:i/>
          <w:w w:val="110"/>
          <w:sz w:val="27"/>
        </w:rPr>
        <w:t>ри постановке диагноза:</w:t>
      </w:r>
    </w:p>
    <w:p>
      <w:pPr>
        <w:spacing w:line="256" w:lineRule="auto" w:before="296"/>
        <w:ind w:left="695" w:right="134" w:firstLine="0"/>
        <w:jc w:val="both"/>
        <w:rPr>
          <w:i/>
          <w:sz w:val="27"/>
        </w:rPr>
      </w:pPr>
      <w:r>
        <w:rPr/>
        <w:pict>
          <v:shape style="position:absolute;margin-left:91.538452pt;margin-top:22.219437pt;width:4.55pt;height:4.55pt;mso-position-horizontal-relative:page;mso-position-vertical-relative:paragraph;z-index:15863808" coordorigin="1831,444" coordsize="91,91" path="m1888,534l1863,534,1853,530,1835,513,1831,502,1831,477,1835,466,1853,449,1863,444,1888,444,1899,449,1916,466,1921,477,1921,489,1921,502,1916,513,1899,530,1888,534xe" filled="true" fillcolor="#000000" stroked="false">
            <v:path arrowok="t"/>
            <v:fill type="solid"/>
            <w10:wrap type="none"/>
          </v:shape>
        </w:pict>
      </w:r>
      <w:r>
        <w:rPr>
          <w:i/>
          <w:w w:val="105"/>
          <w:sz w:val="27"/>
        </w:rPr>
        <w:t>отсутствие развернутого клинического диагноза, с указанием </w:t>
      </w:r>
      <w:r>
        <w:rPr>
          <w:i/>
          <w:w w:val="105"/>
          <w:sz w:val="27"/>
        </w:rPr>
        <w:t>стадии гипертонической болезни, степени повышения АД (степени АГ при впервые выявленной АГ), с максимально</w:t>
      </w:r>
      <w:r>
        <w:rPr>
          <w:i/>
          <w:spacing w:val="-38"/>
          <w:w w:val="105"/>
          <w:sz w:val="27"/>
        </w:rPr>
        <w:t> </w:t>
      </w:r>
      <w:r>
        <w:rPr>
          <w:i/>
          <w:w w:val="105"/>
          <w:sz w:val="27"/>
        </w:rPr>
        <w:t>полным отражением ФР, ПОМ, ССЗ, ХБП и категории сердечно- сосудистого</w:t>
      </w:r>
      <w:r>
        <w:rPr>
          <w:i/>
          <w:spacing w:val="-6"/>
          <w:w w:val="105"/>
          <w:sz w:val="27"/>
        </w:rPr>
        <w:t> </w:t>
      </w:r>
      <w:r>
        <w:rPr>
          <w:i/>
          <w:w w:val="105"/>
          <w:sz w:val="27"/>
        </w:rPr>
        <w:t>риска;</w:t>
      </w:r>
    </w:p>
    <w:p>
      <w:pPr>
        <w:spacing w:line="256" w:lineRule="auto" w:before="2"/>
        <w:ind w:left="695" w:right="132" w:firstLine="0"/>
        <w:jc w:val="both"/>
        <w:rPr>
          <w:i/>
          <w:sz w:val="27"/>
        </w:rPr>
      </w:pPr>
      <w:r>
        <w:rPr/>
        <w:pict>
          <v:shape style="position:absolute;margin-left:91.538452pt;margin-top:7.519418pt;width:4.55pt;height:4.55pt;mso-position-horizontal-relative:page;mso-position-vertical-relative:paragraph;z-index:15864320" coordorigin="1831,150" coordsize="91,91" path="m1876,240l1863,240,1853,236,1835,218,1831,208,1831,183,1835,172,1853,155,1863,150,1888,150,1899,155,1916,172,1921,183,1921,195,1921,208,1916,218,1899,236,1888,240,1876,240xe" filled="true" fillcolor="#000000" stroked="false">
            <v:path arrowok="t"/>
            <v:fill type="solid"/>
            <w10:wrap type="none"/>
          </v:shape>
        </w:pict>
      </w:r>
      <w:r>
        <w:rPr>
          <w:i/>
          <w:w w:val="105"/>
          <w:sz w:val="27"/>
        </w:rPr>
        <w:t>необоснованное и неверное установление стадии ГБ и степени</w:t>
      </w:r>
      <w:r>
        <w:rPr>
          <w:i/>
          <w:spacing w:val="-36"/>
          <w:w w:val="105"/>
          <w:sz w:val="27"/>
        </w:rPr>
        <w:t> </w:t>
      </w:r>
      <w:r>
        <w:rPr>
          <w:i/>
          <w:spacing w:val="-4"/>
          <w:w w:val="105"/>
          <w:sz w:val="27"/>
        </w:rPr>
        <w:t>АГ, </w:t>
      </w:r>
      <w:r>
        <w:rPr>
          <w:i/>
          <w:w w:val="105"/>
          <w:sz w:val="27"/>
        </w:rPr>
        <w:t>категории</w:t>
      </w:r>
      <w:r>
        <w:rPr>
          <w:i/>
          <w:spacing w:val="-6"/>
          <w:w w:val="105"/>
          <w:sz w:val="27"/>
        </w:rPr>
        <w:t> </w:t>
      </w:r>
      <w:r>
        <w:rPr>
          <w:i/>
          <w:w w:val="105"/>
          <w:sz w:val="27"/>
        </w:rPr>
        <w:t>риска;</w:t>
      </w:r>
    </w:p>
    <w:p>
      <w:pPr>
        <w:spacing w:line="256" w:lineRule="auto" w:before="1"/>
        <w:ind w:left="695" w:right="142" w:firstLine="0"/>
        <w:jc w:val="both"/>
        <w:rPr>
          <w:i/>
          <w:sz w:val="27"/>
        </w:rPr>
      </w:pPr>
      <w:r>
        <w:rPr/>
        <w:pict>
          <v:shape style="position:absolute;margin-left:91.538452pt;margin-top:7.469423pt;width:4.55pt;height:4.55pt;mso-position-horizontal-relative:page;mso-position-vertical-relative:paragraph;z-index:15864832" coordorigin="1831,149" coordsize="91,91" path="m1888,239l1863,239,1853,235,1835,217,1831,207,1831,182,1835,171,1853,154,1863,149,1888,149,1899,154,1916,171,1921,182,1921,194,1921,207,1916,217,1899,235,1888,239xe" filled="true" fillcolor="#000000" stroked="false">
            <v:path arrowok="t"/>
            <v:fill type="solid"/>
            <w10:wrap type="none"/>
          </v:shape>
        </w:pict>
      </w:r>
      <w:r>
        <w:rPr>
          <w:i/>
          <w:w w:val="105"/>
          <w:sz w:val="27"/>
        </w:rPr>
        <w:t>отсутствие сведений о наличии у пациента ПОМ, </w:t>
      </w:r>
      <w:r>
        <w:rPr>
          <w:i/>
          <w:w w:val="105"/>
          <w:sz w:val="27"/>
        </w:rPr>
        <w:t>сопутствующих заболеваний и факторов риска;</w:t>
      </w:r>
    </w:p>
    <w:p>
      <w:pPr>
        <w:spacing w:before="271"/>
        <w:ind w:left="380" w:right="0" w:firstLine="0"/>
        <w:jc w:val="left"/>
        <w:rPr>
          <w:i/>
          <w:sz w:val="27"/>
        </w:rPr>
      </w:pPr>
      <w:r>
        <w:rPr/>
        <w:pict>
          <v:rect style="position:absolute;margin-left:100.626266pt;margin-top:28.470537pt;width:21.010202pt;height:.750315pt;mso-position-horizontal-relative:page;mso-position-vertical-relative:paragraph;z-index:-18243584" filled="true" fillcolor="#000000" stroked="false">
            <v:fill type="solid"/>
            <w10:wrap type="none"/>
          </v:rect>
        </w:pict>
      </w:r>
      <w:r>
        <w:rPr/>
        <w:pict>
          <v:rect style="position:absolute;margin-left:126.003418pt;margin-top:28.470537pt;width:113.980222pt;height:.750315pt;mso-position-horizontal-relative:page;mso-position-vertical-relative:paragraph;z-index:-18243072" filled="true" fillcolor="#000000" stroked="false">
            <v:fill type="solid"/>
            <w10:wrap type="none"/>
          </v:rect>
        </w:pict>
      </w:r>
      <w:r>
        <w:rPr>
          <w:i/>
          <w:w w:val="105"/>
          <w:sz w:val="27"/>
          <w:u w:val="single"/>
        </w:rPr>
        <w:t>п</w:t>
      </w:r>
      <w:r>
        <w:rPr>
          <w:i/>
          <w:w w:val="105"/>
          <w:sz w:val="27"/>
        </w:rPr>
        <w:t>ри проведении лечения:</w:t>
      </w:r>
    </w:p>
    <w:p>
      <w:pPr>
        <w:spacing w:before="296"/>
        <w:ind w:left="695" w:right="0" w:firstLine="0"/>
        <w:jc w:val="left"/>
        <w:rPr>
          <w:i/>
          <w:sz w:val="27"/>
        </w:rPr>
      </w:pPr>
      <w:r>
        <w:rPr/>
        <w:pict>
          <v:shape style="position:absolute;margin-left:91.538452pt;margin-top:22.219427pt;width:4.55pt;height:4.55pt;mso-position-horizontal-relative:page;mso-position-vertical-relative:paragraph;z-index:15866368"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i/>
          <w:w w:val="105"/>
          <w:sz w:val="27"/>
        </w:rPr>
        <w:t>измерение АД на высоте эффекта АГТ;</w:t>
      </w:r>
    </w:p>
    <w:p>
      <w:pPr>
        <w:spacing w:line="256" w:lineRule="auto" w:before="26"/>
        <w:ind w:left="695" w:right="126" w:firstLine="0"/>
        <w:jc w:val="left"/>
        <w:rPr>
          <w:i/>
          <w:sz w:val="27"/>
        </w:rPr>
      </w:pPr>
      <w:r>
        <w:rPr/>
        <w:pict>
          <v:shape style="position:absolute;margin-left:91.538452pt;margin-top:8.719422pt;width:4.55pt;height:4.55pt;mso-position-horizontal-relative:page;mso-position-vertical-relative:paragraph;z-index:15866880"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pict>
          <v:shape style="position:absolute;margin-left:91.538452pt;margin-top:47.735813pt;width:4.55pt;height:4.55pt;mso-position-horizontal-relative:page;mso-position-vertical-relative:paragraph;z-index:15867392" coordorigin="1831,955" coordsize="91,91" path="m1876,1045l1863,1045,1853,1040,1835,1023,1831,1012,1831,987,1835,977,1853,959,1863,955,1888,955,1899,959,1916,977,1921,987,1921,1000,1921,1012,1916,1023,1899,1040,1888,1045,1876,1045xe" filled="true" fillcolor="#000000" stroked="false">
            <v:path arrowok="t"/>
            <v:fill type="solid"/>
            <w10:wrap type="none"/>
          </v:shape>
        </w:pict>
      </w:r>
      <w:r>
        <w:rPr>
          <w:i/>
          <w:w w:val="105"/>
          <w:sz w:val="27"/>
        </w:rPr>
        <w:t>назначение</w:t>
      </w:r>
      <w:r>
        <w:rPr>
          <w:i/>
          <w:spacing w:val="-18"/>
          <w:w w:val="105"/>
          <w:sz w:val="27"/>
        </w:rPr>
        <w:t> </w:t>
      </w:r>
      <w:r>
        <w:rPr>
          <w:i/>
          <w:w w:val="105"/>
          <w:sz w:val="27"/>
        </w:rPr>
        <w:t>нерациональных</w:t>
      </w:r>
      <w:r>
        <w:rPr>
          <w:i/>
          <w:spacing w:val="-18"/>
          <w:w w:val="105"/>
          <w:sz w:val="27"/>
        </w:rPr>
        <w:t> </w:t>
      </w:r>
      <w:r>
        <w:rPr>
          <w:i/>
          <w:w w:val="105"/>
          <w:sz w:val="27"/>
        </w:rPr>
        <w:t>комбинаций</w:t>
      </w:r>
      <w:r>
        <w:rPr>
          <w:i/>
          <w:spacing w:val="-18"/>
          <w:w w:val="105"/>
          <w:sz w:val="27"/>
        </w:rPr>
        <w:t> </w:t>
      </w:r>
      <w:r>
        <w:rPr>
          <w:i/>
          <w:w w:val="105"/>
          <w:sz w:val="27"/>
        </w:rPr>
        <w:t>АГП,</w:t>
      </w:r>
      <w:r>
        <w:rPr>
          <w:i/>
          <w:spacing w:val="-18"/>
          <w:w w:val="105"/>
          <w:sz w:val="27"/>
        </w:rPr>
        <w:t> </w:t>
      </w:r>
      <w:r>
        <w:rPr>
          <w:i/>
          <w:w w:val="105"/>
          <w:sz w:val="27"/>
        </w:rPr>
        <w:t>в</w:t>
      </w:r>
      <w:r>
        <w:rPr>
          <w:i/>
          <w:spacing w:val="-18"/>
          <w:w w:val="105"/>
          <w:sz w:val="27"/>
        </w:rPr>
        <w:t> </w:t>
      </w:r>
      <w:r>
        <w:rPr>
          <w:i/>
          <w:w w:val="105"/>
          <w:sz w:val="27"/>
        </w:rPr>
        <w:t>неверном</w:t>
      </w:r>
      <w:r>
        <w:rPr>
          <w:i/>
          <w:spacing w:val="-18"/>
          <w:w w:val="105"/>
          <w:sz w:val="27"/>
        </w:rPr>
        <w:t> </w:t>
      </w:r>
      <w:r>
        <w:rPr>
          <w:i/>
          <w:w w:val="105"/>
          <w:sz w:val="27"/>
        </w:rPr>
        <w:t>режиме </w:t>
      </w:r>
      <w:r>
        <w:rPr>
          <w:i/>
          <w:w w:val="105"/>
          <w:sz w:val="27"/>
        </w:rPr>
        <w:t>и отсутствие интенсификации антигипертензивной терапии; недооценка наличия сопутствующей патологии, влияющей на выбор антигипертензивной</w:t>
      </w:r>
      <w:r>
        <w:rPr>
          <w:i/>
          <w:spacing w:val="-10"/>
          <w:w w:val="105"/>
          <w:sz w:val="27"/>
        </w:rPr>
        <w:t> </w:t>
      </w:r>
      <w:r>
        <w:rPr>
          <w:i/>
          <w:w w:val="105"/>
          <w:sz w:val="27"/>
        </w:rPr>
        <w:t>терапии;</w:t>
      </w:r>
    </w:p>
    <w:p>
      <w:pPr>
        <w:spacing w:after="0" w:line="256" w:lineRule="auto"/>
        <w:jc w:val="left"/>
        <w:rPr>
          <w:sz w:val="27"/>
        </w:rPr>
        <w:sectPr>
          <w:pgSz w:w="11900" w:h="16840"/>
          <w:pgMar w:top="0" w:bottom="280" w:left="1420" w:right="1520"/>
        </w:sectPr>
      </w:pPr>
    </w:p>
    <w:p>
      <w:pPr>
        <w:spacing w:before="16"/>
        <w:ind w:left="380" w:right="0" w:firstLine="0"/>
        <w:jc w:val="left"/>
        <w:rPr>
          <w:i/>
          <w:sz w:val="27"/>
        </w:rPr>
      </w:pPr>
      <w:r>
        <w:rPr/>
        <w:pict>
          <v:rect style="position:absolute;margin-left:100.626266pt;margin-top:15.720548pt;width:98.721817pt;height:.750315pt;mso-position-horizontal-relative:page;mso-position-vertical-relative:paragraph;z-index:-18241024" filled="true" fillcolor="#000000" stroked="false">
            <v:fill type="solid"/>
            <w10:wrap type="none"/>
          </v:rect>
        </w:pict>
      </w:r>
      <w:r>
        <w:rPr/>
        <w:pict>
          <v:rect style="position:absolute;margin-left:203.715042pt;margin-top:15.720548pt;width:105.332775pt;height:.750315pt;mso-position-horizontal-relative:page;mso-position-vertical-relative:paragraph;z-index:-18240512" filled="true" fillcolor="#000000" stroked="false">
            <v:fill type="solid"/>
            <w10:wrap type="none"/>
          </v:rect>
        </w:pict>
      </w:r>
      <w:r>
        <w:rPr>
          <w:i/>
          <w:w w:val="105"/>
          <w:sz w:val="27"/>
          <w:u w:val="single"/>
        </w:rPr>
        <w:t>п</w:t>
      </w:r>
      <w:r>
        <w:rPr>
          <w:i/>
          <w:w w:val="105"/>
          <w:sz w:val="27"/>
        </w:rPr>
        <w:t>ри обеспечении преемственности:</w:t>
      </w:r>
    </w:p>
    <w:p>
      <w:pPr>
        <w:spacing w:line="256" w:lineRule="auto" w:before="296"/>
        <w:ind w:left="695" w:right="0" w:firstLine="0"/>
        <w:jc w:val="left"/>
        <w:rPr>
          <w:i/>
          <w:sz w:val="27"/>
        </w:rPr>
      </w:pPr>
      <w:r>
        <w:rPr/>
        <w:pict>
          <v:shape style="position:absolute;margin-left:91.538452pt;margin-top:22.219395pt;width:4.55pt;height:4.55pt;mso-position-horizontal-relative:page;mso-position-vertical-relative:paragraph;z-index:15868928"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pict>
          <v:shape style="position:absolute;margin-left:91.538452pt;margin-top:41.727592pt;width:4.55pt;height:4.55pt;mso-position-horizontal-relative:page;mso-position-vertical-relative:paragraph;z-index:15869440" coordorigin="1831,835" coordsize="91,91" path="m1876,925l1863,924,1853,920,1835,902,1831,892,1831,867,1835,856,1853,839,1863,835,1888,835,1899,839,1916,856,1921,867,1921,880,1921,892,1916,902,1899,920,1888,924,1876,925xe" filled="true" fillcolor="#000000" stroked="false">
            <v:path arrowok="t"/>
            <v:fill type="solid"/>
            <w10:wrap type="none"/>
          </v:shape>
        </w:pict>
      </w:r>
      <w:r>
        <w:rPr/>
        <w:pict>
          <v:shape style="position:absolute;margin-left:91.538452pt;margin-top:61.235786pt;width:4.55pt;height:4.55pt;mso-position-horizontal-relative:page;mso-position-vertical-relative:paragraph;z-index:15869952" coordorigin="1831,1225" coordsize="91,91" path="m1876,1315l1863,1315,1853,1310,1835,1293,1831,1282,1831,1257,1835,1247,1853,1229,1863,1225,1888,1225,1899,1229,1916,1247,1921,1257,1921,1270,1921,1282,1916,1293,1899,1310,1888,1315,1876,1315xe" filled="true" fillcolor="#000000" stroked="false">
            <v:path arrowok="t"/>
            <v:fill type="solid"/>
            <w10:wrap type="none"/>
          </v:shape>
        </w:pict>
      </w:r>
      <w:r>
        <w:rPr>
          <w:i/>
          <w:w w:val="105"/>
          <w:sz w:val="27"/>
        </w:rPr>
        <w:t>отсутствие назначения повторных визитов для контроля АД; </w:t>
      </w:r>
      <w:r>
        <w:rPr>
          <w:i/>
          <w:w w:val="105"/>
          <w:sz w:val="27"/>
        </w:rPr>
        <w:t>несвоевременная постановка на диспансерный учет; нерегулярность диспансерных осмотров.</w:t>
      </w:r>
    </w:p>
    <w:p>
      <w:pPr>
        <w:spacing w:after="0" w:line="256" w:lineRule="auto"/>
        <w:jc w:val="left"/>
        <w:rPr>
          <w:sz w:val="27"/>
        </w:rPr>
        <w:sectPr>
          <w:pgSz w:w="11900" w:h="16840"/>
          <w:pgMar w:top="0" w:bottom="280" w:left="1420" w:right="1520"/>
        </w:sectPr>
      </w:pPr>
    </w:p>
    <w:p>
      <w:pPr>
        <w:pStyle w:val="Heading1"/>
        <w:jc w:val="both"/>
      </w:pPr>
      <w:r>
        <w:rPr/>
        <w:t>Список литературы</w:t>
      </w:r>
    </w:p>
    <w:p>
      <w:pPr>
        <w:pStyle w:val="BodyText"/>
        <w:spacing w:line="256" w:lineRule="auto" w:before="384"/>
        <w:ind w:right="136" w:hanging="286"/>
      </w:pPr>
      <w:r>
        <w:rPr>
          <w:spacing w:val="-5"/>
          <w:w w:val="105"/>
        </w:rPr>
        <w:t>1.</w:t>
      </w:r>
      <w:r>
        <w:rPr>
          <w:spacing w:val="-24"/>
          <w:w w:val="105"/>
        </w:rPr>
        <w:t> </w:t>
      </w:r>
      <w:r>
        <w:rPr>
          <w:w w:val="105"/>
        </w:rPr>
        <w:t>Rosenberg</w:t>
      </w:r>
      <w:r>
        <w:rPr>
          <w:spacing w:val="-13"/>
          <w:w w:val="105"/>
        </w:rPr>
        <w:t> </w:t>
      </w:r>
      <w:r>
        <w:rPr>
          <w:w w:val="105"/>
        </w:rPr>
        <w:t>WM,</w:t>
      </w:r>
      <w:r>
        <w:rPr>
          <w:spacing w:val="-12"/>
          <w:w w:val="105"/>
        </w:rPr>
        <w:t> </w:t>
      </w:r>
      <w:r>
        <w:rPr>
          <w:w w:val="105"/>
        </w:rPr>
        <w:t>Gray</w:t>
      </w:r>
      <w:r>
        <w:rPr>
          <w:spacing w:val="-13"/>
          <w:w w:val="105"/>
        </w:rPr>
        <w:t> </w:t>
      </w:r>
      <w:r>
        <w:rPr>
          <w:w w:val="105"/>
        </w:rPr>
        <w:t>JA</w:t>
      </w:r>
      <w:r>
        <w:rPr>
          <w:spacing w:val="-13"/>
          <w:w w:val="105"/>
        </w:rPr>
        <w:t> </w:t>
      </w:r>
      <w:r>
        <w:rPr>
          <w:w w:val="105"/>
        </w:rPr>
        <w:t>et</w:t>
      </w:r>
      <w:r>
        <w:rPr>
          <w:spacing w:val="-12"/>
          <w:w w:val="105"/>
        </w:rPr>
        <w:t> </w:t>
      </w:r>
      <w:r>
        <w:rPr>
          <w:w w:val="105"/>
        </w:rPr>
        <w:t>al.</w:t>
      </w:r>
      <w:r>
        <w:rPr>
          <w:spacing w:val="-13"/>
          <w:w w:val="105"/>
        </w:rPr>
        <w:t> </w:t>
      </w:r>
      <w:r>
        <w:rPr>
          <w:w w:val="105"/>
        </w:rPr>
        <w:t>Evidence</w:t>
      </w:r>
      <w:r>
        <w:rPr>
          <w:spacing w:val="-12"/>
          <w:w w:val="105"/>
        </w:rPr>
        <w:t> </w:t>
      </w:r>
      <w:r>
        <w:rPr>
          <w:w w:val="105"/>
        </w:rPr>
        <w:t>based</w:t>
      </w:r>
      <w:r>
        <w:rPr>
          <w:spacing w:val="-13"/>
          <w:w w:val="105"/>
        </w:rPr>
        <w:t> </w:t>
      </w:r>
      <w:r>
        <w:rPr>
          <w:w w:val="105"/>
        </w:rPr>
        <w:t>medicine:</w:t>
      </w:r>
      <w:r>
        <w:rPr>
          <w:spacing w:val="-12"/>
          <w:w w:val="105"/>
        </w:rPr>
        <w:t> </w:t>
      </w:r>
      <w:r>
        <w:rPr>
          <w:w w:val="105"/>
        </w:rPr>
        <w:t>what</w:t>
      </w:r>
      <w:r>
        <w:rPr>
          <w:spacing w:val="-13"/>
          <w:w w:val="105"/>
        </w:rPr>
        <w:t> </w:t>
      </w:r>
      <w:r>
        <w:rPr>
          <w:w w:val="105"/>
        </w:rPr>
        <w:t>it</w:t>
      </w:r>
      <w:r>
        <w:rPr>
          <w:spacing w:val="-12"/>
          <w:w w:val="105"/>
        </w:rPr>
        <w:t> </w:t>
      </w:r>
      <w:r>
        <w:rPr>
          <w:w w:val="105"/>
        </w:rPr>
        <w:t>is and</w:t>
      </w:r>
      <w:r>
        <w:rPr>
          <w:spacing w:val="-8"/>
          <w:w w:val="105"/>
        </w:rPr>
        <w:t> </w:t>
      </w:r>
      <w:r>
        <w:rPr>
          <w:w w:val="105"/>
        </w:rPr>
        <w:t>what</w:t>
      </w:r>
      <w:r>
        <w:rPr>
          <w:spacing w:val="-8"/>
          <w:w w:val="105"/>
        </w:rPr>
        <w:t> </w:t>
      </w:r>
      <w:r>
        <w:rPr>
          <w:w w:val="105"/>
        </w:rPr>
        <w:t>it</w:t>
      </w:r>
      <w:r>
        <w:rPr>
          <w:spacing w:val="-8"/>
          <w:w w:val="105"/>
        </w:rPr>
        <w:t> </w:t>
      </w:r>
      <w:r>
        <w:rPr>
          <w:w w:val="105"/>
        </w:rPr>
        <w:t>isn"t.</w:t>
      </w:r>
      <w:r>
        <w:rPr>
          <w:spacing w:val="-7"/>
          <w:w w:val="105"/>
        </w:rPr>
        <w:t> </w:t>
      </w:r>
      <w:r>
        <w:rPr>
          <w:w w:val="105"/>
        </w:rPr>
        <w:t>BMJ</w:t>
      </w:r>
      <w:r>
        <w:rPr>
          <w:spacing w:val="-8"/>
          <w:w w:val="105"/>
        </w:rPr>
        <w:t> </w:t>
      </w:r>
      <w:r>
        <w:rPr>
          <w:w w:val="105"/>
        </w:rPr>
        <w:t>1996,</w:t>
      </w:r>
      <w:r>
        <w:rPr>
          <w:spacing w:val="-8"/>
          <w:w w:val="105"/>
        </w:rPr>
        <w:t> </w:t>
      </w:r>
      <w:r>
        <w:rPr>
          <w:w w:val="105"/>
        </w:rPr>
        <w:t>January;</w:t>
      </w:r>
      <w:r>
        <w:rPr>
          <w:spacing w:val="-7"/>
          <w:w w:val="105"/>
        </w:rPr>
        <w:t> </w:t>
      </w:r>
      <w:r>
        <w:rPr>
          <w:w w:val="105"/>
        </w:rPr>
        <w:t>312</w:t>
      </w:r>
      <w:r>
        <w:rPr>
          <w:spacing w:val="-8"/>
          <w:w w:val="105"/>
        </w:rPr>
        <w:t> </w:t>
      </w:r>
      <w:r>
        <w:rPr>
          <w:w w:val="105"/>
        </w:rPr>
        <w:t>(7023):</w:t>
      </w:r>
      <w:r>
        <w:rPr>
          <w:spacing w:val="-8"/>
          <w:w w:val="105"/>
        </w:rPr>
        <w:t> </w:t>
      </w:r>
      <w:r>
        <w:rPr>
          <w:w w:val="105"/>
        </w:rPr>
        <w:t>71–72.</w:t>
      </w:r>
    </w:p>
    <w:p>
      <w:pPr>
        <w:pStyle w:val="BodyText"/>
        <w:spacing w:before="0"/>
        <w:ind w:left="395"/>
      </w:pPr>
      <w:r>
        <w:rPr>
          <w:w w:val="105"/>
        </w:rPr>
        <w:t>2. Федеральный закон от 21.11.2011 № 323-ФЗ (ред. от 03.04.2017)</w:t>
      </w:r>
    </w:p>
    <w:p>
      <w:pPr>
        <w:pStyle w:val="BodyText"/>
        <w:spacing w:line="256" w:lineRule="auto" w:before="26"/>
        <w:ind w:right="141"/>
      </w:pPr>
      <w:r>
        <w:rPr/>
        <w:t>«Об основах охраны здоровья граждан в Российской Федерации».</w:t>
      </w:r>
    </w:p>
    <w:p>
      <w:pPr>
        <w:pStyle w:val="ListParagraph"/>
        <w:numPr>
          <w:ilvl w:val="0"/>
          <w:numId w:val="11"/>
        </w:numPr>
        <w:tabs>
          <w:tab w:pos="681" w:val="left" w:leader="none"/>
        </w:tabs>
        <w:spacing w:line="256" w:lineRule="auto" w:before="1" w:after="0"/>
        <w:ind w:left="680" w:right="131" w:hanging="286"/>
        <w:jc w:val="both"/>
        <w:rPr>
          <w:sz w:val="27"/>
        </w:rPr>
      </w:pPr>
      <w:r>
        <w:rPr>
          <w:sz w:val="27"/>
        </w:rPr>
        <w:t>Эпидемиологический словарь, 4-е издание. </w:t>
      </w:r>
      <w:r>
        <w:rPr>
          <w:spacing w:val="-3"/>
          <w:sz w:val="27"/>
        </w:rPr>
        <w:t>Под </w:t>
      </w:r>
      <w:r>
        <w:rPr>
          <w:sz w:val="27"/>
        </w:rPr>
        <w:t>ред. Джона М. Ласта для Международной эпидемиологической ассоциации. М., 2009. 316</w:t>
      </w:r>
      <w:r>
        <w:rPr>
          <w:spacing w:val="-4"/>
          <w:sz w:val="27"/>
        </w:rPr>
        <w:t> </w:t>
      </w:r>
      <w:r>
        <w:rPr>
          <w:sz w:val="27"/>
        </w:rPr>
        <w:t>с.</w:t>
      </w:r>
    </w:p>
    <w:p>
      <w:pPr>
        <w:pStyle w:val="ListParagraph"/>
        <w:numPr>
          <w:ilvl w:val="0"/>
          <w:numId w:val="11"/>
        </w:numPr>
        <w:tabs>
          <w:tab w:pos="681" w:val="left" w:leader="none"/>
        </w:tabs>
        <w:spacing w:line="256" w:lineRule="auto" w:before="1" w:after="0"/>
        <w:ind w:left="680" w:right="132" w:hanging="286"/>
        <w:jc w:val="both"/>
        <w:rPr>
          <w:sz w:val="27"/>
        </w:rPr>
      </w:pPr>
      <w:r>
        <w:rPr>
          <w:sz w:val="27"/>
        </w:rPr>
        <w:t>Федеральное агентство по техническому регулированию и метрологии. Национальный стандарт Российской Федерации. ГОСТР 52379-2005. Надлежащая клиническая практика. Москва, 2005</w:t>
      </w:r>
    </w:p>
    <w:p>
      <w:pPr>
        <w:pStyle w:val="BodyText"/>
        <w:spacing w:before="2"/>
        <w:ind w:left="395"/>
      </w:pPr>
      <w:r>
        <w:rPr>
          <w:w w:val="105"/>
        </w:rPr>
        <w:t>5. Федеральный закон от 12.04.2010 № 61-ФЗ (ред. от 03.07.2016)</w:t>
      </w:r>
    </w:p>
    <w:p>
      <w:pPr>
        <w:pStyle w:val="BodyText"/>
        <w:spacing w:before="26"/>
      </w:pPr>
      <w:r>
        <w:rPr/>
        <w:t>«Об обращении лекарственных средств».</w:t>
      </w:r>
    </w:p>
    <w:p>
      <w:pPr>
        <w:pStyle w:val="ListParagraph"/>
        <w:numPr>
          <w:ilvl w:val="0"/>
          <w:numId w:val="12"/>
        </w:numPr>
        <w:tabs>
          <w:tab w:pos="681" w:val="left" w:leader="none"/>
        </w:tabs>
        <w:spacing w:line="256" w:lineRule="auto" w:before="26" w:after="0"/>
        <w:ind w:left="680" w:right="129" w:hanging="286"/>
        <w:jc w:val="both"/>
        <w:rPr>
          <w:sz w:val="27"/>
        </w:rPr>
      </w:pPr>
      <w:r>
        <w:rPr>
          <w:sz w:val="27"/>
        </w:rPr>
        <w:t>Jansen </w:t>
      </w:r>
      <w:r>
        <w:rPr>
          <w:spacing w:val="-12"/>
          <w:sz w:val="27"/>
        </w:rPr>
        <w:t>RW, </w:t>
      </w:r>
      <w:r>
        <w:rPr>
          <w:sz w:val="27"/>
        </w:rPr>
        <w:t>Lipsitz LA. Postprandial hypotension: epidemiology, pathophysiology, and clinical management. Ann Int </w:t>
      </w:r>
      <w:r>
        <w:rPr>
          <w:spacing w:val="-4"/>
          <w:sz w:val="27"/>
        </w:rPr>
        <w:t>Med </w:t>
      </w:r>
      <w:r>
        <w:rPr>
          <w:sz w:val="27"/>
        </w:rPr>
        <w:t>1995;122(4):286–295.</w:t>
      </w:r>
    </w:p>
    <w:p>
      <w:pPr>
        <w:pStyle w:val="ListParagraph"/>
        <w:numPr>
          <w:ilvl w:val="0"/>
          <w:numId w:val="12"/>
        </w:numPr>
        <w:tabs>
          <w:tab w:pos="681" w:val="left" w:leader="none"/>
          <w:tab w:pos="1880" w:val="left" w:leader="none"/>
          <w:tab w:pos="2824" w:val="left" w:leader="none"/>
          <w:tab w:pos="3981" w:val="left" w:leader="none"/>
          <w:tab w:pos="4164" w:val="left" w:leader="none"/>
          <w:tab w:pos="4709" w:val="left" w:leader="none"/>
          <w:tab w:pos="6291" w:val="left" w:leader="none"/>
          <w:tab w:pos="6748" w:val="left" w:leader="none"/>
          <w:tab w:pos="7092" w:val="left" w:leader="none"/>
          <w:tab w:pos="7973" w:val="left" w:leader="none"/>
        </w:tabs>
        <w:spacing w:line="256" w:lineRule="auto" w:before="1" w:after="0"/>
        <w:ind w:left="680" w:right="132" w:hanging="286"/>
        <w:jc w:val="left"/>
        <w:rPr>
          <w:sz w:val="27"/>
        </w:rPr>
      </w:pPr>
      <w:r>
        <w:rPr>
          <w:w w:val="105"/>
          <w:sz w:val="27"/>
        </w:rPr>
        <w:t>Малая</w:t>
        <w:tab/>
        <w:t>медицинская</w:t>
        <w:tab/>
        <w:t>энциклопедия.</w:t>
        <w:tab/>
        <w:t>М.:</w:t>
        <w:tab/>
        <w:tab/>
      </w:r>
      <w:r>
        <w:rPr>
          <w:spacing w:val="-3"/>
          <w:sz w:val="27"/>
        </w:rPr>
        <w:t>Медицинская </w:t>
      </w:r>
      <w:r>
        <w:rPr>
          <w:w w:val="105"/>
          <w:sz w:val="27"/>
        </w:rPr>
        <w:t>энциклопедия,</w:t>
        <w:tab/>
        <w:t>1991—96</w:t>
        <w:tab/>
        <w:tab/>
        <w:t>гг.</w:t>
        <w:tab/>
        <w:t>[Электронный</w:t>
        <w:tab/>
        <w:t>ресурс].</w:t>
        <w:tab/>
      </w:r>
      <w:r>
        <w:rPr>
          <w:spacing w:val="-3"/>
          <w:w w:val="95"/>
          <w:sz w:val="27"/>
        </w:rPr>
        <w:t>Режим </w:t>
      </w:r>
      <w:r>
        <w:rPr>
          <w:w w:val="105"/>
          <w:sz w:val="27"/>
        </w:rPr>
        <w:t>доступа:</w:t>
      </w:r>
      <w:hyperlink r:id="rId10">
        <w:r>
          <w:rPr>
            <w:w w:val="105"/>
            <w:sz w:val="27"/>
          </w:rPr>
          <w:t>http://dic.academic.ru/dic.nsf/enc_medicine/28878/</w:t>
        </w:r>
      </w:hyperlink>
      <w:r>
        <w:rPr>
          <w:w w:val="105"/>
          <w:sz w:val="27"/>
        </w:rPr>
        <w:t> Синдром</w:t>
      </w:r>
    </w:p>
    <w:p>
      <w:pPr>
        <w:pStyle w:val="ListParagraph"/>
        <w:numPr>
          <w:ilvl w:val="0"/>
          <w:numId w:val="12"/>
        </w:numPr>
        <w:tabs>
          <w:tab w:pos="681" w:val="left" w:leader="none"/>
        </w:tabs>
        <w:spacing w:line="256" w:lineRule="auto" w:before="2" w:after="0"/>
        <w:ind w:left="680" w:right="128" w:hanging="286"/>
        <w:jc w:val="both"/>
        <w:rPr>
          <w:sz w:val="27"/>
        </w:rPr>
      </w:pPr>
      <w:r>
        <w:rPr>
          <w:sz w:val="27"/>
        </w:rPr>
        <w:t>Андреева Н. С., Реброва О. Ю., Зорин Н. А. и др. Системы оценки достоверности научных доказательств и  убедительности рекомендаций: сравнительная характеристика и перспективы унификации. Медицинские технологии. Оценка и выбор. 2012. №. 4. С. 10–24.</w:t>
      </w:r>
    </w:p>
    <w:p>
      <w:pPr>
        <w:pStyle w:val="ListParagraph"/>
        <w:numPr>
          <w:ilvl w:val="0"/>
          <w:numId w:val="12"/>
        </w:numPr>
        <w:tabs>
          <w:tab w:pos="681" w:val="left" w:leader="none"/>
        </w:tabs>
        <w:spacing w:line="256" w:lineRule="auto" w:before="2" w:after="0"/>
        <w:ind w:left="680" w:right="133" w:hanging="286"/>
        <w:jc w:val="both"/>
        <w:rPr>
          <w:sz w:val="27"/>
        </w:rPr>
      </w:pPr>
      <w:r>
        <w:rPr>
          <w:sz w:val="27"/>
        </w:rPr>
        <w:t>Общероссийская общественная организация «Российская ассоциация геронтологов и гериатров». Клинические рекомендации «Старческая астения».</w:t>
      </w:r>
      <w:r>
        <w:rPr>
          <w:spacing w:val="-4"/>
          <w:sz w:val="27"/>
        </w:rPr>
        <w:t> </w:t>
      </w:r>
      <w:r>
        <w:rPr>
          <w:sz w:val="27"/>
        </w:rPr>
        <w:t>2018.</w:t>
      </w:r>
    </w:p>
    <w:p>
      <w:pPr>
        <w:pStyle w:val="ListParagraph"/>
        <w:numPr>
          <w:ilvl w:val="0"/>
          <w:numId w:val="12"/>
        </w:numPr>
        <w:tabs>
          <w:tab w:pos="681" w:val="left" w:leader="none"/>
        </w:tabs>
        <w:spacing w:line="256" w:lineRule="auto" w:before="1" w:after="0"/>
        <w:ind w:left="680" w:right="128" w:hanging="436"/>
        <w:jc w:val="both"/>
        <w:rPr>
          <w:sz w:val="27"/>
        </w:rPr>
      </w:pPr>
      <w:r>
        <w:rPr>
          <w:sz w:val="27"/>
        </w:rPr>
        <w:t>Rapsomaniki E et al. Blood pressure and incidence of twelve cardiovascular diseases: lifetime risks, healthy life-years lost, and age-speciﬁc associations in 1• 25 million people. The Lancet 383.9932</w:t>
      </w:r>
      <w:r>
        <w:rPr>
          <w:spacing w:val="1"/>
          <w:sz w:val="27"/>
        </w:rPr>
        <w:t> </w:t>
      </w:r>
      <w:r>
        <w:rPr>
          <w:sz w:val="27"/>
        </w:rPr>
        <w:t>(2014):1899–1911.</w:t>
      </w:r>
    </w:p>
    <w:p>
      <w:pPr>
        <w:pStyle w:val="ListParagraph"/>
        <w:numPr>
          <w:ilvl w:val="0"/>
          <w:numId w:val="12"/>
        </w:numPr>
        <w:tabs>
          <w:tab w:pos="681" w:val="left" w:leader="none"/>
        </w:tabs>
        <w:spacing w:line="256" w:lineRule="auto" w:before="1" w:after="0"/>
        <w:ind w:left="680" w:right="134" w:hanging="436"/>
        <w:jc w:val="both"/>
        <w:rPr>
          <w:sz w:val="27"/>
        </w:rPr>
      </w:pPr>
      <w:r>
        <w:rPr>
          <w:sz w:val="27"/>
        </w:rPr>
        <w:t>Ehret GB, Caulﬁeld MJ. Genes for blood pressure: an opportunity to understand hypertension. Eur Heart J</w:t>
      </w:r>
      <w:r>
        <w:rPr>
          <w:spacing w:val="21"/>
          <w:sz w:val="27"/>
        </w:rPr>
        <w:t> </w:t>
      </w:r>
      <w:r>
        <w:rPr>
          <w:sz w:val="27"/>
        </w:rPr>
        <w:t>2013;34:951–961.</w:t>
      </w:r>
    </w:p>
    <w:p>
      <w:pPr>
        <w:pStyle w:val="ListParagraph"/>
        <w:numPr>
          <w:ilvl w:val="0"/>
          <w:numId w:val="12"/>
        </w:numPr>
        <w:tabs>
          <w:tab w:pos="681" w:val="left" w:leader="none"/>
        </w:tabs>
        <w:spacing w:line="256" w:lineRule="auto" w:before="1" w:after="0"/>
        <w:ind w:left="680" w:right="134" w:hanging="436"/>
        <w:jc w:val="both"/>
        <w:rPr>
          <w:sz w:val="27"/>
        </w:rPr>
      </w:pPr>
      <w:r>
        <w:rPr>
          <w:w w:val="105"/>
          <w:sz w:val="27"/>
        </w:rPr>
        <w:t>Elliott </w:t>
      </w:r>
      <w:r>
        <w:rPr>
          <w:spacing w:val="-17"/>
          <w:w w:val="105"/>
          <w:sz w:val="27"/>
        </w:rPr>
        <w:t>P, </w:t>
      </w:r>
      <w:r>
        <w:rPr>
          <w:w w:val="105"/>
          <w:sz w:val="27"/>
        </w:rPr>
        <w:t>Stamler J, Nichols R, et al. Intersalt revisited: further analyses of 24 hour sodium excretion and blood . pressure</w:t>
      </w:r>
      <w:r>
        <w:rPr>
          <w:spacing w:val="-49"/>
          <w:w w:val="105"/>
          <w:sz w:val="27"/>
        </w:rPr>
        <w:t> </w:t>
      </w:r>
      <w:r>
        <w:rPr>
          <w:w w:val="105"/>
          <w:sz w:val="27"/>
        </w:rPr>
        <w:t>within</w:t>
      </w:r>
    </w:p>
    <w:p>
      <w:pPr>
        <w:spacing w:after="0" w:line="256" w:lineRule="auto"/>
        <w:jc w:val="both"/>
        <w:rPr>
          <w:sz w:val="27"/>
        </w:rPr>
        <w:sectPr>
          <w:pgSz w:w="11900" w:h="16840"/>
          <w:pgMar w:top="600" w:bottom="280" w:left="1420" w:right="1520"/>
        </w:sectPr>
      </w:pPr>
    </w:p>
    <w:p>
      <w:pPr>
        <w:pStyle w:val="BodyText"/>
        <w:spacing w:line="256" w:lineRule="auto" w:before="16"/>
        <w:ind w:right="132"/>
      </w:pPr>
      <w:r>
        <w:rPr>
          <w:w w:val="105"/>
        </w:rPr>
        <w:t>and across populations. Intersalt Cooperative Research Group. . BMJ 1996;312:1249–1253.</w:t>
      </w:r>
    </w:p>
    <w:p>
      <w:pPr>
        <w:pStyle w:val="ListParagraph"/>
        <w:numPr>
          <w:ilvl w:val="0"/>
          <w:numId w:val="12"/>
        </w:numPr>
        <w:tabs>
          <w:tab w:pos="681" w:val="left" w:leader="none"/>
        </w:tabs>
        <w:spacing w:line="256" w:lineRule="auto" w:before="1" w:after="0"/>
        <w:ind w:left="680" w:right="128" w:hanging="436"/>
        <w:jc w:val="both"/>
        <w:rPr>
          <w:sz w:val="27"/>
        </w:rPr>
      </w:pPr>
      <w:r>
        <w:rPr>
          <w:sz w:val="27"/>
        </w:rPr>
        <w:t>Кушаковский М. С. Эссенциальная гипертензия (гипертоническая болезнь). Причины, механизмы, клиника, лечение. СПб.,</w:t>
      </w:r>
      <w:r>
        <w:rPr>
          <w:spacing w:val="-4"/>
          <w:sz w:val="27"/>
        </w:rPr>
        <w:t> </w:t>
      </w:r>
      <w:r>
        <w:rPr>
          <w:sz w:val="27"/>
        </w:rPr>
        <w:t>2002.</w:t>
      </w:r>
    </w:p>
    <w:p>
      <w:pPr>
        <w:pStyle w:val="ListParagraph"/>
        <w:numPr>
          <w:ilvl w:val="0"/>
          <w:numId w:val="12"/>
        </w:numPr>
        <w:tabs>
          <w:tab w:pos="681" w:val="left" w:leader="none"/>
        </w:tabs>
        <w:spacing w:line="240" w:lineRule="auto" w:before="1" w:after="0"/>
        <w:ind w:left="680" w:right="0" w:hanging="436"/>
        <w:jc w:val="both"/>
        <w:rPr>
          <w:sz w:val="27"/>
        </w:rPr>
      </w:pPr>
      <w:r>
        <w:rPr>
          <w:w w:val="105"/>
          <w:sz w:val="27"/>
        </w:rPr>
        <w:t>Ланг</w:t>
      </w:r>
      <w:r>
        <w:rPr>
          <w:spacing w:val="-18"/>
          <w:w w:val="105"/>
          <w:sz w:val="27"/>
        </w:rPr>
        <w:t> </w:t>
      </w:r>
      <w:r>
        <w:rPr>
          <w:w w:val="105"/>
          <w:sz w:val="27"/>
        </w:rPr>
        <w:t>Г.</w:t>
      </w:r>
      <w:r>
        <w:rPr>
          <w:spacing w:val="-17"/>
          <w:w w:val="105"/>
          <w:sz w:val="27"/>
        </w:rPr>
        <w:t> </w:t>
      </w:r>
      <w:r>
        <w:rPr>
          <w:w w:val="105"/>
          <w:sz w:val="27"/>
        </w:rPr>
        <w:t>Ф.</w:t>
      </w:r>
      <w:r>
        <w:rPr>
          <w:spacing w:val="-17"/>
          <w:w w:val="105"/>
          <w:sz w:val="27"/>
        </w:rPr>
        <w:t> </w:t>
      </w:r>
      <w:r>
        <w:rPr>
          <w:w w:val="105"/>
          <w:sz w:val="27"/>
        </w:rPr>
        <w:t>Гипертоническая</w:t>
      </w:r>
      <w:r>
        <w:rPr>
          <w:spacing w:val="-17"/>
          <w:w w:val="105"/>
          <w:sz w:val="27"/>
        </w:rPr>
        <w:t> </w:t>
      </w:r>
      <w:r>
        <w:rPr>
          <w:w w:val="105"/>
          <w:sz w:val="27"/>
        </w:rPr>
        <w:t>болезнь.</w:t>
      </w:r>
      <w:r>
        <w:rPr>
          <w:spacing w:val="-17"/>
          <w:w w:val="105"/>
          <w:sz w:val="27"/>
        </w:rPr>
        <w:t> </w:t>
      </w:r>
      <w:r>
        <w:rPr>
          <w:w w:val="105"/>
          <w:sz w:val="27"/>
        </w:rPr>
        <w:t>М.:</w:t>
      </w:r>
      <w:r>
        <w:rPr>
          <w:spacing w:val="-17"/>
          <w:w w:val="105"/>
          <w:sz w:val="27"/>
        </w:rPr>
        <w:t> </w:t>
      </w:r>
      <w:r>
        <w:rPr>
          <w:w w:val="105"/>
          <w:sz w:val="27"/>
        </w:rPr>
        <w:t>Медгиз,</w:t>
      </w:r>
      <w:r>
        <w:rPr>
          <w:spacing w:val="-17"/>
          <w:w w:val="105"/>
          <w:sz w:val="27"/>
        </w:rPr>
        <w:t> </w:t>
      </w:r>
      <w:r>
        <w:rPr>
          <w:w w:val="105"/>
          <w:sz w:val="27"/>
        </w:rPr>
        <w:t>1950.</w:t>
      </w:r>
      <w:r>
        <w:rPr>
          <w:spacing w:val="-17"/>
          <w:w w:val="105"/>
          <w:sz w:val="27"/>
        </w:rPr>
        <w:t> </w:t>
      </w:r>
      <w:r>
        <w:rPr>
          <w:w w:val="105"/>
          <w:sz w:val="27"/>
        </w:rPr>
        <w:t>459</w:t>
      </w:r>
      <w:r>
        <w:rPr>
          <w:spacing w:val="-18"/>
          <w:w w:val="105"/>
          <w:sz w:val="27"/>
        </w:rPr>
        <w:t> </w:t>
      </w:r>
      <w:r>
        <w:rPr>
          <w:w w:val="105"/>
          <w:sz w:val="27"/>
        </w:rPr>
        <w:t>с.</w:t>
      </w:r>
    </w:p>
    <w:p>
      <w:pPr>
        <w:pStyle w:val="ListParagraph"/>
        <w:numPr>
          <w:ilvl w:val="0"/>
          <w:numId w:val="12"/>
        </w:numPr>
        <w:tabs>
          <w:tab w:pos="681" w:val="left" w:leader="none"/>
        </w:tabs>
        <w:spacing w:line="256" w:lineRule="auto" w:before="26" w:after="0"/>
        <w:ind w:left="680" w:right="140" w:hanging="436"/>
        <w:jc w:val="both"/>
        <w:rPr>
          <w:sz w:val="27"/>
        </w:rPr>
      </w:pPr>
      <w:r>
        <w:rPr>
          <w:sz w:val="27"/>
        </w:rPr>
        <w:t>Постнов Ю. В., Орлов С. Н. Первичная гипертензия как патология клеточных мембран. М.: Медицина, </w:t>
      </w:r>
      <w:r>
        <w:rPr>
          <w:spacing w:val="-6"/>
          <w:sz w:val="27"/>
        </w:rPr>
        <w:t>1987. </w:t>
      </w:r>
      <w:r>
        <w:rPr>
          <w:sz w:val="27"/>
        </w:rPr>
        <w:t>192</w:t>
      </w:r>
      <w:r>
        <w:rPr>
          <w:spacing w:val="29"/>
          <w:sz w:val="27"/>
        </w:rPr>
        <w:t> </w:t>
      </w:r>
      <w:r>
        <w:rPr>
          <w:sz w:val="27"/>
        </w:rPr>
        <w:t>с.</w:t>
      </w:r>
    </w:p>
    <w:p>
      <w:pPr>
        <w:pStyle w:val="ListParagraph"/>
        <w:numPr>
          <w:ilvl w:val="0"/>
          <w:numId w:val="12"/>
        </w:numPr>
        <w:tabs>
          <w:tab w:pos="681" w:val="left" w:leader="none"/>
        </w:tabs>
        <w:spacing w:line="240" w:lineRule="auto" w:before="1" w:after="0"/>
        <w:ind w:left="680" w:right="0" w:hanging="436"/>
        <w:jc w:val="both"/>
        <w:rPr>
          <w:sz w:val="27"/>
        </w:rPr>
      </w:pPr>
      <w:r>
        <w:rPr>
          <w:sz w:val="27"/>
        </w:rPr>
        <w:t>Мясников А. Л. Гипертоническая болезнь. М.: Медгиз, 1954.</w:t>
      </w:r>
    </w:p>
    <w:p>
      <w:pPr>
        <w:pStyle w:val="ListParagraph"/>
        <w:numPr>
          <w:ilvl w:val="0"/>
          <w:numId w:val="12"/>
        </w:numPr>
        <w:tabs>
          <w:tab w:pos="681" w:val="left" w:leader="none"/>
        </w:tabs>
        <w:spacing w:line="256" w:lineRule="auto" w:before="26" w:after="0"/>
        <w:ind w:left="680" w:right="133" w:hanging="436"/>
        <w:jc w:val="both"/>
        <w:rPr>
          <w:sz w:val="27"/>
        </w:rPr>
      </w:pPr>
      <w:r>
        <w:rPr>
          <w:sz w:val="27"/>
        </w:rPr>
        <w:t>Распространенность факторов риска неинфекционных заболеваний в российской популяции в 2012–2013 </w:t>
      </w:r>
      <w:r>
        <w:rPr>
          <w:spacing w:val="-4"/>
          <w:sz w:val="27"/>
        </w:rPr>
        <w:t>гг.</w:t>
      </w:r>
      <w:r>
        <w:rPr>
          <w:spacing w:val="59"/>
          <w:sz w:val="27"/>
        </w:rPr>
        <w:t> </w:t>
      </w:r>
      <w:r>
        <w:rPr>
          <w:spacing w:val="-3"/>
          <w:sz w:val="27"/>
        </w:rPr>
        <w:t>Результаты </w:t>
      </w:r>
      <w:r>
        <w:rPr>
          <w:sz w:val="27"/>
        </w:rPr>
        <w:t>исследования ЭССЕ-РФ. Кардиоваскулярная терапия и профилактика 2014;</w:t>
      </w:r>
      <w:r>
        <w:rPr>
          <w:spacing w:val="3"/>
          <w:sz w:val="27"/>
        </w:rPr>
        <w:t> </w:t>
      </w:r>
      <w:r>
        <w:rPr>
          <w:sz w:val="27"/>
        </w:rPr>
        <w:t>13(6):4–11.</w:t>
      </w:r>
    </w:p>
    <w:p>
      <w:pPr>
        <w:pStyle w:val="ListParagraph"/>
        <w:numPr>
          <w:ilvl w:val="0"/>
          <w:numId w:val="12"/>
        </w:numPr>
        <w:tabs>
          <w:tab w:pos="681" w:val="left" w:leader="none"/>
        </w:tabs>
        <w:spacing w:line="256" w:lineRule="auto" w:before="2" w:after="0"/>
        <w:ind w:left="680" w:right="131" w:hanging="436"/>
        <w:jc w:val="both"/>
        <w:rPr>
          <w:sz w:val="27"/>
        </w:rPr>
      </w:pPr>
      <w:r>
        <w:rPr>
          <w:w w:val="105"/>
          <w:sz w:val="27"/>
        </w:rPr>
        <w:t>Бойцов</w:t>
      </w:r>
      <w:r>
        <w:rPr>
          <w:spacing w:val="-9"/>
          <w:w w:val="105"/>
          <w:sz w:val="27"/>
        </w:rPr>
        <w:t> </w:t>
      </w:r>
      <w:r>
        <w:rPr>
          <w:w w:val="105"/>
          <w:sz w:val="27"/>
        </w:rPr>
        <w:t>С.</w:t>
      </w:r>
      <w:r>
        <w:rPr>
          <w:spacing w:val="-8"/>
          <w:w w:val="105"/>
          <w:sz w:val="27"/>
        </w:rPr>
        <w:t> </w:t>
      </w:r>
      <w:r>
        <w:rPr>
          <w:w w:val="105"/>
          <w:sz w:val="27"/>
        </w:rPr>
        <w:t>А.,</w:t>
      </w:r>
      <w:r>
        <w:rPr>
          <w:spacing w:val="-8"/>
          <w:w w:val="105"/>
          <w:sz w:val="27"/>
        </w:rPr>
        <w:t> </w:t>
      </w:r>
      <w:r>
        <w:rPr>
          <w:w w:val="105"/>
          <w:sz w:val="27"/>
        </w:rPr>
        <w:t>Баланова</w:t>
      </w:r>
      <w:r>
        <w:rPr>
          <w:spacing w:val="-8"/>
          <w:w w:val="105"/>
          <w:sz w:val="27"/>
        </w:rPr>
        <w:t> </w:t>
      </w:r>
      <w:r>
        <w:rPr>
          <w:w w:val="105"/>
          <w:sz w:val="27"/>
        </w:rPr>
        <w:t>Ю.</w:t>
      </w:r>
      <w:r>
        <w:rPr>
          <w:spacing w:val="-8"/>
          <w:w w:val="105"/>
          <w:sz w:val="27"/>
        </w:rPr>
        <w:t> </w:t>
      </w:r>
      <w:r>
        <w:rPr>
          <w:w w:val="105"/>
          <w:sz w:val="27"/>
        </w:rPr>
        <w:t>А.,</w:t>
      </w:r>
      <w:r>
        <w:rPr>
          <w:spacing w:val="-8"/>
          <w:w w:val="105"/>
          <w:sz w:val="27"/>
        </w:rPr>
        <w:t> </w:t>
      </w:r>
      <w:r>
        <w:rPr>
          <w:w w:val="105"/>
          <w:sz w:val="27"/>
        </w:rPr>
        <w:t>Шальнова</w:t>
      </w:r>
      <w:r>
        <w:rPr>
          <w:spacing w:val="-8"/>
          <w:w w:val="105"/>
          <w:sz w:val="27"/>
        </w:rPr>
        <w:t> </w:t>
      </w:r>
      <w:r>
        <w:rPr>
          <w:w w:val="105"/>
          <w:sz w:val="27"/>
        </w:rPr>
        <w:t>С.</w:t>
      </w:r>
      <w:r>
        <w:rPr>
          <w:spacing w:val="-8"/>
          <w:w w:val="105"/>
          <w:sz w:val="27"/>
        </w:rPr>
        <w:t> </w:t>
      </w:r>
      <w:r>
        <w:rPr>
          <w:w w:val="105"/>
          <w:sz w:val="27"/>
        </w:rPr>
        <w:t>А.,</w:t>
      </w:r>
      <w:r>
        <w:rPr>
          <w:spacing w:val="-8"/>
          <w:w w:val="105"/>
          <w:sz w:val="27"/>
        </w:rPr>
        <w:t> </w:t>
      </w:r>
      <w:r>
        <w:rPr>
          <w:w w:val="105"/>
          <w:sz w:val="27"/>
        </w:rPr>
        <w:t>Деев</w:t>
      </w:r>
      <w:r>
        <w:rPr>
          <w:spacing w:val="-8"/>
          <w:w w:val="105"/>
          <w:sz w:val="27"/>
        </w:rPr>
        <w:t> </w:t>
      </w:r>
      <w:r>
        <w:rPr>
          <w:w w:val="105"/>
          <w:sz w:val="27"/>
        </w:rPr>
        <w:t>А.</w:t>
      </w:r>
      <w:r>
        <w:rPr>
          <w:spacing w:val="-8"/>
          <w:w w:val="105"/>
          <w:sz w:val="27"/>
        </w:rPr>
        <w:t> </w:t>
      </w:r>
      <w:r>
        <w:rPr>
          <w:w w:val="105"/>
          <w:sz w:val="27"/>
        </w:rPr>
        <w:t>Д.</w:t>
      </w:r>
      <w:r>
        <w:rPr>
          <w:spacing w:val="-8"/>
          <w:w w:val="105"/>
          <w:sz w:val="27"/>
        </w:rPr>
        <w:t> </w:t>
      </w:r>
      <w:r>
        <w:rPr>
          <w:w w:val="105"/>
          <w:sz w:val="27"/>
        </w:rPr>
        <w:t>и</w:t>
      </w:r>
      <w:r>
        <w:rPr>
          <w:spacing w:val="-8"/>
          <w:w w:val="105"/>
          <w:sz w:val="27"/>
        </w:rPr>
        <w:t> </w:t>
      </w:r>
      <w:r>
        <w:rPr>
          <w:w w:val="105"/>
          <w:sz w:val="27"/>
        </w:rPr>
        <w:t>др. Артериальная гипертония среди лиц 25–64 лет: </w:t>
      </w:r>
      <w:r>
        <w:rPr>
          <w:sz w:val="27"/>
        </w:rPr>
        <w:t>распространенность, осведомленность, лечение и контроль. По материалам исследования ЭССЕ. Кардиоваскулярная терапия</w:t>
      </w:r>
      <w:r>
        <w:rPr>
          <w:spacing w:val="-25"/>
          <w:sz w:val="27"/>
        </w:rPr>
        <w:t> </w:t>
      </w:r>
      <w:r>
        <w:rPr>
          <w:sz w:val="27"/>
        </w:rPr>
        <w:t>и </w:t>
      </w:r>
      <w:r>
        <w:rPr>
          <w:w w:val="105"/>
          <w:sz w:val="27"/>
        </w:rPr>
        <w:t>профилактика. 2014;4:4-14.do1.org/10.15829/1728-8800-2014-4- 4-14.</w:t>
      </w:r>
    </w:p>
    <w:p>
      <w:pPr>
        <w:pStyle w:val="ListParagraph"/>
        <w:numPr>
          <w:ilvl w:val="0"/>
          <w:numId w:val="12"/>
        </w:numPr>
        <w:tabs>
          <w:tab w:pos="681" w:val="left" w:leader="none"/>
        </w:tabs>
        <w:spacing w:line="256" w:lineRule="auto" w:before="2" w:after="0"/>
        <w:ind w:left="680" w:right="129" w:hanging="436"/>
        <w:jc w:val="both"/>
        <w:rPr>
          <w:sz w:val="27"/>
        </w:rPr>
      </w:pPr>
      <w:r>
        <w:rPr>
          <w:spacing w:val="-3"/>
          <w:w w:val="105"/>
          <w:sz w:val="27"/>
        </w:rPr>
        <w:t>Kearney </w:t>
      </w:r>
      <w:r>
        <w:rPr>
          <w:w w:val="105"/>
          <w:sz w:val="27"/>
        </w:rPr>
        <w:t>PM, Whelton M, Reynolds K, et al. Global burden of hypertension: analysis of worldwide data. Lancet 2005;365:217– 223.</w:t>
      </w:r>
    </w:p>
    <w:p>
      <w:pPr>
        <w:pStyle w:val="ListParagraph"/>
        <w:numPr>
          <w:ilvl w:val="0"/>
          <w:numId w:val="12"/>
        </w:numPr>
        <w:tabs>
          <w:tab w:pos="681" w:val="left" w:leader="none"/>
        </w:tabs>
        <w:spacing w:line="256" w:lineRule="auto" w:before="1" w:after="0"/>
        <w:ind w:left="680" w:right="134" w:hanging="436"/>
        <w:jc w:val="both"/>
        <w:rPr>
          <w:sz w:val="27"/>
        </w:rPr>
      </w:pPr>
      <w:r>
        <w:rPr>
          <w:sz w:val="27"/>
        </w:rPr>
        <w:t>Franklin SS, Lopez </w:t>
      </w:r>
      <w:r>
        <w:rPr>
          <w:spacing w:val="-10"/>
          <w:sz w:val="27"/>
        </w:rPr>
        <w:t>VA, </w:t>
      </w:r>
      <w:r>
        <w:rPr>
          <w:spacing w:val="-5"/>
          <w:sz w:val="27"/>
        </w:rPr>
        <w:t>Wong </w:t>
      </w:r>
      <w:r>
        <w:rPr>
          <w:spacing w:val="-3"/>
          <w:sz w:val="27"/>
        </w:rPr>
        <w:t>ND, </w:t>
      </w:r>
      <w:r>
        <w:rPr>
          <w:sz w:val="27"/>
        </w:rPr>
        <w:t>et al. Single versus combined blood pressure components and risk for cardiovascular disease: </w:t>
      </w:r>
      <w:r>
        <w:rPr>
          <w:spacing w:val="-4"/>
          <w:sz w:val="27"/>
        </w:rPr>
        <w:t>the </w:t>
      </w:r>
      <w:r>
        <w:rPr>
          <w:sz w:val="27"/>
        </w:rPr>
        <w:t>Framingham Heart Study. Circulation</w:t>
      </w:r>
      <w:r>
        <w:rPr>
          <w:spacing w:val="17"/>
          <w:sz w:val="27"/>
        </w:rPr>
        <w:t> </w:t>
      </w:r>
      <w:r>
        <w:rPr>
          <w:sz w:val="27"/>
        </w:rPr>
        <w:t>2009;119:243–250.</w:t>
      </w:r>
    </w:p>
    <w:p>
      <w:pPr>
        <w:pStyle w:val="ListParagraph"/>
        <w:numPr>
          <w:ilvl w:val="0"/>
          <w:numId w:val="12"/>
        </w:numPr>
        <w:tabs>
          <w:tab w:pos="681" w:val="left" w:leader="none"/>
        </w:tabs>
        <w:spacing w:line="256" w:lineRule="auto" w:before="1" w:after="0"/>
        <w:ind w:left="680" w:right="129" w:hanging="436"/>
        <w:jc w:val="both"/>
        <w:rPr>
          <w:sz w:val="27"/>
        </w:rPr>
      </w:pPr>
      <w:r>
        <w:rPr>
          <w:w w:val="105"/>
          <w:sz w:val="27"/>
        </w:rPr>
        <w:t>Williams</w:t>
      </w:r>
      <w:r>
        <w:rPr>
          <w:spacing w:val="-12"/>
          <w:w w:val="105"/>
          <w:sz w:val="27"/>
        </w:rPr>
        <w:t> </w:t>
      </w:r>
      <w:r>
        <w:rPr>
          <w:w w:val="105"/>
          <w:sz w:val="27"/>
        </w:rPr>
        <w:t>B,</w:t>
      </w:r>
      <w:r>
        <w:rPr>
          <w:spacing w:val="-11"/>
          <w:w w:val="105"/>
          <w:sz w:val="27"/>
        </w:rPr>
        <w:t> </w:t>
      </w:r>
      <w:r>
        <w:rPr>
          <w:w w:val="105"/>
          <w:sz w:val="27"/>
        </w:rPr>
        <w:t>Mancia</w:t>
      </w:r>
      <w:r>
        <w:rPr>
          <w:spacing w:val="-12"/>
          <w:w w:val="105"/>
          <w:sz w:val="27"/>
        </w:rPr>
        <w:t> </w:t>
      </w:r>
      <w:r>
        <w:rPr>
          <w:w w:val="105"/>
          <w:sz w:val="27"/>
        </w:rPr>
        <w:t>G,</w:t>
      </w:r>
      <w:r>
        <w:rPr>
          <w:spacing w:val="-11"/>
          <w:w w:val="105"/>
          <w:sz w:val="27"/>
        </w:rPr>
        <w:t> </w:t>
      </w:r>
      <w:r>
        <w:rPr>
          <w:w w:val="105"/>
          <w:sz w:val="27"/>
        </w:rPr>
        <w:t>Spiering</w:t>
      </w:r>
      <w:r>
        <w:rPr>
          <w:spacing w:val="-11"/>
          <w:w w:val="105"/>
          <w:sz w:val="27"/>
        </w:rPr>
        <w:t> </w:t>
      </w:r>
      <w:r>
        <w:rPr>
          <w:w w:val="105"/>
          <w:sz w:val="27"/>
        </w:rPr>
        <w:t>W</w:t>
      </w:r>
      <w:r>
        <w:rPr>
          <w:spacing w:val="-12"/>
          <w:w w:val="105"/>
          <w:sz w:val="27"/>
        </w:rPr>
        <w:t> </w:t>
      </w:r>
      <w:r>
        <w:rPr>
          <w:w w:val="105"/>
          <w:sz w:val="27"/>
        </w:rPr>
        <w:t>et</w:t>
      </w:r>
      <w:r>
        <w:rPr>
          <w:spacing w:val="-11"/>
          <w:w w:val="105"/>
          <w:sz w:val="27"/>
        </w:rPr>
        <w:t> </w:t>
      </w:r>
      <w:r>
        <w:rPr>
          <w:w w:val="105"/>
          <w:sz w:val="27"/>
        </w:rPr>
        <w:t>al.</w:t>
      </w:r>
      <w:r>
        <w:rPr>
          <w:spacing w:val="-11"/>
          <w:w w:val="105"/>
          <w:sz w:val="27"/>
        </w:rPr>
        <w:t> </w:t>
      </w:r>
      <w:r>
        <w:rPr>
          <w:w w:val="105"/>
          <w:sz w:val="27"/>
        </w:rPr>
        <w:t>2018</w:t>
      </w:r>
      <w:r>
        <w:rPr>
          <w:spacing w:val="-12"/>
          <w:w w:val="105"/>
          <w:sz w:val="27"/>
        </w:rPr>
        <w:t> </w:t>
      </w:r>
      <w:r>
        <w:rPr>
          <w:w w:val="105"/>
          <w:sz w:val="27"/>
        </w:rPr>
        <w:t>ESC/ESH</w:t>
      </w:r>
      <w:r>
        <w:rPr>
          <w:spacing w:val="-11"/>
          <w:w w:val="105"/>
          <w:sz w:val="27"/>
        </w:rPr>
        <w:t> </w:t>
      </w:r>
      <w:r>
        <w:rPr>
          <w:w w:val="105"/>
          <w:sz w:val="27"/>
        </w:rPr>
        <w:t>Guidelines for the management of arterial hypertension: The </w:t>
      </w:r>
      <w:r>
        <w:rPr>
          <w:spacing w:val="-3"/>
          <w:w w:val="105"/>
          <w:sz w:val="27"/>
        </w:rPr>
        <w:t>Task </w:t>
      </w:r>
      <w:r>
        <w:rPr>
          <w:w w:val="105"/>
          <w:sz w:val="27"/>
        </w:rPr>
        <w:t>Force </w:t>
      </w:r>
      <w:r>
        <w:rPr>
          <w:spacing w:val="-6"/>
          <w:w w:val="105"/>
          <w:sz w:val="27"/>
        </w:rPr>
        <w:t>for </w:t>
      </w:r>
      <w:r>
        <w:rPr>
          <w:w w:val="105"/>
          <w:sz w:val="27"/>
        </w:rPr>
        <w:t>the management of arterial hypertension of the European</w:t>
      </w:r>
      <w:r>
        <w:rPr>
          <w:spacing w:val="-33"/>
          <w:w w:val="105"/>
          <w:sz w:val="27"/>
        </w:rPr>
        <w:t> </w:t>
      </w:r>
      <w:r>
        <w:rPr>
          <w:w w:val="105"/>
          <w:sz w:val="27"/>
        </w:rPr>
        <w:t>Society of</w:t>
      </w:r>
      <w:r>
        <w:rPr>
          <w:spacing w:val="-30"/>
          <w:w w:val="105"/>
          <w:sz w:val="27"/>
        </w:rPr>
        <w:t> </w:t>
      </w:r>
      <w:r>
        <w:rPr>
          <w:w w:val="105"/>
          <w:sz w:val="27"/>
        </w:rPr>
        <w:t>Cardiology</w:t>
      </w:r>
      <w:r>
        <w:rPr>
          <w:spacing w:val="-29"/>
          <w:w w:val="105"/>
          <w:sz w:val="27"/>
        </w:rPr>
        <w:t> </w:t>
      </w:r>
      <w:r>
        <w:rPr>
          <w:w w:val="105"/>
          <w:sz w:val="27"/>
        </w:rPr>
        <w:t>and</w:t>
      </w:r>
      <w:r>
        <w:rPr>
          <w:spacing w:val="-29"/>
          <w:w w:val="105"/>
          <w:sz w:val="27"/>
        </w:rPr>
        <w:t> </w:t>
      </w:r>
      <w:r>
        <w:rPr>
          <w:w w:val="105"/>
          <w:sz w:val="27"/>
        </w:rPr>
        <w:t>the</w:t>
      </w:r>
      <w:r>
        <w:rPr>
          <w:spacing w:val="-29"/>
          <w:w w:val="105"/>
          <w:sz w:val="27"/>
        </w:rPr>
        <w:t> </w:t>
      </w:r>
      <w:r>
        <w:rPr>
          <w:w w:val="105"/>
          <w:sz w:val="27"/>
        </w:rPr>
        <w:t>European</w:t>
      </w:r>
      <w:r>
        <w:rPr>
          <w:spacing w:val="-29"/>
          <w:w w:val="105"/>
          <w:sz w:val="27"/>
        </w:rPr>
        <w:t> </w:t>
      </w:r>
      <w:r>
        <w:rPr>
          <w:w w:val="105"/>
          <w:sz w:val="27"/>
        </w:rPr>
        <w:t>Society</w:t>
      </w:r>
      <w:r>
        <w:rPr>
          <w:spacing w:val="-29"/>
          <w:w w:val="105"/>
          <w:sz w:val="27"/>
        </w:rPr>
        <w:t> </w:t>
      </w:r>
      <w:r>
        <w:rPr>
          <w:w w:val="105"/>
          <w:sz w:val="27"/>
        </w:rPr>
        <w:t>of</w:t>
      </w:r>
      <w:r>
        <w:rPr>
          <w:spacing w:val="-29"/>
          <w:w w:val="105"/>
          <w:sz w:val="27"/>
        </w:rPr>
        <w:t> </w:t>
      </w:r>
      <w:r>
        <w:rPr>
          <w:w w:val="105"/>
          <w:sz w:val="27"/>
        </w:rPr>
        <w:t>Hypertension:</w:t>
      </w:r>
      <w:r>
        <w:rPr>
          <w:spacing w:val="-29"/>
          <w:w w:val="105"/>
          <w:sz w:val="27"/>
        </w:rPr>
        <w:t> </w:t>
      </w:r>
      <w:r>
        <w:rPr>
          <w:w w:val="105"/>
          <w:sz w:val="27"/>
        </w:rPr>
        <w:t>The</w:t>
      </w:r>
      <w:r>
        <w:rPr>
          <w:spacing w:val="-29"/>
          <w:w w:val="105"/>
          <w:sz w:val="27"/>
        </w:rPr>
        <w:t> </w:t>
      </w:r>
      <w:r>
        <w:rPr>
          <w:spacing w:val="-3"/>
          <w:w w:val="105"/>
          <w:sz w:val="27"/>
        </w:rPr>
        <w:t>Task </w:t>
      </w:r>
      <w:r>
        <w:rPr>
          <w:w w:val="105"/>
          <w:sz w:val="27"/>
        </w:rPr>
        <w:t>Force</w:t>
      </w:r>
      <w:r>
        <w:rPr>
          <w:spacing w:val="-28"/>
          <w:w w:val="105"/>
          <w:sz w:val="27"/>
        </w:rPr>
        <w:t> </w:t>
      </w:r>
      <w:r>
        <w:rPr>
          <w:w w:val="105"/>
          <w:sz w:val="27"/>
        </w:rPr>
        <w:t>for</w:t>
      </w:r>
      <w:r>
        <w:rPr>
          <w:spacing w:val="-27"/>
          <w:w w:val="105"/>
          <w:sz w:val="27"/>
        </w:rPr>
        <w:t> </w:t>
      </w:r>
      <w:r>
        <w:rPr>
          <w:w w:val="105"/>
          <w:sz w:val="27"/>
        </w:rPr>
        <w:t>the</w:t>
      </w:r>
      <w:r>
        <w:rPr>
          <w:spacing w:val="-28"/>
          <w:w w:val="105"/>
          <w:sz w:val="27"/>
        </w:rPr>
        <w:t> </w:t>
      </w:r>
      <w:r>
        <w:rPr>
          <w:w w:val="105"/>
          <w:sz w:val="27"/>
        </w:rPr>
        <w:t>management</w:t>
      </w:r>
      <w:r>
        <w:rPr>
          <w:spacing w:val="-27"/>
          <w:w w:val="105"/>
          <w:sz w:val="27"/>
        </w:rPr>
        <w:t> </w:t>
      </w:r>
      <w:r>
        <w:rPr>
          <w:w w:val="105"/>
          <w:sz w:val="27"/>
        </w:rPr>
        <w:t>of</w:t>
      </w:r>
      <w:r>
        <w:rPr>
          <w:spacing w:val="-28"/>
          <w:w w:val="105"/>
          <w:sz w:val="27"/>
        </w:rPr>
        <w:t> </w:t>
      </w:r>
      <w:r>
        <w:rPr>
          <w:w w:val="105"/>
          <w:sz w:val="27"/>
        </w:rPr>
        <w:t>arterial</w:t>
      </w:r>
      <w:r>
        <w:rPr>
          <w:spacing w:val="-27"/>
          <w:w w:val="105"/>
          <w:sz w:val="27"/>
        </w:rPr>
        <w:t> </w:t>
      </w:r>
      <w:r>
        <w:rPr>
          <w:w w:val="105"/>
          <w:sz w:val="27"/>
        </w:rPr>
        <w:t>hypertension</w:t>
      </w:r>
      <w:r>
        <w:rPr>
          <w:spacing w:val="-28"/>
          <w:w w:val="105"/>
          <w:sz w:val="27"/>
        </w:rPr>
        <w:t> </w:t>
      </w:r>
      <w:r>
        <w:rPr>
          <w:w w:val="105"/>
          <w:sz w:val="27"/>
        </w:rPr>
        <w:t>of</w:t>
      </w:r>
      <w:r>
        <w:rPr>
          <w:spacing w:val="-27"/>
          <w:w w:val="105"/>
          <w:sz w:val="27"/>
        </w:rPr>
        <w:t> </w:t>
      </w:r>
      <w:r>
        <w:rPr>
          <w:w w:val="105"/>
          <w:sz w:val="27"/>
        </w:rPr>
        <w:t>the</w:t>
      </w:r>
      <w:r>
        <w:rPr>
          <w:spacing w:val="-28"/>
          <w:w w:val="105"/>
          <w:sz w:val="27"/>
        </w:rPr>
        <w:t> </w:t>
      </w:r>
      <w:r>
        <w:rPr>
          <w:w w:val="105"/>
          <w:sz w:val="27"/>
        </w:rPr>
        <w:t>European Society of Cardiology and the European Society of</w:t>
      </w:r>
      <w:r>
        <w:rPr>
          <w:spacing w:val="-30"/>
          <w:w w:val="105"/>
          <w:sz w:val="27"/>
        </w:rPr>
        <w:t> </w:t>
      </w:r>
      <w:r>
        <w:rPr>
          <w:w w:val="105"/>
          <w:sz w:val="27"/>
        </w:rPr>
        <w:t>Hypertension. JHypertens</w:t>
      </w:r>
      <w:r>
        <w:rPr>
          <w:spacing w:val="-6"/>
          <w:w w:val="105"/>
          <w:sz w:val="27"/>
        </w:rPr>
        <w:t> </w:t>
      </w:r>
      <w:r>
        <w:rPr>
          <w:w w:val="105"/>
          <w:sz w:val="27"/>
        </w:rPr>
        <w:t>2018;36(10):1953–2041.</w:t>
      </w:r>
    </w:p>
    <w:p>
      <w:pPr>
        <w:pStyle w:val="ListParagraph"/>
        <w:numPr>
          <w:ilvl w:val="0"/>
          <w:numId w:val="12"/>
        </w:numPr>
        <w:tabs>
          <w:tab w:pos="681" w:val="left" w:leader="none"/>
        </w:tabs>
        <w:spacing w:line="256" w:lineRule="auto" w:before="3" w:after="0"/>
        <w:ind w:left="680" w:right="136" w:hanging="436"/>
        <w:jc w:val="both"/>
        <w:rPr>
          <w:sz w:val="27"/>
        </w:rPr>
      </w:pPr>
      <w:r>
        <w:rPr>
          <w:sz w:val="27"/>
        </w:rPr>
        <w:t>Чазова И. Е., Жернакова Ю. В. [от имени экспертов]. Клинические рекомендации. Диагностика и лечение артериальной гипертонии. Системные гипертензии. 2019;16 (1):6–31.</w:t>
      </w:r>
    </w:p>
    <w:p>
      <w:pPr>
        <w:pStyle w:val="ListParagraph"/>
        <w:numPr>
          <w:ilvl w:val="0"/>
          <w:numId w:val="12"/>
        </w:numPr>
        <w:tabs>
          <w:tab w:pos="681" w:val="left" w:leader="none"/>
        </w:tabs>
        <w:spacing w:line="256" w:lineRule="auto" w:before="2" w:after="0"/>
        <w:ind w:left="680" w:right="136" w:hanging="436"/>
        <w:jc w:val="both"/>
        <w:rPr>
          <w:sz w:val="27"/>
        </w:rPr>
      </w:pPr>
      <w:r>
        <w:rPr>
          <w:w w:val="105"/>
          <w:sz w:val="27"/>
        </w:rPr>
        <w:t>Lewington</w:t>
      </w:r>
      <w:r>
        <w:rPr>
          <w:spacing w:val="-19"/>
          <w:w w:val="105"/>
          <w:sz w:val="27"/>
        </w:rPr>
        <w:t> </w:t>
      </w:r>
      <w:r>
        <w:rPr>
          <w:w w:val="105"/>
          <w:sz w:val="27"/>
        </w:rPr>
        <w:t>S,</w:t>
      </w:r>
      <w:r>
        <w:rPr>
          <w:spacing w:val="-19"/>
          <w:w w:val="105"/>
          <w:sz w:val="27"/>
        </w:rPr>
        <w:t> </w:t>
      </w:r>
      <w:r>
        <w:rPr>
          <w:w w:val="105"/>
          <w:sz w:val="27"/>
        </w:rPr>
        <w:t>Clarke</w:t>
      </w:r>
      <w:r>
        <w:rPr>
          <w:spacing w:val="-19"/>
          <w:w w:val="105"/>
          <w:sz w:val="27"/>
        </w:rPr>
        <w:t> </w:t>
      </w:r>
      <w:r>
        <w:rPr>
          <w:w w:val="105"/>
          <w:sz w:val="27"/>
        </w:rPr>
        <w:t>R,</w:t>
      </w:r>
      <w:r>
        <w:rPr>
          <w:spacing w:val="-19"/>
          <w:w w:val="105"/>
          <w:sz w:val="27"/>
        </w:rPr>
        <w:t> </w:t>
      </w:r>
      <w:r>
        <w:rPr>
          <w:w w:val="105"/>
          <w:sz w:val="27"/>
        </w:rPr>
        <w:t>Qizilbash</w:t>
      </w:r>
      <w:r>
        <w:rPr>
          <w:spacing w:val="-18"/>
          <w:w w:val="105"/>
          <w:sz w:val="27"/>
        </w:rPr>
        <w:t> </w:t>
      </w:r>
      <w:r>
        <w:rPr>
          <w:w w:val="105"/>
          <w:sz w:val="27"/>
        </w:rPr>
        <w:t>N</w:t>
      </w:r>
      <w:r>
        <w:rPr>
          <w:spacing w:val="-19"/>
          <w:w w:val="105"/>
          <w:sz w:val="27"/>
        </w:rPr>
        <w:t> </w:t>
      </w:r>
      <w:r>
        <w:rPr>
          <w:w w:val="105"/>
          <w:sz w:val="27"/>
        </w:rPr>
        <w:t>et</w:t>
      </w:r>
      <w:r>
        <w:rPr>
          <w:spacing w:val="-19"/>
          <w:w w:val="105"/>
          <w:sz w:val="27"/>
        </w:rPr>
        <w:t> </w:t>
      </w:r>
      <w:r>
        <w:rPr>
          <w:w w:val="105"/>
          <w:sz w:val="27"/>
        </w:rPr>
        <w:t>al.</w:t>
      </w:r>
      <w:r>
        <w:rPr>
          <w:spacing w:val="-19"/>
          <w:w w:val="105"/>
          <w:sz w:val="27"/>
        </w:rPr>
        <w:t> </w:t>
      </w:r>
      <w:r>
        <w:rPr>
          <w:w w:val="105"/>
          <w:sz w:val="27"/>
        </w:rPr>
        <w:t>Age-speciﬁc</w:t>
      </w:r>
      <w:r>
        <w:rPr>
          <w:spacing w:val="-19"/>
          <w:w w:val="105"/>
          <w:sz w:val="27"/>
        </w:rPr>
        <w:t> </w:t>
      </w:r>
      <w:r>
        <w:rPr>
          <w:w w:val="105"/>
          <w:sz w:val="27"/>
        </w:rPr>
        <w:t>relevance</w:t>
      </w:r>
      <w:r>
        <w:rPr>
          <w:spacing w:val="-18"/>
          <w:w w:val="105"/>
          <w:sz w:val="27"/>
        </w:rPr>
        <w:t> </w:t>
      </w:r>
      <w:r>
        <w:rPr>
          <w:w w:val="105"/>
          <w:sz w:val="27"/>
        </w:rPr>
        <w:t>of usual blood pressure to vascular mortality: a meta-analysis of individual data for one million adults in 61 prospective studies. Lancet</w:t>
      </w:r>
      <w:r>
        <w:rPr>
          <w:spacing w:val="62"/>
          <w:w w:val="105"/>
          <w:sz w:val="27"/>
        </w:rPr>
        <w:t> </w:t>
      </w:r>
      <w:r>
        <w:rPr>
          <w:w w:val="105"/>
          <w:sz w:val="27"/>
        </w:rPr>
        <w:t>2002;360:1903–1913.</w:t>
      </w:r>
    </w:p>
    <w:p>
      <w:pPr>
        <w:pStyle w:val="ListParagraph"/>
        <w:numPr>
          <w:ilvl w:val="0"/>
          <w:numId w:val="12"/>
        </w:numPr>
        <w:tabs>
          <w:tab w:pos="681" w:val="left" w:leader="none"/>
        </w:tabs>
        <w:spacing w:line="256" w:lineRule="auto" w:before="1" w:after="0"/>
        <w:ind w:left="680" w:right="132" w:hanging="436"/>
        <w:jc w:val="both"/>
        <w:rPr>
          <w:sz w:val="27"/>
        </w:rPr>
      </w:pPr>
      <w:r>
        <w:rPr>
          <w:sz w:val="27"/>
        </w:rPr>
        <w:t>Lip GYH, Coca A, Kahan </w:t>
      </w:r>
      <w:r>
        <w:rPr>
          <w:spacing w:val="-7"/>
          <w:sz w:val="27"/>
        </w:rPr>
        <w:t>T, </w:t>
      </w:r>
      <w:r>
        <w:rPr>
          <w:sz w:val="27"/>
        </w:rPr>
        <w:t>et al. Hypertension and cardiac arrhythmias: executive summary of a consensus document from the European</w:t>
      </w:r>
      <w:r>
        <w:rPr>
          <w:spacing w:val="27"/>
          <w:sz w:val="27"/>
        </w:rPr>
        <w:t> </w:t>
      </w:r>
      <w:r>
        <w:rPr>
          <w:sz w:val="27"/>
        </w:rPr>
        <w:t>Heart</w:t>
      </w:r>
      <w:r>
        <w:rPr>
          <w:spacing w:val="28"/>
          <w:sz w:val="27"/>
        </w:rPr>
        <w:t> </w:t>
      </w:r>
      <w:r>
        <w:rPr>
          <w:sz w:val="27"/>
        </w:rPr>
        <w:t>Rhythm</w:t>
      </w:r>
      <w:r>
        <w:rPr>
          <w:spacing w:val="28"/>
          <w:sz w:val="27"/>
        </w:rPr>
        <w:t> </w:t>
      </w:r>
      <w:r>
        <w:rPr>
          <w:sz w:val="27"/>
        </w:rPr>
        <w:t>Association</w:t>
      </w:r>
      <w:r>
        <w:rPr>
          <w:spacing w:val="28"/>
          <w:sz w:val="27"/>
        </w:rPr>
        <w:t> </w:t>
      </w:r>
      <w:r>
        <w:rPr>
          <w:sz w:val="27"/>
        </w:rPr>
        <w:t>(EHRA)</w:t>
      </w:r>
      <w:r>
        <w:rPr>
          <w:spacing w:val="28"/>
          <w:sz w:val="27"/>
        </w:rPr>
        <w:t> </w:t>
      </w:r>
      <w:r>
        <w:rPr>
          <w:sz w:val="27"/>
        </w:rPr>
        <w:t>and</w:t>
      </w:r>
      <w:r>
        <w:rPr>
          <w:spacing w:val="28"/>
          <w:sz w:val="27"/>
        </w:rPr>
        <w:t> </w:t>
      </w:r>
      <w:r>
        <w:rPr>
          <w:sz w:val="27"/>
        </w:rPr>
        <w:t>ESC</w:t>
      </w:r>
      <w:r>
        <w:rPr>
          <w:spacing w:val="28"/>
          <w:sz w:val="27"/>
        </w:rPr>
        <w:t> </w:t>
      </w:r>
      <w:r>
        <w:rPr>
          <w:sz w:val="27"/>
        </w:rPr>
        <w:t>Council</w:t>
      </w:r>
      <w:r>
        <w:rPr>
          <w:spacing w:val="28"/>
          <w:sz w:val="27"/>
        </w:rPr>
        <w:t> </w:t>
      </w:r>
      <w:r>
        <w:rPr>
          <w:sz w:val="27"/>
        </w:rPr>
        <w:t>on</w:t>
      </w:r>
    </w:p>
    <w:p>
      <w:pPr>
        <w:spacing w:after="0" w:line="256" w:lineRule="auto"/>
        <w:jc w:val="both"/>
        <w:rPr>
          <w:sz w:val="27"/>
        </w:rPr>
        <w:sectPr>
          <w:pgSz w:w="11900" w:h="16840"/>
          <w:pgMar w:top="0" w:bottom="0" w:left="1420" w:right="1520"/>
        </w:sectPr>
      </w:pPr>
    </w:p>
    <w:p>
      <w:pPr>
        <w:pStyle w:val="BodyText"/>
        <w:spacing w:line="256" w:lineRule="auto" w:before="16"/>
        <w:ind w:right="128"/>
      </w:pPr>
      <w:r>
        <w:rPr/>
        <w:t>Hypertension, endorsed by the Heart Rhythm Society (HRS), Asia- Paciﬁc Heart Rhythm Society (APHRS), and Sociedad Latinoamericana de Estimulacion Cardiaca y Electroﬁsiologia (SOLEACE). Eur Heart J Cardiovasc Pharmacother 2017;3:235–250.</w:t>
      </w:r>
    </w:p>
    <w:p>
      <w:pPr>
        <w:pStyle w:val="ListParagraph"/>
        <w:numPr>
          <w:ilvl w:val="0"/>
          <w:numId w:val="12"/>
        </w:numPr>
        <w:tabs>
          <w:tab w:pos="681" w:val="left" w:leader="none"/>
        </w:tabs>
        <w:spacing w:line="256" w:lineRule="auto" w:before="2" w:after="0"/>
        <w:ind w:left="680" w:right="130" w:hanging="436"/>
        <w:jc w:val="both"/>
        <w:rPr>
          <w:sz w:val="27"/>
        </w:rPr>
      </w:pPr>
      <w:r>
        <w:rPr>
          <w:sz w:val="27"/>
        </w:rPr>
        <w:t>Gottesman RF, Albert MS, Alonso A, et al. Associations between midlife vascular risk factors and 25-year incident dementia in the Atherosclerosis Risk in Communities (ARIC) cohort. JAMA Neurol 2017;74:1246–1254.</w:t>
      </w:r>
    </w:p>
    <w:p>
      <w:pPr>
        <w:pStyle w:val="ListParagraph"/>
        <w:numPr>
          <w:ilvl w:val="0"/>
          <w:numId w:val="12"/>
        </w:numPr>
        <w:tabs>
          <w:tab w:pos="681" w:val="left" w:leader="none"/>
        </w:tabs>
        <w:spacing w:line="256" w:lineRule="auto" w:before="2" w:after="0"/>
        <w:ind w:left="680" w:right="139" w:hanging="436"/>
        <w:jc w:val="both"/>
        <w:rPr>
          <w:sz w:val="27"/>
        </w:rPr>
      </w:pPr>
      <w:r>
        <w:rPr>
          <w:spacing w:val="-3"/>
          <w:sz w:val="27"/>
        </w:rPr>
        <w:t>Rovio </w:t>
      </w:r>
      <w:r>
        <w:rPr>
          <w:spacing w:val="-12"/>
          <w:sz w:val="27"/>
        </w:rPr>
        <w:t>SP, </w:t>
      </w:r>
      <w:r>
        <w:rPr>
          <w:sz w:val="27"/>
        </w:rPr>
        <w:t>Pahkala K, Nevalainen J et al. Cardiovascular risk factors from childhood and midlife cognitive performance: the </w:t>
      </w:r>
      <w:r>
        <w:rPr>
          <w:spacing w:val="-5"/>
          <w:sz w:val="27"/>
        </w:rPr>
        <w:t>Young</w:t>
      </w:r>
      <w:r>
        <w:rPr>
          <w:spacing w:val="-21"/>
          <w:sz w:val="27"/>
        </w:rPr>
        <w:t> </w:t>
      </w:r>
      <w:r>
        <w:rPr>
          <w:sz w:val="27"/>
        </w:rPr>
        <w:t>Finns study. J Am Coll Cardiol</w:t>
      </w:r>
      <w:r>
        <w:rPr>
          <w:spacing w:val="1"/>
          <w:sz w:val="27"/>
        </w:rPr>
        <w:t> </w:t>
      </w:r>
      <w:r>
        <w:rPr>
          <w:sz w:val="27"/>
        </w:rPr>
        <w:t>2017;69:2279–2289.</w:t>
      </w:r>
    </w:p>
    <w:p>
      <w:pPr>
        <w:pStyle w:val="ListParagraph"/>
        <w:numPr>
          <w:ilvl w:val="0"/>
          <w:numId w:val="12"/>
        </w:numPr>
        <w:tabs>
          <w:tab w:pos="681" w:val="left" w:leader="none"/>
        </w:tabs>
        <w:spacing w:line="256" w:lineRule="auto" w:before="1" w:after="0"/>
        <w:ind w:left="680" w:right="129" w:hanging="436"/>
        <w:jc w:val="both"/>
        <w:rPr>
          <w:sz w:val="27"/>
        </w:rPr>
      </w:pPr>
      <w:r>
        <w:rPr>
          <w:sz w:val="27"/>
        </w:rPr>
        <w:t>Vishram JK, Borglykke A, Andreasen AH, et al, MORGAM Project. Impact of age on the importance of systolic and diastolic </w:t>
      </w:r>
      <w:r>
        <w:rPr>
          <w:spacing w:val="-3"/>
          <w:sz w:val="27"/>
        </w:rPr>
        <w:t>blood </w:t>
      </w:r>
      <w:r>
        <w:rPr>
          <w:sz w:val="27"/>
        </w:rPr>
        <w:t>pressures for stroke risk: the MOnica, Risk, Genetics, Archiving, and Monograph (MORGAM) project. Hypertension 2012;60:1117– 1123.</w:t>
      </w:r>
    </w:p>
    <w:p>
      <w:pPr>
        <w:pStyle w:val="ListParagraph"/>
        <w:numPr>
          <w:ilvl w:val="0"/>
          <w:numId w:val="12"/>
        </w:numPr>
        <w:tabs>
          <w:tab w:pos="681" w:val="left" w:leader="none"/>
        </w:tabs>
        <w:spacing w:line="256" w:lineRule="auto" w:before="2" w:after="0"/>
        <w:ind w:left="680" w:right="133" w:hanging="436"/>
        <w:jc w:val="both"/>
        <w:rPr>
          <w:sz w:val="27"/>
        </w:rPr>
      </w:pPr>
      <w:r>
        <w:rPr>
          <w:sz w:val="27"/>
        </w:rPr>
        <w:t>Brown</w:t>
      </w:r>
      <w:r>
        <w:rPr>
          <w:spacing w:val="-16"/>
          <w:sz w:val="27"/>
        </w:rPr>
        <w:t> </w:t>
      </w:r>
      <w:r>
        <w:rPr>
          <w:spacing w:val="-9"/>
          <w:sz w:val="27"/>
        </w:rPr>
        <w:t>DW,</w:t>
      </w:r>
      <w:r>
        <w:rPr>
          <w:spacing w:val="-15"/>
          <w:sz w:val="27"/>
        </w:rPr>
        <w:t> </w:t>
      </w:r>
      <w:r>
        <w:rPr>
          <w:sz w:val="27"/>
        </w:rPr>
        <w:t>Giles</w:t>
      </w:r>
      <w:r>
        <w:rPr>
          <w:spacing w:val="-15"/>
          <w:sz w:val="27"/>
        </w:rPr>
        <w:t> </w:t>
      </w:r>
      <w:r>
        <w:rPr>
          <w:sz w:val="27"/>
        </w:rPr>
        <w:t>WH,</w:t>
      </w:r>
      <w:r>
        <w:rPr>
          <w:spacing w:val="-15"/>
          <w:sz w:val="27"/>
        </w:rPr>
        <w:t> </w:t>
      </w:r>
      <w:r>
        <w:rPr>
          <w:sz w:val="27"/>
        </w:rPr>
        <w:t>Greenlund</w:t>
      </w:r>
      <w:r>
        <w:rPr>
          <w:spacing w:val="-15"/>
          <w:sz w:val="27"/>
        </w:rPr>
        <w:t> </w:t>
      </w:r>
      <w:r>
        <w:rPr>
          <w:sz w:val="27"/>
        </w:rPr>
        <w:t>KJ.</w:t>
      </w:r>
      <w:r>
        <w:rPr>
          <w:spacing w:val="-16"/>
          <w:sz w:val="27"/>
        </w:rPr>
        <w:t> </w:t>
      </w:r>
      <w:r>
        <w:rPr>
          <w:sz w:val="27"/>
        </w:rPr>
        <w:t>Blood</w:t>
      </w:r>
      <w:r>
        <w:rPr>
          <w:spacing w:val="-15"/>
          <w:sz w:val="27"/>
        </w:rPr>
        <w:t> </w:t>
      </w:r>
      <w:r>
        <w:rPr>
          <w:sz w:val="27"/>
        </w:rPr>
        <w:t>pressure</w:t>
      </w:r>
      <w:r>
        <w:rPr>
          <w:spacing w:val="-15"/>
          <w:sz w:val="27"/>
        </w:rPr>
        <w:t> </w:t>
      </w:r>
      <w:r>
        <w:rPr>
          <w:sz w:val="27"/>
        </w:rPr>
        <w:t>parameters</w:t>
      </w:r>
      <w:r>
        <w:rPr>
          <w:spacing w:val="-15"/>
          <w:sz w:val="27"/>
        </w:rPr>
        <w:t> </w:t>
      </w:r>
      <w:r>
        <w:rPr>
          <w:sz w:val="27"/>
        </w:rPr>
        <w:t>and risk of fatal stroke, NHANES II mortality study. Am J Hypertens 2007;20:338–341.</w:t>
      </w:r>
    </w:p>
    <w:p>
      <w:pPr>
        <w:pStyle w:val="ListParagraph"/>
        <w:numPr>
          <w:ilvl w:val="0"/>
          <w:numId w:val="12"/>
        </w:numPr>
        <w:tabs>
          <w:tab w:pos="681" w:val="left" w:leader="none"/>
        </w:tabs>
        <w:spacing w:line="256" w:lineRule="auto" w:before="1" w:after="0"/>
        <w:ind w:left="680" w:right="129" w:hanging="436"/>
        <w:jc w:val="both"/>
        <w:rPr>
          <w:sz w:val="27"/>
        </w:rPr>
      </w:pPr>
      <w:r>
        <w:rPr>
          <w:sz w:val="27"/>
        </w:rPr>
        <w:t>Franklin SS, Khan SA, </w:t>
      </w:r>
      <w:r>
        <w:rPr>
          <w:spacing w:val="-5"/>
          <w:sz w:val="27"/>
        </w:rPr>
        <w:t>Wong </w:t>
      </w:r>
      <w:r>
        <w:rPr>
          <w:spacing w:val="-3"/>
          <w:sz w:val="27"/>
        </w:rPr>
        <w:t>ND, </w:t>
      </w:r>
      <w:r>
        <w:rPr>
          <w:sz w:val="27"/>
        </w:rPr>
        <w:t>et al. Is pulse pressure useful in predicting risk for coronary heart disease? The Framingham heart study. Circulation</w:t>
      </w:r>
      <w:r>
        <w:rPr>
          <w:spacing w:val="2"/>
          <w:sz w:val="27"/>
        </w:rPr>
        <w:t> </w:t>
      </w:r>
      <w:r>
        <w:rPr>
          <w:sz w:val="27"/>
        </w:rPr>
        <w:t>1999;100:354–360.</w:t>
      </w:r>
    </w:p>
    <w:p>
      <w:pPr>
        <w:pStyle w:val="ListParagraph"/>
        <w:numPr>
          <w:ilvl w:val="0"/>
          <w:numId w:val="12"/>
        </w:numPr>
        <w:tabs>
          <w:tab w:pos="681" w:val="left" w:leader="none"/>
        </w:tabs>
        <w:spacing w:line="256" w:lineRule="auto" w:before="1" w:after="0"/>
        <w:ind w:left="680" w:right="132" w:hanging="436"/>
        <w:jc w:val="both"/>
        <w:rPr>
          <w:sz w:val="27"/>
        </w:rPr>
      </w:pPr>
      <w:r>
        <w:rPr>
          <w:sz w:val="27"/>
        </w:rPr>
        <w:t>Domanski M, Mitchell G, Pfeffer M, Neaton </w:t>
      </w:r>
      <w:r>
        <w:rPr>
          <w:spacing w:val="-3"/>
          <w:sz w:val="27"/>
        </w:rPr>
        <w:t>JD, </w:t>
      </w:r>
      <w:r>
        <w:rPr>
          <w:sz w:val="27"/>
        </w:rPr>
        <w:t>Norman J,</w:t>
      </w:r>
      <w:r>
        <w:rPr>
          <w:spacing w:val="-21"/>
          <w:sz w:val="27"/>
        </w:rPr>
        <w:t> </w:t>
      </w:r>
      <w:r>
        <w:rPr>
          <w:sz w:val="27"/>
        </w:rPr>
        <w:t>Svendsen K, Grimm R, Cohen J, Stamler J, MRFIT Research Group. Pulse pressure and cardiovascular disease-related mortality: follow-up study of the Multiple Risk Factor Intervention Trial (MRFIT). JAMA 2002;287:2677–2683.</w:t>
      </w:r>
    </w:p>
    <w:p>
      <w:pPr>
        <w:pStyle w:val="ListParagraph"/>
        <w:numPr>
          <w:ilvl w:val="0"/>
          <w:numId w:val="12"/>
        </w:numPr>
        <w:tabs>
          <w:tab w:pos="681" w:val="left" w:leader="none"/>
        </w:tabs>
        <w:spacing w:line="256" w:lineRule="auto" w:before="2" w:after="0"/>
        <w:ind w:left="680" w:right="129" w:hanging="436"/>
        <w:jc w:val="both"/>
        <w:rPr>
          <w:sz w:val="27"/>
        </w:rPr>
      </w:pPr>
      <w:r>
        <w:rPr>
          <w:sz w:val="27"/>
        </w:rPr>
        <w:t>Кобалава</w:t>
      </w:r>
      <w:r>
        <w:rPr>
          <w:spacing w:val="-11"/>
          <w:sz w:val="27"/>
        </w:rPr>
        <w:t> </w:t>
      </w:r>
      <w:r>
        <w:rPr>
          <w:sz w:val="27"/>
        </w:rPr>
        <w:t>Ж.</w:t>
      </w:r>
      <w:r>
        <w:rPr>
          <w:spacing w:val="-11"/>
          <w:sz w:val="27"/>
        </w:rPr>
        <w:t> </w:t>
      </w:r>
      <w:r>
        <w:rPr>
          <w:sz w:val="27"/>
        </w:rPr>
        <w:t>Д.,</w:t>
      </w:r>
      <w:r>
        <w:rPr>
          <w:spacing w:val="-11"/>
          <w:sz w:val="27"/>
        </w:rPr>
        <w:t> </w:t>
      </w:r>
      <w:r>
        <w:rPr>
          <w:sz w:val="27"/>
        </w:rPr>
        <w:t>Конради</w:t>
      </w:r>
      <w:r>
        <w:rPr>
          <w:spacing w:val="-11"/>
          <w:sz w:val="27"/>
        </w:rPr>
        <w:t> </w:t>
      </w:r>
      <w:r>
        <w:rPr>
          <w:sz w:val="27"/>
        </w:rPr>
        <w:t>А.</w:t>
      </w:r>
      <w:r>
        <w:rPr>
          <w:spacing w:val="-11"/>
          <w:sz w:val="27"/>
        </w:rPr>
        <w:t> </w:t>
      </w:r>
      <w:r>
        <w:rPr>
          <w:sz w:val="27"/>
        </w:rPr>
        <w:t>О.,</w:t>
      </w:r>
      <w:r>
        <w:rPr>
          <w:spacing w:val="-10"/>
          <w:sz w:val="27"/>
        </w:rPr>
        <w:t> </w:t>
      </w:r>
      <w:r>
        <w:rPr>
          <w:sz w:val="27"/>
        </w:rPr>
        <w:t>Недогода</w:t>
      </w:r>
      <w:r>
        <w:rPr>
          <w:spacing w:val="-11"/>
          <w:sz w:val="27"/>
        </w:rPr>
        <w:t> </w:t>
      </w:r>
      <w:r>
        <w:rPr>
          <w:sz w:val="27"/>
        </w:rPr>
        <w:t>С.</w:t>
      </w:r>
      <w:r>
        <w:rPr>
          <w:spacing w:val="-11"/>
          <w:sz w:val="27"/>
        </w:rPr>
        <w:t> </w:t>
      </w:r>
      <w:r>
        <w:rPr>
          <w:sz w:val="27"/>
        </w:rPr>
        <w:t>В.</w:t>
      </w:r>
      <w:r>
        <w:rPr>
          <w:spacing w:val="-11"/>
          <w:sz w:val="27"/>
        </w:rPr>
        <w:t> </w:t>
      </w:r>
      <w:r>
        <w:rPr>
          <w:sz w:val="27"/>
        </w:rPr>
        <w:t>и</w:t>
      </w:r>
      <w:r>
        <w:rPr>
          <w:spacing w:val="-11"/>
          <w:sz w:val="27"/>
        </w:rPr>
        <w:t> </w:t>
      </w:r>
      <w:r>
        <w:rPr>
          <w:sz w:val="27"/>
        </w:rPr>
        <w:t>др.</w:t>
      </w:r>
      <w:r>
        <w:rPr>
          <w:spacing w:val="-11"/>
          <w:sz w:val="27"/>
        </w:rPr>
        <w:t> </w:t>
      </w:r>
      <w:r>
        <w:rPr>
          <w:sz w:val="27"/>
        </w:rPr>
        <w:t>Меморандум экспертов Российского кардиологического общества по рекомендациям Европейского общества кардиологов/ Европейского общества по артериальной гипертензии по лечению артериальной гипертензии 2018 г. Российский кардиологический журнал.</w:t>
      </w:r>
      <w:r>
        <w:rPr>
          <w:spacing w:val="3"/>
          <w:sz w:val="27"/>
        </w:rPr>
        <w:t> </w:t>
      </w:r>
      <w:r>
        <w:rPr>
          <w:sz w:val="27"/>
        </w:rPr>
        <w:t>2018;(12):131–42.</w:t>
      </w:r>
    </w:p>
    <w:p>
      <w:pPr>
        <w:pStyle w:val="ListParagraph"/>
        <w:numPr>
          <w:ilvl w:val="0"/>
          <w:numId w:val="12"/>
        </w:numPr>
        <w:tabs>
          <w:tab w:pos="681" w:val="left" w:leader="none"/>
        </w:tabs>
        <w:spacing w:line="256" w:lineRule="auto" w:before="3" w:after="0"/>
        <w:ind w:left="680" w:right="136" w:hanging="436"/>
        <w:jc w:val="both"/>
        <w:rPr>
          <w:sz w:val="27"/>
        </w:rPr>
      </w:pPr>
      <w:r>
        <w:rPr>
          <w:w w:val="105"/>
          <w:sz w:val="27"/>
        </w:rPr>
        <w:t>Lewington</w:t>
      </w:r>
      <w:r>
        <w:rPr>
          <w:spacing w:val="-26"/>
          <w:w w:val="105"/>
          <w:sz w:val="27"/>
        </w:rPr>
        <w:t> </w:t>
      </w:r>
      <w:r>
        <w:rPr>
          <w:w w:val="105"/>
          <w:sz w:val="27"/>
        </w:rPr>
        <w:t>S,</w:t>
      </w:r>
      <w:r>
        <w:rPr>
          <w:spacing w:val="-25"/>
          <w:w w:val="105"/>
          <w:sz w:val="27"/>
        </w:rPr>
        <w:t> </w:t>
      </w:r>
      <w:r>
        <w:rPr>
          <w:w w:val="105"/>
          <w:sz w:val="27"/>
        </w:rPr>
        <w:t>Clarke</w:t>
      </w:r>
      <w:r>
        <w:rPr>
          <w:spacing w:val="-26"/>
          <w:w w:val="105"/>
          <w:sz w:val="27"/>
        </w:rPr>
        <w:t> </w:t>
      </w:r>
      <w:r>
        <w:rPr>
          <w:w w:val="105"/>
          <w:sz w:val="27"/>
        </w:rPr>
        <w:t>R,</w:t>
      </w:r>
      <w:r>
        <w:rPr>
          <w:spacing w:val="-25"/>
          <w:w w:val="105"/>
          <w:sz w:val="27"/>
        </w:rPr>
        <w:t> </w:t>
      </w:r>
      <w:r>
        <w:rPr>
          <w:w w:val="105"/>
          <w:sz w:val="27"/>
        </w:rPr>
        <w:t>Qizilbash</w:t>
      </w:r>
      <w:r>
        <w:rPr>
          <w:spacing w:val="-26"/>
          <w:w w:val="105"/>
          <w:sz w:val="27"/>
        </w:rPr>
        <w:t> </w:t>
      </w:r>
      <w:r>
        <w:rPr>
          <w:w w:val="105"/>
          <w:sz w:val="27"/>
        </w:rPr>
        <w:t>N,</w:t>
      </w:r>
      <w:r>
        <w:rPr>
          <w:spacing w:val="-25"/>
          <w:w w:val="105"/>
          <w:sz w:val="27"/>
        </w:rPr>
        <w:t> </w:t>
      </w:r>
      <w:r>
        <w:rPr>
          <w:w w:val="105"/>
          <w:sz w:val="27"/>
        </w:rPr>
        <w:t>et</w:t>
      </w:r>
      <w:r>
        <w:rPr>
          <w:spacing w:val="-26"/>
          <w:w w:val="105"/>
          <w:sz w:val="27"/>
        </w:rPr>
        <w:t> </w:t>
      </w:r>
      <w:r>
        <w:rPr>
          <w:w w:val="105"/>
          <w:sz w:val="27"/>
        </w:rPr>
        <w:t>al.</w:t>
      </w:r>
      <w:r>
        <w:rPr>
          <w:spacing w:val="-25"/>
          <w:w w:val="105"/>
          <w:sz w:val="27"/>
        </w:rPr>
        <w:t> </w:t>
      </w:r>
      <w:r>
        <w:rPr>
          <w:w w:val="105"/>
          <w:sz w:val="27"/>
        </w:rPr>
        <w:t>Age-speciﬁc</w:t>
      </w:r>
      <w:r>
        <w:rPr>
          <w:spacing w:val="-26"/>
          <w:w w:val="105"/>
          <w:sz w:val="27"/>
        </w:rPr>
        <w:t> </w:t>
      </w:r>
      <w:r>
        <w:rPr>
          <w:w w:val="105"/>
          <w:sz w:val="27"/>
        </w:rPr>
        <w:t>relevance</w:t>
      </w:r>
      <w:r>
        <w:rPr>
          <w:spacing w:val="-25"/>
          <w:w w:val="105"/>
          <w:sz w:val="27"/>
        </w:rPr>
        <w:t> </w:t>
      </w:r>
      <w:r>
        <w:rPr>
          <w:w w:val="105"/>
          <w:sz w:val="27"/>
        </w:rPr>
        <w:t>of usual blood pressure to vascular mortality: a meta-analysis of individual data for one million adults in 61 prospective studies. Lancet 2002;</w:t>
      </w:r>
      <w:r>
        <w:rPr>
          <w:spacing w:val="-9"/>
          <w:w w:val="105"/>
          <w:sz w:val="27"/>
        </w:rPr>
        <w:t> </w:t>
      </w:r>
      <w:r>
        <w:rPr>
          <w:w w:val="105"/>
          <w:sz w:val="27"/>
        </w:rPr>
        <w:t>360:1903–1913.</w:t>
      </w:r>
    </w:p>
    <w:p>
      <w:pPr>
        <w:pStyle w:val="ListParagraph"/>
        <w:numPr>
          <w:ilvl w:val="0"/>
          <w:numId w:val="12"/>
        </w:numPr>
        <w:tabs>
          <w:tab w:pos="681" w:val="left" w:leader="none"/>
        </w:tabs>
        <w:spacing w:line="256" w:lineRule="auto" w:before="1" w:after="0"/>
        <w:ind w:left="680" w:right="134" w:hanging="436"/>
        <w:jc w:val="both"/>
        <w:rPr>
          <w:sz w:val="27"/>
        </w:rPr>
      </w:pPr>
      <w:r>
        <w:rPr>
          <w:sz w:val="27"/>
        </w:rPr>
        <w:t>Reino-Gonzalez S. et al. How in-ofﬁce and ambulatory BP monitoring compare: A systematic review and meta-analysis. </w:t>
      </w:r>
      <w:r>
        <w:rPr>
          <w:spacing w:val="-12"/>
          <w:sz w:val="27"/>
        </w:rPr>
        <w:t>–</w:t>
      </w:r>
      <w:r>
        <w:rPr>
          <w:spacing w:val="43"/>
          <w:sz w:val="27"/>
        </w:rPr>
        <w:t> </w:t>
      </w:r>
      <w:r>
        <w:rPr>
          <w:spacing w:val="-6"/>
          <w:sz w:val="27"/>
        </w:rPr>
        <w:t>2017.</w:t>
      </w:r>
    </w:p>
    <w:p>
      <w:pPr>
        <w:pStyle w:val="ListParagraph"/>
        <w:numPr>
          <w:ilvl w:val="0"/>
          <w:numId w:val="12"/>
        </w:numPr>
        <w:tabs>
          <w:tab w:pos="681" w:val="left" w:leader="none"/>
        </w:tabs>
        <w:spacing w:line="256" w:lineRule="auto" w:before="1" w:after="0"/>
        <w:ind w:left="680" w:right="139" w:hanging="436"/>
        <w:jc w:val="both"/>
        <w:rPr>
          <w:sz w:val="27"/>
        </w:rPr>
      </w:pPr>
      <w:r>
        <w:rPr>
          <w:sz w:val="27"/>
        </w:rPr>
        <w:t>Kollias A., Ntineri A., Stergiou G. S. Association of night-time home blood</w:t>
      </w:r>
      <w:r>
        <w:rPr>
          <w:spacing w:val="14"/>
          <w:sz w:val="27"/>
        </w:rPr>
        <w:t> </w:t>
      </w:r>
      <w:r>
        <w:rPr>
          <w:sz w:val="27"/>
        </w:rPr>
        <w:t>pressure</w:t>
      </w:r>
      <w:r>
        <w:rPr>
          <w:spacing w:val="15"/>
          <w:sz w:val="27"/>
        </w:rPr>
        <w:t> </w:t>
      </w:r>
      <w:r>
        <w:rPr>
          <w:sz w:val="27"/>
        </w:rPr>
        <w:t>with</w:t>
      </w:r>
      <w:r>
        <w:rPr>
          <w:spacing w:val="15"/>
          <w:sz w:val="27"/>
        </w:rPr>
        <w:t> </w:t>
      </w:r>
      <w:r>
        <w:rPr>
          <w:sz w:val="27"/>
        </w:rPr>
        <w:t>night-time</w:t>
      </w:r>
      <w:r>
        <w:rPr>
          <w:spacing w:val="15"/>
          <w:sz w:val="27"/>
        </w:rPr>
        <w:t> </w:t>
      </w:r>
      <w:r>
        <w:rPr>
          <w:sz w:val="27"/>
        </w:rPr>
        <w:t>ambulatory</w:t>
      </w:r>
      <w:r>
        <w:rPr>
          <w:spacing w:val="14"/>
          <w:sz w:val="27"/>
        </w:rPr>
        <w:t> </w:t>
      </w:r>
      <w:r>
        <w:rPr>
          <w:sz w:val="27"/>
        </w:rPr>
        <w:t>blood</w:t>
      </w:r>
      <w:r>
        <w:rPr>
          <w:spacing w:val="15"/>
          <w:sz w:val="27"/>
        </w:rPr>
        <w:t> </w:t>
      </w:r>
      <w:r>
        <w:rPr>
          <w:sz w:val="27"/>
        </w:rPr>
        <w:t>pressure</w:t>
      </w:r>
      <w:r>
        <w:rPr>
          <w:spacing w:val="15"/>
          <w:sz w:val="27"/>
        </w:rPr>
        <w:t> </w:t>
      </w:r>
      <w:r>
        <w:rPr>
          <w:sz w:val="27"/>
        </w:rPr>
        <w:t>and</w:t>
      </w:r>
    </w:p>
    <w:p>
      <w:pPr>
        <w:spacing w:after="0" w:line="256" w:lineRule="auto"/>
        <w:jc w:val="both"/>
        <w:rPr>
          <w:sz w:val="27"/>
        </w:rPr>
        <w:sectPr>
          <w:pgSz w:w="11900" w:h="16840"/>
          <w:pgMar w:top="0" w:bottom="280" w:left="1420" w:right="1520"/>
        </w:sectPr>
      </w:pPr>
    </w:p>
    <w:p>
      <w:pPr>
        <w:pStyle w:val="BodyText"/>
        <w:spacing w:before="16"/>
      </w:pPr>
      <w:r>
        <w:rPr/>
        <w:t>target-organ damage: a systematic review and meta-analysis</w:t>
      </w:r>
    </w:p>
    <w:p>
      <w:pPr>
        <w:pStyle w:val="BodyText"/>
        <w:spacing w:before="26"/>
      </w:pPr>
      <w:r>
        <w:rPr>
          <w:w w:val="110"/>
        </w:rPr>
        <w:t>//Journal of hypertension. – 2017. – Т. 35. – №. 3. – С. 442-452.</w:t>
      </w:r>
    </w:p>
    <w:p>
      <w:pPr>
        <w:pStyle w:val="ListParagraph"/>
        <w:numPr>
          <w:ilvl w:val="0"/>
          <w:numId w:val="12"/>
        </w:numPr>
        <w:tabs>
          <w:tab w:pos="681" w:val="left" w:leader="none"/>
        </w:tabs>
        <w:spacing w:line="256" w:lineRule="auto" w:before="26" w:after="0"/>
        <w:ind w:left="680" w:right="128" w:hanging="436"/>
        <w:jc w:val="both"/>
        <w:rPr>
          <w:sz w:val="27"/>
        </w:rPr>
      </w:pPr>
      <w:r>
        <w:rPr>
          <w:sz w:val="27"/>
        </w:rPr>
        <w:t>Fagard RH, Celis H, Thijs L, et al. Daytime and night-time blood pressure as predictors of death and cause-speciﬁc cardiovascular events in hypertension. Hypertension 2008;</w:t>
      </w:r>
      <w:r>
        <w:rPr>
          <w:spacing w:val="21"/>
          <w:sz w:val="27"/>
        </w:rPr>
        <w:t> </w:t>
      </w:r>
      <w:r>
        <w:rPr>
          <w:sz w:val="27"/>
        </w:rPr>
        <w:t>51:55–61.</w:t>
      </w:r>
    </w:p>
    <w:p>
      <w:pPr>
        <w:pStyle w:val="ListParagraph"/>
        <w:numPr>
          <w:ilvl w:val="0"/>
          <w:numId w:val="12"/>
        </w:numPr>
        <w:tabs>
          <w:tab w:pos="681" w:val="left" w:leader="none"/>
        </w:tabs>
        <w:spacing w:line="256" w:lineRule="auto" w:before="1" w:after="0"/>
        <w:ind w:left="680" w:right="133" w:hanging="436"/>
        <w:jc w:val="both"/>
        <w:rPr>
          <w:sz w:val="27"/>
        </w:rPr>
      </w:pPr>
      <w:r>
        <w:rPr>
          <w:spacing w:val="-5"/>
          <w:sz w:val="27"/>
        </w:rPr>
        <w:t>Ward </w:t>
      </w:r>
      <w:r>
        <w:rPr>
          <w:sz w:val="27"/>
        </w:rPr>
        <w:t>AM, Takahashi </w:t>
      </w:r>
      <w:r>
        <w:rPr>
          <w:spacing w:val="-4"/>
          <w:sz w:val="27"/>
        </w:rPr>
        <w:t>O, </w:t>
      </w:r>
      <w:r>
        <w:rPr>
          <w:sz w:val="27"/>
        </w:rPr>
        <w:t>Stevens R, Heneghan C. Home measurement of blood pressure and cardiovascular disease: systematic review and meta-analysis of prospective studies. J Hypertens 2012; 30:449–456.</w:t>
      </w:r>
    </w:p>
    <w:p>
      <w:pPr>
        <w:pStyle w:val="ListParagraph"/>
        <w:numPr>
          <w:ilvl w:val="0"/>
          <w:numId w:val="12"/>
        </w:numPr>
        <w:tabs>
          <w:tab w:pos="681" w:val="left" w:leader="none"/>
        </w:tabs>
        <w:spacing w:line="256" w:lineRule="auto" w:before="2" w:after="0"/>
        <w:ind w:left="680" w:right="128" w:hanging="436"/>
        <w:jc w:val="both"/>
        <w:rPr>
          <w:sz w:val="27"/>
        </w:rPr>
      </w:pPr>
      <w:r>
        <w:rPr>
          <w:sz w:val="27"/>
        </w:rPr>
        <w:t>Mancia G, Facchetti R, Bombelli M, et al. Long-term risk of mortality associated with selective and combined elevation in  ofﬁce, home and ambulatory blood pressure. Hypertension </w:t>
      </w:r>
      <w:r>
        <w:rPr>
          <w:spacing w:val="-3"/>
          <w:sz w:val="27"/>
        </w:rPr>
        <w:t>2006; </w:t>
      </w:r>
      <w:r>
        <w:rPr>
          <w:sz w:val="27"/>
        </w:rPr>
        <w:t>47:846–853.</w:t>
      </w:r>
    </w:p>
    <w:p>
      <w:pPr>
        <w:pStyle w:val="ListParagraph"/>
        <w:numPr>
          <w:ilvl w:val="0"/>
          <w:numId w:val="12"/>
        </w:numPr>
        <w:tabs>
          <w:tab w:pos="681" w:val="left" w:leader="none"/>
        </w:tabs>
        <w:spacing w:line="256" w:lineRule="auto" w:before="2" w:after="0"/>
        <w:ind w:left="680" w:right="129" w:hanging="436"/>
        <w:jc w:val="both"/>
        <w:rPr>
          <w:sz w:val="27"/>
        </w:rPr>
      </w:pPr>
      <w:r>
        <w:rPr>
          <w:w w:val="105"/>
          <w:sz w:val="27"/>
        </w:rPr>
        <w:t>Fagard</w:t>
      </w:r>
      <w:r>
        <w:rPr>
          <w:spacing w:val="-13"/>
          <w:w w:val="105"/>
          <w:sz w:val="27"/>
        </w:rPr>
        <w:t> </w:t>
      </w:r>
      <w:r>
        <w:rPr>
          <w:w w:val="105"/>
          <w:sz w:val="27"/>
        </w:rPr>
        <w:t>RH,</w:t>
      </w:r>
      <w:r>
        <w:rPr>
          <w:spacing w:val="-12"/>
          <w:w w:val="105"/>
          <w:sz w:val="27"/>
        </w:rPr>
        <w:t> </w:t>
      </w:r>
      <w:r>
        <w:rPr>
          <w:w w:val="105"/>
          <w:sz w:val="27"/>
        </w:rPr>
        <w:t>Cornelissen</w:t>
      </w:r>
      <w:r>
        <w:rPr>
          <w:spacing w:val="-13"/>
          <w:w w:val="105"/>
          <w:sz w:val="27"/>
        </w:rPr>
        <w:t> </w:t>
      </w:r>
      <w:r>
        <w:rPr>
          <w:spacing w:val="-10"/>
          <w:w w:val="105"/>
          <w:sz w:val="27"/>
        </w:rPr>
        <w:t>VA.</w:t>
      </w:r>
      <w:r>
        <w:rPr>
          <w:spacing w:val="-12"/>
          <w:w w:val="105"/>
          <w:sz w:val="27"/>
        </w:rPr>
        <w:t> </w:t>
      </w:r>
      <w:r>
        <w:rPr>
          <w:w w:val="105"/>
          <w:sz w:val="27"/>
        </w:rPr>
        <w:t>Incidence</w:t>
      </w:r>
      <w:r>
        <w:rPr>
          <w:spacing w:val="-12"/>
          <w:w w:val="105"/>
          <w:sz w:val="27"/>
        </w:rPr>
        <w:t> </w:t>
      </w:r>
      <w:r>
        <w:rPr>
          <w:w w:val="105"/>
          <w:sz w:val="27"/>
        </w:rPr>
        <w:t>of</w:t>
      </w:r>
      <w:r>
        <w:rPr>
          <w:spacing w:val="-13"/>
          <w:w w:val="105"/>
          <w:sz w:val="27"/>
        </w:rPr>
        <w:t> </w:t>
      </w:r>
      <w:r>
        <w:rPr>
          <w:w w:val="105"/>
          <w:sz w:val="27"/>
        </w:rPr>
        <w:t>cardiovascular</w:t>
      </w:r>
      <w:r>
        <w:rPr>
          <w:spacing w:val="-12"/>
          <w:w w:val="105"/>
          <w:sz w:val="27"/>
        </w:rPr>
        <w:t> </w:t>
      </w:r>
      <w:r>
        <w:rPr>
          <w:w w:val="105"/>
          <w:sz w:val="27"/>
        </w:rPr>
        <w:t>events</w:t>
      </w:r>
      <w:r>
        <w:rPr>
          <w:spacing w:val="-12"/>
          <w:w w:val="105"/>
          <w:sz w:val="27"/>
        </w:rPr>
        <w:t> </w:t>
      </w:r>
      <w:r>
        <w:rPr>
          <w:w w:val="105"/>
          <w:sz w:val="27"/>
        </w:rPr>
        <w:t>in white-coat, masked and sustained hypertension vs. true normotension:</w:t>
      </w:r>
      <w:r>
        <w:rPr>
          <w:spacing w:val="-11"/>
          <w:w w:val="105"/>
          <w:sz w:val="27"/>
        </w:rPr>
        <w:t> </w:t>
      </w:r>
      <w:r>
        <w:rPr>
          <w:w w:val="105"/>
          <w:sz w:val="27"/>
        </w:rPr>
        <w:t>a</w:t>
      </w:r>
      <w:r>
        <w:rPr>
          <w:spacing w:val="-11"/>
          <w:w w:val="105"/>
          <w:sz w:val="27"/>
        </w:rPr>
        <w:t> </w:t>
      </w:r>
      <w:r>
        <w:rPr>
          <w:w w:val="105"/>
          <w:sz w:val="27"/>
        </w:rPr>
        <w:t>meta-analysis.</w:t>
      </w:r>
      <w:r>
        <w:rPr>
          <w:spacing w:val="-11"/>
          <w:w w:val="105"/>
          <w:sz w:val="27"/>
        </w:rPr>
        <w:t> </w:t>
      </w:r>
      <w:r>
        <w:rPr>
          <w:w w:val="105"/>
          <w:sz w:val="27"/>
        </w:rPr>
        <w:t>J</w:t>
      </w:r>
      <w:r>
        <w:rPr>
          <w:spacing w:val="-11"/>
          <w:w w:val="105"/>
          <w:sz w:val="27"/>
        </w:rPr>
        <w:t> </w:t>
      </w:r>
      <w:r>
        <w:rPr>
          <w:w w:val="105"/>
          <w:sz w:val="27"/>
        </w:rPr>
        <w:t>Hypertens</w:t>
      </w:r>
      <w:r>
        <w:rPr>
          <w:spacing w:val="-11"/>
          <w:w w:val="105"/>
          <w:sz w:val="27"/>
        </w:rPr>
        <w:t> </w:t>
      </w:r>
      <w:r>
        <w:rPr>
          <w:w w:val="105"/>
          <w:sz w:val="27"/>
        </w:rPr>
        <w:t>2007;</w:t>
      </w:r>
      <w:r>
        <w:rPr>
          <w:spacing w:val="-11"/>
          <w:w w:val="105"/>
          <w:sz w:val="27"/>
        </w:rPr>
        <w:t> </w:t>
      </w:r>
      <w:r>
        <w:rPr>
          <w:w w:val="105"/>
          <w:sz w:val="27"/>
        </w:rPr>
        <w:t>25:2193–219.</w:t>
      </w:r>
    </w:p>
    <w:p>
      <w:pPr>
        <w:pStyle w:val="ListParagraph"/>
        <w:numPr>
          <w:ilvl w:val="0"/>
          <w:numId w:val="12"/>
        </w:numPr>
        <w:tabs>
          <w:tab w:pos="681" w:val="left" w:leader="none"/>
        </w:tabs>
        <w:spacing w:line="256" w:lineRule="auto" w:before="1" w:after="0"/>
        <w:ind w:left="680" w:right="136" w:hanging="436"/>
        <w:jc w:val="both"/>
        <w:rPr>
          <w:sz w:val="27"/>
        </w:rPr>
      </w:pPr>
      <w:r>
        <w:rPr>
          <w:sz w:val="27"/>
        </w:rPr>
        <w:t>Rimoldi SF, Scherrer U, Messerli FH. Secondary arterial hypertension: when, who, and how to screen? Eur Heart J 2014;35:1245–1254.</w:t>
      </w:r>
    </w:p>
    <w:p>
      <w:pPr>
        <w:pStyle w:val="ListParagraph"/>
        <w:numPr>
          <w:ilvl w:val="0"/>
          <w:numId w:val="12"/>
        </w:numPr>
        <w:tabs>
          <w:tab w:pos="681" w:val="left" w:leader="none"/>
        </w:tabs>
        <w:spacing w:line="256" w:lineRule="auto" w:before="1" w:after="0"/>
        <w:ind w:left="680" w:right="129" w:hanging="436"/>
        <w:jc w:val="both"/>
        <w:rPr>
          <w:sz w:val="27"/>
        </w:rPr>
      </w:pPr>
      <w:r>
        <w:rPr>
          <w:w w:val="105"/>
          <w:sz w:val="27"/>
        </w:rPr>
        <w:t>Albasri A. et al. A comparison of blood pressure in community pharmacies</w:t>
      </w:r>
      <w:r>
        <w:rPr>
          <w:spacing w:val="-23"/>
          <w:w w:val="105"/>
          <w:sz w:val="27"/>
        </w:rPr>
        <w:t> </w:t>
      </w:r>
      <w:r>
        <w:rPr>
          <w:w w:val="105"/>
          <w:sz w:val="27"/>
        </w:rPr>
        <w:t>with</w:t>
      </w:r>
      <w:r>
        <w:rPr>
          <w:spacing w:val="-22"/>
          <w:w w:val="105"/>
          <w:sz w:val="27"/>
        </w:rPr>
        <w:t> </w:t>
      </w:r>
      <w:r>
        <w:rPr>
          <w:w w:val="105"/>
          <w:sz w:val="27"/>
        </w:rPr>
        <w:t>ambulatory,</w:t>
      </w:r>
      <w:r>
        <w:rPr>
          <w:spacing w:val="-22"/>
          <w:w w:val="105"/>
          <w:sz w:val="27"/>
        </w:rPr>
        <w:t> </w:t>
      </w:r>
      <w:r>
        <w:rPr>
          <w:w w:val="105"/>
          <w:sz w:val="27"/>
        </w:rPr>
        <w:t>home</w:t>
      </w:r>
      <w:r>
        <w:rPr>
          <w:spacing w:val="-22"/>
          <w:w w:val="105"/>
          <w:sz w:val="27"/>
        </w:rPr>
        <w:t> </w:t>
      </w:r>
      <w:r>
        <w:rPr>
          <w:w w:val="105"/>
          <w:sz w:val="27"/>
        </w:rPr>
        <w:t>and</w:t>
      </w:r>
      <w:r>
        <w:rPr>
          <w:spacing w:val="-22"/>
          <w:w w:val="105"/>
          <w:sz w:val="27"/>
        </w:rPr>
        <w:t> </w:t>
      </w:r>
      <w:r>
        <w:rPr>
          <w:w w:val="105"/>
          <w:sz w:val="27"/>
        </w:rPr>
        <w:t>general</w:t>
      </w:r>
      <w:r>
        <w:rPr>
          <w:spacing w:val="-22"/>
          <w:w w:val="105"/>
          <w:sz w:val="27"/>
        </w:rPr>
        <w:t> </w:t>
      </w:r>
      <w:r>
        <w:rPr>
          <w:w w:val="105"/>
          <w:sz w:val="27"/>
        </w:rPr>
        <w:t>practitioner</w:t>
      </w:r>
      <w:r>
        <w:rPr>
          <w:spacing w:val="-23"/>
          <w:w w:val="105"/>
          <w:sz w:val="27"/>
        </w:rPr>
        <w:t> </w:t>
      </w:r>
      <w:r>
        <w:rPr>
          <w:spacing w:val="-4"/>
          <w:w w:val="105"/>
          <w:sz w:val="27"/>
        </w:rPr>
        <w:t>ofﬁce </w:t>
      </w:r>
      <w:r>
        <w:rPr>
          <w:w w:val="105"/>
          <w:sz w:val="27"/>
        </w:rPr>
        <w:t>readings: systematic review and meta-analysis //Journal of hypertension. – </w:t>
      </w:r>
      <w:r>
        <w:rPr>
          <w:spacing w:val="-6"/>
          <w:w w:val="105"/>
          <w:sz w:val="27"/>
        </w:rPr>
        <w:t>2017. </w:t>
      </w:r>
      <w:r>
        <w:rPr>
          <w:w w:val="105"/>
          <w:sz w:val="27"/>
        </w:rPr>
        <w:t>– Т. 35. – №. 10. – С.</w:t>
      </w:r>
      <w:r>
        <w:rPr>
          <w:spacing w:val="-38"/>
          <w:w w:val="105"/>
          <w:sz w:val="27"/>
        </w:rPr>
        <w:t> </w:t>
      </w:r>
      <w:r>
        <w:rPr>
          <w:w w:val="105"/>
          <w:sz w:val="27"/>
        </w:rPr>
        <w:t>1919.</w:t>
      </w:r>
    </w:p>
    <w:p>
      <w:pPr>
        <w:pStyle w:val="ListParagraph"/>
        <w:numPr>
          <w:ilvl w:val="0"/>
          <w:numId w:val="12"/>
        </w:numPr>
        <w:tabs>
          <w:tab w:pos="681" w:val="left" w:leader="none"/>
        </w:tabs>
        <w:spacing w:line="256" w:lineRule="auto" w:before="2" w:after="0"/>
        <w:ind w:left="680" w:right="134" w:hanging="436"/>
        <w:jc w:val="both"/>
        <w:rPr>
          <w:sz w:val="27"/>
        </w:rPr>
      </w:pPr>
      <w:r>
        <w:rPr>
          <w:sz w:val="27"/>
        </w:rPr>
        <w:t>Clark CE, Taylor RS, Shore </w:t>
      </w:r>
      <w:r>
        <w:rPr>
          <w:spacing w:val="-5"/>
          <w:sz w:val="27"/>
        </w:rPr>
        <w:t>AC, </w:t>
      </w:r>
      <w:r>
        <w:rPr>
          <w:sz w:val="27"/>
        </w:rPr>
        <w:t>et al. Association of a difference in systolic blood pressure between arms with vascular disease and mortality: a systematic review and meta-analysis. Lancet 2012;379:905–914.</w:t>
      </w:r>
    </w:p>
    <w:p>
      <w:pPr>
        <w:pStyle w:val="ListParagraph"/>
        <w:numPr>
          <w:ilvl w:val="0"/>
          <w:numId w:val="12"/>
        </w:numPr>
        <w:tabs>
          <w:tab w:pos="681" w:val="left" w:leader="none"/>
        </w:tabs>
        <w:spacing w:line="256" w:lineRule="auto" w:before="1" w:after="0"/>
        <w:ind w:left="680" w:right="132" w:hanging="436"/>
        <w:jc w:val="both"/>
        <w:rPr>
          <w:sz w:val="27"/>
        </w:rPr>
      </w:pPr>
      <w:r>
        <w:rPr>
          <w:sz w:val="27"/>
        </w:rPr>
        <w:t>Sega R, Facchetti R, Bombelli M, et al.Prognostic value of ambulatory and home blood pressures compared with ofﬁce </w:t>
      </w:r>
      <w:r>
        <w:rPr>
          <w:spacing w:val="-3"/>
          <w:sz w:val="27"/>
        </w:rPr>
        <w:t>blood </w:t>
      </w:r>
      <w:r>
        <w:rPr>
          <w:sz w:val="27"/>
        </w:rPr>
        <w:t>pressure in the general population: follow-up results from the Pressioni Arteriose Monitorate e Loro Associazioni </w:t>
      </w:r>
      <w:r>
        <w:rPr>
          <w:spacing w:val="-3"/>
          <w:sz w:val="27"/>
        </w:rPr>
        <w:t>(PAMELA) </w:t>
      </w:r>
      <w:r>
        <w:rPr>
          <w:sz w:val="27"/>
        </w:rPr>
        <w:t>study. Circulation</w:t>
      </w:r>
      <w:r>
        <w:rPr>
          <w:spacing w:val="2"/>
          <w:sz w:val="27"/>
        </w:rPr>
        <w:t> </w:t>
      </w:r>
      <w:r>
        <w:rPr>
          <w:sz w:val="27"/>
        </w:rPr>
        <w:t>2005;111:1777–1783.</w:t>
      </w:r>
    </w:p>
    <w:p>
      <w:pPr>
        <w:pStyle w:val="ListParagraph"/>
        <w:numPr>
          <w:ilvl w:val="0"/>
          <w:numId w:val="12"/>
        </w:numPr>
        <w:tabs>
          <w:tab w:pos="681" w:val="left" w:leader="none"/>
        </w:tabs>
        <w:spacing w:line="256" w:lineRule="auto" w:before="2" w:after="0"/>
        <w:ind w:left="680" w:right="132" w:hanging="436"/>
        <w:jc w:val="both"/>
        <w:rPr>
          <w:sz w:val="27"/>
        </w:rPr>
      </w:pPr>
      <w:r>
        <w:rPr>
          <w:w w:val="105"/>
          <w:sz w:val="27"/>
        </w:rPr>
        <w:t>Shi </w:t>
      </w:r>
      <w:r>
        <w:rPr>
          <w:spacing w:val="-12"/>
          <w:w w:val="105"/>
          <w:sz w:val="27"/>
        </w:rPr>
        <w:t>Y. </w:t>
      </w:r>
      <w:r>
        <w:rPr>
          <w:w w:val="105"/>
          <w:sz w:val="27"/>
        </w:rPr>
        <w:t>et al. Resting heart rate and the risk of hypertension and heart</w:t>
      </w:r>
      <w:r>
        <w:rPr>
          <w:spacing w:val="-30"/>
          <w:w w:val="105"/>
          <w:sz w:val="27"/>
        </w:rPr>
        <w:t> </w:t>
      </w:r>
      <w:r>
        <w:rPr>
          <w:w w:val="105"/>
          <w:sz w:val="27"/>
        </w:rPr>
        <w:t>failure:</w:t>
      </w:r>
      <w:r>
        <w:rPr>
          <w:spacing w:val="-29"/>
          <w:w w:val="105"/>
          <w:sz w:val="27"/>
        </w:rPr>
        <w:t> </w:t>
      </w:r>
      <w:r>
        <w:rPr>
          <w:w w:val="105"/>
          <w:sz w:val="27"/>
        </w:rPr>
        <w:t>a</w:t>
      </w:r>
      <w:r>
        <w:rPr>
          <w:spacing w:val="-30"/>
          <w:w w:val="105"/>
          <w:sz w:val="27"/>
        </w:rPr>
        <w:t> </w:t>
      </w:r>
      <w:r>
        <w:rPr>
          <w:w w:val="105"/>
          <w:sz w:val="27"/>
        </w:rPr>
        <w:t>dose–response</w:t>
      </w:r>
      <w:r>
        <w:rPr>
          <w:spacing w:val="-29"/>
          <w:w w:val="105"/>
          <w:sz w:val="27"/>
        </w:rPr>
        <w:t> </w:t>
      </w:r>
      <w:r>
        <w:rPr>
          <w:w w:val="105"/>
          <w:sz w:val="27"/>
        </w:rPr>
        <w:t>meta-analysis</w:t>
      </w:r>
      <w:r>
        <w:rPr>
          <w:spacing w:val="-29"/>
          <w:w w:val="105"/>
          <w:sz w:val="27"/>
        </w:rPr>
        <w:t> </w:t>
      </w:r>
      <w:r>
        <w:rPr>
          <w:w w:val="105"/>
          <w:sz w:val="27"/>
        </w:rPr>
        <w:t>of</w:t>
      </w:r>
      <w:r>
        <w:rPr>
          <w:spacing w:val="-30"/>
          <w:w w:val="105"/>
          <w:sz w:val="27"/>
        </w:rPr>
        <w:t> </w:t>
      </w:r>
      <w:r>
        <w:rPr>
          <w:w w:val="105"/>
          <w:sz w:val="27"/>
        </w:rPr>
        <w:t>prospective</w:t>
      </w:r>
      <w:r>
        <w:rPr>
          <w:spacing w:val="-29"/>
          <w:w w:val="105"/>
          <w:sz w:val="27"/>
        </w:rPr>
        <w:t> </w:t>
      </w:r>
      <w:r>
        <w:rPr>
          <w:w w:val="105"/>
          <w:sz w:val="27"/>
        </w:rPr>
        <w:t>studies</w:t>
      </w:r>
    </w:p>
    <w:p>
      <w:pPr>
        <w:pStyle w:val="BodyText"/>
      </w:pPr>
      <w:r>
        <w:rPr>
          <w:w w:val="110"/>
        </w:rPr>
        <w:t>//Journal of hypertension. – 2018. – Т. 36. – №. 5. – С. 995-1004.</w:t>
      </w:r>
    </w:p>
    <w:p>
      <w:pPr>
        <w:pStyle w:val="ListParagraph"/>
        <w:numPr>
          <w:ilvl w:val="0"/>
          <w:numId w:val="12"/>
        </w:numPr>
        <w:tabs>
          <w:tab w:pos="681" w:val="left" w:leader="none"/>
        </w:tabs>
        <w:spacing w:line="256" w:lineRule="auto" w:before="26" w:after="0"/>
        <w:ind w:left="680" w:right="131" w:hanging="436"/>
        <w:jc w:val="both"/>
        <w:rPr>
          <w:sz w:val="27"/>
        </w:rPr>
      </w:pPr>
      <w:r>
        <w:rPr>
          <w:w w:val="105"/>
          <w:sz w:val="27"/>
        </w:rPr>
        <w:t>Salles GF, Reboldi G, Fagard RH, et al. Prognostic effect of the nocturnal blood pressure fall in hypertensive patients: the Ambulatory Blood pressure Collaboration in patients with Hypertension</w:t>
      </w:r>
      <w:r>
        <w:rPr>
          <w:spacing w:val="-17"/>
          <w:w w:val="105"/>
          <w:sz w:val="27"/>
        </w:rPr>
        <w:t> </w:t>
      </w:r>
      <w:r>
        <w:rPr>
          <w:w w:val="105"/>
          <w:sz w:val="27"/>
        </w:rPr>
        <w:t>(ABC-H)</w:t>
      </w:r>
      <w:r>
        <w:rPr>
          <w:spacing w:val="-17"/>
          <w:w w:val="105"/>
          <w:sz w:val="27"/>
        </w:rPr>
        <w:t> </w:t>
      </w:r>
      <w:r>
        <w:rPr>
          <w:w w:val="105"/>
          <w:sz w:val="27"/>
        </w:rPr>
        <w:t>meta-analysis.</w:t>
      </w:r>
      <w:r>
        <w:rPr>
          <w:spacing w:val="-17"/>
          <w:w w:val="105"/>
          <w:sz w:val="27"/>
        </w:rPr>
        <w:t> </w:t>
      </w:r>
      <w:r>
        <w:rPr>
          <w:w w:val="105"/>
          <w:sz w:val="27"/>
        </w:rPr>
        <w:t>Hypertension</w:t>
      </w:r>
      <w:r>
        <w:rPr>
          <w:spacing w:val="-17"/>
          <w:w w:val="105"/>
          <w:sz w:val="27"/>
        </w:rPr>
        <w:t> </w:t>
      </w:r>
      <w:r>
        <w:rPr>
          <w:w w:val="105"/>
          <w:sz w:val="27"/>
        </w:rPr>
        <w:t>2016;67:693– 700.</w:t>
      </w:r>
    </w:p>
    <w:p>
      <w:pPr>
        <w:pStyle w:val="ListParagraph"/>
        <w:numPr>
          <w:ilvl w:val="0"/>
          <w:numId w:val="12"/>
        </w:numPr>
        <w:tabs>
          <w:tab w:pos="681" w:val="left" w:leader="none"/>
        </w:tabs>
        <w:spacing w:line="256" w:lineRule="auto" w:before="2" w:after="0"/>
        <w:ind w:left="680" w:right="133" w:hanging="436"/>
        <w:jc w:val="both"/>
        <w:rPr>
          <w:sz w:val="27"/>
        </w:rPr>
      </w:pPr>
      <w:r>
        <w:rPr>
          <w:spacing w:val="-5"/>
          <w:sz w:val="27"/>
        </w:rPr>
        <w:t>Ward </w:t>
      </w:r>
      <w:r>
        <w:rPr>
          <w:sz w:val="27"/>
        </w:rPr>
        <w:t>AM, Takahashi </w:t>
      </w:r>
      <w:r>
        <w:rPr>
          <w:spacing w:val="-4"/>
          <w:sz w:val="27"/>
        </w:rPr>
        <w:t>O, </w:t>
      </w:r>
      <w:r>
        <w:rPr>
          <w:sz w:val="27"/>
        </w:rPr>
        <w:t>Stevens R, Heneghan C. Home measurement</w:t>
      </w:r>
      <w:r>
        <w:rPr>
          <w:spacing w:val="30"/>
          <w:sz w:val="27"/>
        </w:rPr>
        <w:t> </w:t>
      </w:r>
      <w:r>
        <w:rPr>
          <w:sz w:val="27"/>
        </w:rPr>
        <w:t>of</w:t>
      </w:r>
      <w:r>
        <w:rPr>
          <w:spacing w:val="31"/>
          <w:sz w:val="27"/>
        </w:rPr>
        <w:t> </w:t>
      </w:r>
      <w:r>
        <w:rPr>
          <w:sz w:val="27"/>
        </w:rPr>
        <w:t>blood</w:t>
      </w:r>
      <w:r>
        <w:rPr>
          <w:spacing w:val="31"/>
          <w:sz w:val="27"/>
        </w:rPr>
        <w:t> </w:t>
      </w:r>
      <w:r>
        <w:rPr>
          <w:sz w:val="27"/>
        </w:rPr>
        <w:t>pressure</w:t>
      </w:r>
      <w:r>
        <w:rPr>
          <w:spacing w:val="31"/>
          <w:sz w:val="27"/>
        </w:rPr>
        <w:t> </w:t>
      </w:r>
      <w:r>
        <w:rPr>
          <w:sz w:val="27"/>
        </w:rPr>
        <w:t>and</w:t>
      </w:r>
      <w:r>
        <w:rPr>
          <w:spacing w:val="30"/>
          <w:sz w:val="27"/>
        </w:rPr>
        <w:t> </w:t>
      </w:r>
      <w:r>
        <w:rPr>
          <w:sz w:val="27"/>
        </w:rPr>
        <w:t>cardiovascular</w:t>
      </w:r>
      <w:r>
        <w:rPr>
          <w:spacing w:val="31"/>
          <w:sz w:val="27"/>
        </w:rPr>
        <w:t> </w:t>
      </w:r>
      <w:r>
        <w:rPr>
          <w:sz w:val="27"/>
        </w:rPr>
        <w:t>disease:</w:t>
      </w:r>
    </w:p>
    <w:p>
      <w:pPr>
        <w:spacing w:after="0" w:line="256" w:lineRule="auto"/>
        <w:jc w:val="both"/>
        <w:rPr>
          <w:sz w:val="27"/>
        </w:rPr>
        <w:sectPr>
          <w:pgSz w:w="11900" w:h="16840"/>
          <w:pgMar w:top="0" w:bottom="280" w:left="1420" w:right="1520"/>
        </w:sectPr>
      </w:pPr>
    </w:p>
    <w:p>
      <w:pPr>
        <w:pStyle w:val="BodyText"/>
        <w:spacing w:line="256" w:lineRule="auto" w:before="16"/>
        <w:ind w:right="138"/>
      </w:pPr>
      <w:r>
        <w:rPr/>
        <w:t>systematic review and meta-analysis of prospective studies. J Hypertens 2012;30:449–56.</w:t>
      </w:r>
    </w:p>
    <w:p>
      <w:pPr>
        <w:pStyle w:val="ListParagraph"/>
        <w:numPr>
          <w:ilvl w:val="0"/>
          <w:numId w:val="12"/>
        </w:numPr>
        <w:tabs>
          <w:tab w:pos="681" w:val="left" w:leader="none"/>
        </w:tabs>
        <w:spacing w:line="256" w:lineRule="auto" w:before="1" w:after="0"/>
        <w:ind w:left="680" w:right="137" w:hanging="436"/>
        <w:jc w:val="both"/>
        <w:rPr>
          <w:sz w:val="27"/>
        </w:rPr>
      </w:pPr>
      <w:r>
        <w:rPr>
          <w:spacing w:val="-3"/>
          <w:sz w:val="27"/>
        </w:rPr>
        <w:t>Tucker </w:t>
      </w:r>
      <w:r>
        <w:rPr>
          <w:sz w:val="27"/>
        </w:rPr>
        <w:t>KL, Sheppard </w:t>
      </w:r>
      <w:r>
        <w:rPr>
          <w:spacing w:val="-12"/>
          <w:sz w:val="27"/>
        </w:rPr>
        <w:t>JP, </w:t>
      </w:r>
      <w:r>
        <w:rPr>
          <w:sz w:val="27"/>
        </w:rPr>
        <w:t>Stevens R et al. Self-monitoring of blood pressure in hypertension: a systematic review and individual patient data meta-analysis. PLoS Med</w:t>
      </w:r>
      <w:r>
        <w:rPr>
          <w:spacing w:val="32"/>
          <w:sz w:val="27"/>
        </w:rPr>
        <w:t> </w:t>
      </w:r>
      <w:r>
        <w:rPr>
          <w:sz w:val="27"/>
        </w:rPr>
        <w:t>2017;14:e1002389.</w:t>
      </w:r>
    </w:p>
    <w:p>
      <w:pPr>
        <w:pStyle w:val="ListParagraph"/>
        <w:numPr>
          <w:ilvl w:val="0"/>
          <w:numId w:val="12"/>
        </w:numPr>
        <w:tabs>
          <w:tab w:pos="681" w:val="left" w:leader="none"/>
        </w:tabs>
        <w:spacing w:line="256" w:lineRule="auto" w:before="1" w:after="0"/>
        <w:ind w:left="680" w:right="128" w:hanging="436"/>
        <w:jc w:val="both"/>
        <w:rPr>
          <w:sz w:val="27"/>
        </w:rPr>
      </w:pPr>
      <w:r>
        <w:rPr>
          <w:sz w:val="27"/>
        </w:rPr>
        <w:t>Parati G, Stergiou G, O"Brien E, et al, European Society of Hypertension </w:t>
      </w:r>
      <w:r>
        <w:rPr>
          <w:spacing w:val="-3"/>
          <w:sz w:val="27"/>
        </w:rPr>
        <w:t>Working </w:t>
      </w:r>
      <w:r>
        <w:rPr>
          <w:sz w:val="27"/>
        </w:rPr>
        <w:t>Group on Blood Pressure Monitoring and Cardiovascular </w:t>
      </w:r>
      <w:r>
        <w:rPr>
          <w:spacing w:val="-3"/>
          <w:sz w:val="27"/>
        </w:rPr>
        <w:t>Variability. </w:t>
      </w:r>
      <w:r>
        <w:rPr>
          <w:sz w:val="27"/>
        </w:rPr>
        <w:t>European Society of Hypertension practice guidelines for ambulatory blood pressure monitoring. J Hypertens 2014;32:1359–1366.</w:t>
      </w:r>
    </w:p>
    <w:p>
      <w:pPr>
        <w:pStyle w:val="ListParagraph"/>
        <w:numPr>
          <w:ilvl w:val="0"/>
          <w:numId w:val="12"/>
        </w:numPr>
        <w:tabs>
          <w:tab w:pos="681" w:val="left" w:leader="none"/>
        </w:tabs>
        <w:spacing w:line="256" w:lineRule="auto" w:before="2" w:after="0"/>
        <w:ind w:left="680" w:right="131" w:hanging="436"/>
        <w:jc w:val="both"/>
        <w:rPr>
          <w:sz w:val="27"/>
        </w:rPr>
      </w:pPr>
      <w:r>
        <w:rPr>
          <w:sz w:val="27"/>
        </w:rPr>
        <w:t>Sehestedt </w:t>
      </w:r>
      <w:r>
        <w:rPr>
          <w:spacing w:val="-7"/>
          <w:sz w:val="27"/>
        </w:rPr>
        <w:t>T, </w:t>
      </w:r>
      <w:r>
        <w:rPr>
          <w:sz w:val="27"/>
        </w:rPr>
        <w:t>Jeppesen J, Hansen </w:t>
      </w:r>
      <w:r>
        <w:rPr>
          <w:spacing w:val="-6"/>
          <w:sz w:val="27"/>
        </w:rPr>
        <w:t>TW, </w:t>
      </w:r>
      <w:r>
        <w:rPr>
          <w:sz w:val="27"/>
        </w:rPr>
        <w:t>et al. Risk prediction is improved</w:t>
      </w:r>
      <w:r>
        <w:rPr>
          <w:spacing w:val="-14"/>
          <w:sz w:val="27"/>
        </w:rPr>
        <w:t> </w:t>
      </w:r>
      <w:r>
        <w:rPr>
          <w:spacing w:val="-3"/>
          <w:sz w:val="27"/>
        </w:rPr>
        <w:t>by</w:t>
      </w:r>
      <w:r>
        <w:rPr>
          <w:spacing w:val="-14"/>
          <w:sz w:val="27"/>
        </w:rPr>
        <w:t> </w:t>
      </w:r>
      <w:r>
        <w:rPr>
          <w:sz w:val="27"/>
        </w:rPr>
        <w:t>adding</w:t>
      </w:r>
      <w:r>
        <w:rPr>
          <w:spacing w:val="-14"/>
          <w:sz w:val="27"/>
        </w:rPr>
        <w:t> </w:t>
      </w:r>
      <w:r>
        <w:rPr>
          <w:sz w:val="27"/>
        </w:rPr>
        <w:t>markers</w:t>
      </w:r>
      <w:r>
        <w:rPr>
          <w:spacing w:val="-14"/>
          <w:sz w:val="27"/>
        </w:rPr>
        <w:t> </w:t>
      </w:r>
      <w:r>
        <w:rPr>
          <w:sz w:val="27"/>
        </w:rPr>
        <w:t>of</w:t>
      </w:r>
      <w:r>
        <w:rPr>
          <w:spacing w:val="-14"/>
          <w:sz w:val="27"/>
        </w:rPr>
        <w:t> </w:t>
      </w:r>
      <w:r>
        <w:rPr>
          <w:sz w:val="27"/>
        </w:rPr>
        <w:t>subclinical</w:t>
      </w:r>
      <w:r>
        <w:rPr>
          <w:spacing w:val="-14"/>
          <w:sz w:val="27"/>
        </w:rPr>
        <w:t> </w:t>
      </w:r>
      <w:r>
        <w:rPr>
          <w:sz w:val="27"/>
        </w:rPr>
        <w:t>organ</w:t>
      </w:r>
      <w:r>
        <w:rPr>
          <w:spacing w:val="-14"/>
          <w:sz w:val="27"/>
        </w:rPr>
        <w:t> </w:t>
      </w:r>
      <w:r>
        <w:rPr>
          <w:sz w:val="27"/>
        </w:rPr>
        <w:t>damage</w:t>
      </w:r>
      <w:r>
        <w:rPr>
          <w:spacing w:val="-14"/>
          <w:sz w:val="27"/>
        </w:rPr>
        <w:t> </w:t>
      </w:r>
      <w:r>
        <w:rPr>
          <w:sz w:val="27"/>
        </w:rPr>
        <w:t>to</w:t>
      </w:r>
      <w:r>
        <w:rPr>
          <w:spacing w:val="-14"/>
          <w:sz w:val="27"/>
        </w:rPr>
        <w:t> </w:t>
      </w:r>
      <w:r>
        <w:rPr>
          <w:sz w:val="27"/>
        </w:rPr>
        <w:t>SCORE. Eur Heart J 2010;31:883–891.</w:t>
      </w:r>
    </w:p>
    <w:p>
      <w:pPr>
        <w:pStyle w:val="ListParagraph"/>
        <w:numPr>
          <w:ilvl w:val="0"/>
          <w:numId w:val="12"/>
        </w:numPr>
        <w:tabs>
          <w:tab w:pos="681" w:val="left" w:leader="none"/>
        </w:tabs>
        <w:spacing w:line="256" w:lineRule="auto" w:before="2" w:after="0"/>
        <w:ind w:left="680" w:right="134" w:hanging="436"/>
        <w:jc w:val="both"/>
        <w:rPr>
          <w:sz w:val="27"/>
        </w:rPr>
      </w:pPr>
      <w:r>
        <w:rPr>
          <w:spacing w:val="-5"/>
          <w:sz w:val="27"/>
        </w:rPr>
        <w:t>Volpe </w:t>
      </w:r>
      <w:r>
        <w:rPr>
          <w:sz w:val="27"/>
        </w:rPr>
        <w:t>M, Battistoni A, </w:t>
      </w:r>
      <w:r>
        <w:rPr>
          <w:spacing w:val="-5"/>
          <w:sz w:val="27"/>
        </w:rPr>
        <w:t>Tocci </w:t>
      </w:r>
      <w:r>
        <w:rPr>
          <w:sz w:val="27"/>
        </w:rPr>
        <w:t>G, et al. Cardiovascular risk assessment beyond systemic coronary risk estimation: a role for organ damage markers. J Hypertens</w:t>
      </w:r>
      <w:r>
        <w:rPr>
          <w:spacing w:val="6"/>
          <w:sz w:val="27"/>
        </w:rPr>
        <w:t> </w:t>
      </w:r>
      <w:r>
        <w:rPr>
          <w:sz w:val="27"/>
        </w:rPr>
        <w:t>2012;30:1056–1064.</w:t>
      </w:r>
    </w:p>
    <w:p>
      <w:pPr>
        <w:pStyle w:val="ListParagraph"/>
        <w:numPr>
          <w:ilvl w:val="0"/>
          <w:numId w:val="12"/>
        </w:numPr>
        <w:tabs>
          <w:tab w:pos="681" w:val="left" w:leader="none"/>
        </w:tabs>
        <w:spacing w:line="256" w:lineRule="auto" w:before="1" w:after="0"/>
        <w:ind w:left="680" w:right="131" w:hanging="436"/>
        <w:jc w:val="both"/>
        <w:rPr>
          <w:sz w:val="27"/>
        </w:rPr>
      </w:pPr>
      <w:r>
        <w:rPr>
          <w:spacing w:val="-4"/>
          <w:sz w:val="27"/>
        </w:rPr>
        <w:t>Conroy, </w:t>
      </w:r>
      <w:r>
        <w:rPr>
          <w:sz w:val="27"/>
        </w:rPr>
        <w:t>R. M., et al. Estimation of ten-year risk of fatal cardiovascular disease in Europe: the SCORE project. European heart journal 24.11 (2003):</w:t>
      </w:r>
      <w:r>
        <w:rPr>
          <w:spacing w:val="7"/>
          <w:sz w:val="27"/>
        </w:rPr>
        <w:t> </w:t>
      </w:r>
      <w:r>
        <w:rPr>
          <w:sz w:val="27"/>
        </w:rPr>
        <w:t>987–1003.</w:t>
      </w:r>
    </w:p>
    <w:p>
      <w:pPr>
        <w:pStyle w:val="ListParagraph"/>
        <w:numPr>
          <w:ilvl w:val="0"/>
          <w:numId w:val="12"/>
        </w:numPr>
        <w:tabs>
          <w:tab w:pos="681" w:val="left" w:leader="none"/>
        </w:tabs>
        <w:spacing w:line="256" w:lineRule="auto" w:before="1" w:after="0"/>
        <w:ind w:left="680" w:right="135" w:hanging="436"/>
        <w:jc w:val="both"/>
        <w:rPr>
          <w:sz w:val="27"/>
        </w:rPr>
      </w:pPr>
      <w:r>
        <w:rPr>
          <w:sz w:val="27"/>
        </w:rPr>
        <w:t>Hunt SC, Williams RR, Barlow GK. A comparison of positive family history deﬁnitions for deﬁning risk of future disease. J Chronic Dis 1986; 39:809–821.</w:t>
      </w:r>
    </w:p>
    <w:p>
      <w:pPr>
        <w:pStyle w:val="ListParagraph"/>
        <w:numPr>
          <w:ilvl w:val="0"/>
          <w:numId w:val="12"/>
        </w:numPr>
        <w:tabs>
          <w:tab w:pos="681" w:val="left" w:leader="none"/>
        </w:tabs>
        <w:spacing w:line="256" w:lineRule="auto" w:before="1" w:after="0"/>
        <w:ind w:left="680" w:right="128" w:hanging="436"/>
        <w:jc w:val="both"/>
        <w:rPr>
          <w:sz w:val="27"/>
        </w:rPr>
      </w:pPr>
      <w:r>
        <w:rPr>
          <w:sz w:val="27"/>
        </w:rPr>
        <w:t>Friedman </w:t>
      </w:r>
      <w:r>
        <w:rPr>
          <w:spacing w:val="-3"/>
          <w:sz w:val="27"/>
        </w:rPr>
        <w:t>GD, </w:t>
      </w:r>
      <w:r>
        <w:rPr>
          <w:sz w:val="27"/>
        </w:rPr>
        <w:t>Selby </w:t>
      </w:r>
      <w:r>
        <w:rPr>
          <w:spacing w:val="-8"/>
          <w:sz w:val="27"/>
        </w:rPr>
        <w:t>JV, </w:t>
      </w:r>
      <w:r>
        <w:rPr>
          <w:sz w:val="27"/>
        </w:rPr>
        <w:t>Quesenberry CP </w:t>
      </w:r>
      <w:r>
        <w:rPr>
          <w:spacing w:val="-4"/>
          <w:sz w:val="27"/>
        </w:rPr>
        <w:t>Jr, </w:t>
      </w:r>
      <w:r>
        <w:rPr>
          <w:sz w:val="27"/>
        </w:rPr>
        <w:t>et al Precursors of essential hypertension: body weight, alcohol and salt use and parental history of hypertension. Prev Med</w:t>
      </w:r>
      <w:r>
        <w:rPr>
          <w:spacing w:val="45"/>
          <w:sz w:val="27"/>
        </w:rPr>
        <w:t> </w:t>
      </w:r>
      <w:r>
        <w:rPr>
          <w:sz w:val="27"/>
        </w:rPr>
        <w:t>1988;17:387–402.</w:t>
      </w:r>
    </w:p>
    <w:p>
      <w:pPr>
        <w:pStyle w:val="ListParagraph"/>
        <w:numPr>
          <w:ilvl w:val="0"/>
          <w:numId w:val="12"/>
        </w:numPr>
        <w:tabs>
          <w:tab w:pos="681" w:val="left" w:leader="none"/>
        </w:tabs>
        <w:spacing w:line="256" w:lineRule="auto" w:before="1" w:after="0"/>
        <w:ind w:left="680" w:right="140" w:hanging="436"/>
        <w:jc w:val="both"/>
        <w:rPr>
          <w:sz w:val="27"/>
        </w:rPr>
      </w:pPr>
      <w:r>
        <w:rPr>
          <w:sz w:val="27"/>
        </w:rPr>
        <w:t>Дедов И. И. и др. Алгоритмы специализированной медицинской помощи больным сахарным диабетом. Сахарный диабет 1S</w:t>
      </w:r>
      <w:r>
        <w:rPr>
          <w:spacing w:val="-3"/>
          <w:sz w:val="27"/>
        </w:rPr>
        <w:t> </w:t>
      </w:r>
      <w:r>
        <w:rPr>
          <w:sz w:val="27"/>
        </w:rPr>
        <w:t>(2019).</w:t>
      </w:r>
    </w:p>
    <w:p>
      <w:pPr>
        <w:pStyle w:val="ListParagraph"/>
        <w:numPr>
          <w:ilvl w:val="0"/>
          <w:numId w:val="12"/>
        </w:numPr>
        <w:tabs>
          <w:tab w:pos="681" w:val="left" w:leader="none"/>
        </w:tabs>
        <w:spacing w:line="256" w:lineRule="auto" w:before="2" w:after="0"/>
        <w:ind w:left="680" w:right="132" w:hanging="436"/>
        <w:jc w:val="both"/>
        <w:rPr>
          <w:sz w:val="27"/>
        </w:rPr>
      </w:pPr>
      <w:r>
        <w:rPr>
          <w:w w:val="105"/>
          <w:sz w:val="27"/>
        </w:rPr>
        <w:t>Cosentino F, Grant </w:t>
      </w:r>
      <w:r>
        <w:rPr>
          <w:spacing w:val="-17"/>
          <w:w w:val="105"/>
          <w:sz w:val="27"/>
        </w:rPr>
        <w:t>P, </w:t>
      </w:r>
      <w:r>
        <w:rPr>
          <w:w w:val="105"/>
          <w:sz w:val="27"/>
        </w:rPr>
        <w:t>Aboyans V et al. 2019 ESC Guidelines on diabetes, pre-diabetes, and cardiovascular diseases developed in collaboration with the EASD: The </w:t>
      </w:r>
      <w:r>
        <w:rPr>
          <w:spacing w:val="-3"/>
          <w:w w:val="105"/>
          <w:sz w:val="27"/>
        </w:rPr>
        <w:t>Task </w:t>
      </w:r>
      <w:r>
        <w:rPr>
          <w:w w:val="105"/>
          <w:sz w:val="27"/>
        </w:rPr>
        <w:t>Force for diabetes, </w:t>
      </w:r>
      <w:r>
        <w:rPr>
          <w:spacing w:val="-4"/>
          <w:w w:val="105"/>
          <w:sz w:val="27"/>
        </w:rPr>
        <w:t>pre- </w:t>
      </w:r>
      <w:r>
        <w:rPr>
          <w:w w:val="105"/>
          <w:sz w:val="27"/>
        </w:rPr>
        <w:t>diabetes, and cardiovascular diseases of the European Society of Cardiology (ESC) and the European Association for the Study of Diabetes</w:t>
      </w:r>
      <w:r>
        <w:rPr>
          <w:spacing w:val="-17"/>
          <w:w w:val="105"/>
          <w:sz w:val="27"/>
        </w:rPr>
        <w:t> </w:t>
      </w:r>
      <w:r>
        <w:rPr>
          <w:w w:val="105"/>
          <w:sz w:val="27"/>
        </w:rPr>
        <w:t>(EASD).</w:t>
      </w:r>
      <w:r>
        <w:rPr>
          <w:spacing w:val="-16"/>
          <w:w w:val="105"/>
          <w:sz w:val="27"/>
        </w:rPr>
        <w:t> </w:t>
      </w:r>
      <w:r>
        <w:rPr>
          <w:w w:val="105"/>
          <w:sz w:val="27"/>
        </w:rPr>
        <w:t>Eur</w:t>
      </w:r>
      <w:r>
        <w:rPr>
          <w:spacing w:val="-17"/>
          <w:w w:val="105"/>
          <w:sz w:val="27"/>
        </w:rPr>
        <w:t> </w:t>
      </w:r>
      <w:r>
        <w:rPr>
          <w:w w:val="105"/>
          <w:sz w:val="27"/>
        </w:rPr>
        <w:t>Heart</w:t>
      </w:r>
      <w:r>
        <w:rPr>
          <w:spacing w:val="-16"/>
          <w:w w:val="105"/>
          <w:sz w:val="27"/>
        </w:rPr>
        <w:t> </w:t>
      </w:r>
      <w:r>
        <w:rPr>
          <w:w w:val="105"/>
          <w:sz w:val="27"/>
        </w:rPr>
        <w:t>J</w:t>
      </w:r>
      <w:r>
        <w:rPr>
          <w:spacing w:val="-17"/>
          <w:w w:val="105"/>
          <w:sz w:val="27"/>
        </w:rPr>
        <w:t> </w:t>
      </w:r>
      <w:r>
        <w:rPr>
          <w:w w:val="105"/>
          <w:sz w:val="27"/>
        </w:rPr>
        <w:t>2019,</w:t>
      </w:r>
      <w:r>
        <w:rPr>
          <w:spacing w:val="-16"/>
          <w:w w:val="105"/>
          <w:sz w:val="27"/>
        </w:rPr>
        <w:t> </w:t>
      </w:r>
      <w:r>
        <w:rPr>
          <w:w w:val="105"/>
          <w:sz w:val="27"/>
        </w:rPr>
        <w:t>published</w:t>
      </w:r>
      <w:r>
        <w:rPr>
          <w:spacing w:val="-16"/>
          <w:w w:val="105"/>
          <w:sz w:val="27"/>
        </w:rPr>
        <w:t> </w:t>
      </w:r>
      <w:r>
        <w:rPr>
          <w:w w:val="105"/>
          <w:sz w:val="27"/>
        </w:rPr>
        <w:t>online</w:t>
      </w:r>
      <w:r>
        <w:rPr>
          <w:spacing w:val="-17"/>
          <w:w w:val="105"/>
          <w:sz w:val="27"/>
        </w:rPr>
        <w:t> </w:t>
      </w:r>
      <w:r>
        <w:rPr>
          <w:w w:val="105"/>
          <w:sz w:val="27"/>
        </w:rPr>
        <w:t>on</w:t>
      </w:r>
      <w:r>
        <w:rPr>
          <w:spacing w:val="-16"/>
          <w:w w:val="105"/>
          <w:sz w:val="27"/>
        </w:rPr>
        <w:t> </w:t>
      </w:r>
      <w:r>
        <w:rPr>
          <w:w w:val="105"/>
          <w:sz w:val="27"/>
        </w:rPr>
        <w:t>31</w:t>
      </w:r>
      <w:r>
        <w:rPr>
          <w:spacing w:val="-17"/>
          <w:w w:val="105"/>
          <w:sz w:val="27"/>
        </w:rPr>
        <w:t> </w:t>
      </w:r>
      <w:r>
        <w:rPr>
          <w:w w:val="105"/>
          <w:sz w:val="27"/>
        </w:rPr>
        <w:t>August 2019.</w:t>
      </w:r>
    </w:p>
    <w:p>
      <w:pPr>
        <w:pStyle w:val="ListParagraph"/>
        <w:numPr>
          <w:ilvl w:val="0"/>
          <w:numId w:val="12"/>
        </w:numPr>
        <w:tabs>
          <w:tab w:pos="681" w:val="left" w:leader="none"/>
        </w:tabs>
        <w:spacing w:line="256" w:lineRule="auto" w:before="2" w:after="0"/>
        <w:ind w:left="680" w:right="130" w:hanging="436"/>
        <w:jc w:val="both"/>
        <w:rPr>
          <w:sz w:val="27"/>
        </w:rPr>
      </w:pPr>
      <w:r>
        <w:rPr>
          <w:sz w:val="27"/>
        </w:rPr>
        <w:t>Emerging Risk Factors Collaboration. Diabetes mellitus, fasting blood glucose concentration, and risk of vascular disease: </w:t>
      </w:r>
      <w:r>
        <w:rPr>
          <w:spacing w:val="-11"/>
          <w:sz w:val="27"/>
        </w:rPr>
        <w:t>a </w:t>
      </w:r>
      <w:r>
        <w:rPr>
          <w:sz w:val="27"/>
        </w:rPr>
        <w:t>collaborative meta-analysis of 102 prospective studies. The Lancet 375.9733 (2010):</w:t>
      </w:r>
      <w:r>
        <w:rPr>
          <w:spacing w:val="2"/>
          <w:sz w:val="27"/>
        </w:rPr>
        <w:t> </w:t>
      </w:r>
      <w:r>
        <w:rPr>
          <w:sz w:val="27"/>
        </w:rPr>
        <w:t>2215–2222.</w:t>
      </w:r>
    </w:p>
    <w:p>
      <w:pPr>
        <w:pStyle w:val="ListParagraph"/>
        <w:numPr>
          <w:ilvl w:val="0"/>
          <w:numId w:val="12"/>
        </w:numPr>
        <w:tabs>
          <w:tab w:pos="681" w:val="left" w:leader="none"/>
        </w:tabs>
        <w:spacing w:line="256" w:lineRule="auto" w:before="2" w:after="0"/>
        <w:ind w:left="680" w:right="128" w:hanging="436"/>
        <w:jc w:val="both"/>
        <w:rPr>
          <w:sz w:val="27"/>
        </w:rPr>
      </w:pPr>
      <w:r>
        <w:rPr>
          <w:sz w:val="27"/>
        </w:rPr>
        <w:t>Wilson </w:t>
      </w:r>
      <w:r>
        <w:rPr>
          <w:spacing w:val="-9"/>
          <w:sz w:val="27"/>
        </w:rPr>
        <w:t>PW, </w:t>
      </w:r>
      <w:r>
        <w:rPr>
          <w:sz w:val="27"/>
        </w:rPr>
        <w:t>Cupples CF, Kannel WB. Is hyperglycemia associated with cardiovascular disease? The Framingham Study. </w:t>
      </w:r>
      <w:r>
        <w:rPr>
          <w:spacing w:val="-3"/>
          <w:sz w:val="27"/>
        </w:rPr>
        <w:t>Amer. </w:t>
      </w:r>
      <w:r>
        <w:rPr>
          <w:sz w:val="27"/>
        </w:rPr>
        <w:t>Heart </w:t>
      </w:r>
      <w:r>
        <w:rPr>
          <w:spacing w:val="-11"/>
          <w:sz w:val="27"/>
        </w:rPr>
        <w:t>J </w:t>
      </w:r>
      <w:r>
        <w:rPr>
          <w:sz w:val="27"/>
        </w:rPr>
        <w:t>1991;121:586–90.</w:t>
      </w:r>
    </w:p>
    <w:p>
      <w:pPr>
        <w:spacing w:after="0" w:line="256" w:lineRule="auto"/>
        <w:jc w:val="both"/>
        <w:rPr>
          <w:sz w:val="27"/>
        </w:rPr>
        <w:sectPr>
          <w:pgSz w:w="11900" w:h="16840"/>
          <w:pgMar w:top="0" w:bottom="280" w:left="1420" w:right="1520"/>
        </w:sectPr>
      </w:pPr>
    </w:p>
    <w:p>
      <w:pPr>
        <w:pStyle w:val="ListParagraph"/>
        <w:numPr>
          <w:ilvl w:val="0"/>
          <w:numId w:val="12"/>
        </w:numPr>
        <w:tabs>
          <w:tab w:pos="681" w:val="left" w:leader="none"/>
        </w:tabs>
        <w:spacing w:line="256" w:lineRule="auto" w:before="16" w:after="0"/>
        <w:ind w:left="680" w:right="137" w:hanging="436"/>
        <w:jc w:val="both"/>
        <w:rPr>
          <w:sz w:val="27"/>
        </w:rPr>
      </w:pPr>
      <w:r>
        <w:rPr>
          <w:spacing w:val="-3"/>
          <w:sz w:val="27"/>
        </w:rPr>
        <w:t>Izzo </w:t>
      </w:r>
      <w:r>
        <w:rPr>
          <w:sz w:val="27"/>
        </w:rPr>
        <w:t>R, de Simone G, Trimarco </w:t>
      </w:r>
      <w:r>
        <w:rPr>
          <w:spacing w:val="-11"/>
          <w:sz w:val="27"/>
        </w:rPr>
        <w:t>V. </w:t>
      </w:r>
      <w:r>
        <w:rPr>
          <w:sz w:val="27"/>
        </w:rPr>
        <w:t>et al. Hypertensive target organ damage predicts incident diabetes mellitus. EurHeartJ. epub </w:t>
      </w:r>
      <w:r>
        <w:rPr>
          <w:spacing w:val="-6"/>
          <w:sz w:val="27"/>
        </w:rPr>
        <w:t>27  </w:t>
      </w:r>
      <w:r>
        <w:rPr>
          <w:sz w:val="27"/>
        </w:rPr>
        <w:t>June</w:t>
      </w:r>
      <w:r>
        <w:rPr>
          <w:spacing w:val="-2"/>
          <w:sz w:val="27"/>
        </w:rPr>
        <w:t> </w:t>
      </w:r>
      <w:r>
        <w:rPr>
          <w:sz w:val="27"/>
        </w:rPr>
        <w:t>2013.</w:t>
      </w:r>
    </w:p>
    <w:p>
      <w:pPr>
        <w:pStyle w:val="ListParagraph"/>
        <w:numPr>
          <w:ilvl w:val="0"/>
          <w:numId w:val="12"/>
        </w:numPr>
        <w:tabs>
          <w:tab w:pos="681" w:val="left" w:leader="none"/>
        </w:tabs>
        <w:spacing w:line="256" w:lineRule="auto" w:before="2" w:after="0"/>
        <w:ind w:left="680" w:right="138" w:hanging="436"/>
        <w:jc w:val="both"/>
        <w:rPr>
          <w:sz w:val="27"/>
        </w:rPr>
      </w:pPr>
      <w:r>
        <w:rPr>
          <w:w w:val="105"/>
          <w:sz w:val="27"/>
        </w:rPr>
        <w:t>Matsushita</w:t>
      </w:r>
      <w:r>
        <w:rPr>
          <w:spacing w:val="-16"/>
          <w:w w:val="105"/>
          <w:sz w:val="27"/>
        </w:rPr>
        <w:t> </w:t>
      </w:r>
      <w:r>
        <w:rPr>
          <w:w w:val="105"/>
          <w:sz w:val="27"/>
        </w:rPr>
        <w:t>K.</w:t>
      </w:r>
      <w:r>
        <w:rPr>
          <w:spacing w:val="-15"/>
          <w:w w:val="105"/>
          <w:sz w:val="27"/>
        </w:rPr>
        <w:t> </w:t>
      </w:r>
      <w:r>
        <w:rPr>
          <w:w w:val="105"/>
          <w:sz w:val="27"/>
        </w:rPr>
        <w:t>et</w:t>
      </w:r>
      <w:r>
        <w:rPr>
          <w:spacing w:val="-15"/>
          <w:w w:val="105"/>
          <w:sz w:val="27"/>
        </w:rPr>
        <w:t> </w:t>
      </w:r>
      <w:r>
        <w:rPr>
          <w:w w:val="105"/>
          <w:sz w:val="27"/>
        </w:rPr>
        <w:t>al.</w:t>
      </w:r>
      <w:r>
        <w:rPr>
          <w:spacing w:val="-15"/>
          <w:w w:val="105"/>
          <w:sz w:val="27"/>
        </w:rPr>
        <w:t> </w:t>
      </w:r>
      <w:r>
        <w:rPr>
          <w:w w:val="105"/>
          <w:sz w:val="27"/>
        </w:rPr>
        <w:t>Comparison</w:t>
      </w:r>
      <w:r>
        <w:rPr>
          <w:spacing w:val="-15"/>
          <w:w w:val="105"/>
          <w:sz w:val="27"/>
        </w:rPr>
        <w:t> </w:t>
      </w:r>
      <w:r>
        <w:rPr>
          <w:w w:val="105"/>
          <w:sz w:val="27"/>
        </w:rPr>
        <w:t>of</w:t>
      </w:r>
      <w:r>
        <w:rPr>
          <w:spacing w:val="-15"/>
          <w:w w:val="105"/>
          <w:sz w:val="27"/>
        </w:rPr>
        <w:t> </w:t>
      </w:r>
      <w:r>
        <w:rPr>
          <w:w w:val="105"/>
          <w:sz w:val="27"/>
        </w:rPr>
        <w:t>risk</w:t>
      </w:r>
      <w:r>
        <w:rPr>
          <w:spacing w:val="-15"/>
          <w:w w:val="105"/>
          <w:sz w:val="27"/>
        </w:rPr>
        <w:t> </w:t>
      </w:r>
      <w:r>
        <w:rPr>
          <w:w w:val="105"/>
          <w:sz w:val="27"/>
        </w:rPr>
        <w:t>prediction</w:t>
      </w:r>
      <w:r>
        <w:rPr>
          <w:spacing w:val="-15"/>
          <w:w w:val="105"/>
          <w:sz w:val="27"/>
        </w:rPr>
        <w:t> </w:t>
      </w:r>
      <w:r>
        <w:rPr>
          <w:w w:val="105"/>
          <w:sz w:val="27"/>
        </w:rPr>
        <w:t>using</w:t>
      </w:r>
      <w:r>
        <w:rPr>
          <w:spacing w:val="-15"/>
          <w:w w:val="105"/>
          <w:sz w:val="27"/>
        </w:rPr>
        <w:t> </w:t>
      </w:r>
      <w:r>
        <w:rPr>
          <w:w w:val="105"/>
          <w:sz w:val="27"/>
        </w:rPr>
        <w:t>the</w:t>
      </w:r>
      <w:r>
        <w:rPr>
          <w:spacing w:val="-15"/>
          <w:w w:val="105"/>
          <w:sz w:val="27"/>
        </w:rPr>
        <w:t> </w:t>
      </w:r>
      <w:r>
        <w:rPr>
          <w:w w:val="105"/>
          <w:sz w:val="27"/>
        </w:rPr>
        <w:t>CKD- EPI equation and the MDRD study equation for estimated glomerular ﬁltration rate //Jama. – 2012. – Т. </w:t>
      </w:r>
      <w:r>
        <w:rPr>
          <w:spacing w:val="-7"/>
          <w:w w:val="105"/>
          <w:sz w:val="27"/>
        </w:rPr>
        <w:t>307. </w:t>
      </w:r>
      <w:r>
        <w:rPr>
          <w:w w:val="105"/>
          <w:sz w:val="27"/>
        </w:rPr>
        <w:t>– № . 18. – </w:t>
      </w:r>
      <w:r>
        <w:rPr>
          <w:spacing w:val="-6"/>
          <w:w w:val="105"/>
          <w:sz w:val="27"/>
        </w:rPr>
        <w:t>С.</w:t>
      </w:r>
      <w:r>
        <w:rPr>
          <w:spacing w:val="58"/>
          <w:w w:val="105"/>
          <w:sz w:val="27"/>
        </w:rPr>
        <w:t> </w:t>
      </w:r>
      <w:r>
        <w:rPr>
          <w:w w:val="105"/>
          <w:sz w:val="27"/>
        </w:rPr>
        <w:t>1941-1951.</w:t>
      </w:r>
    </w:p>
    <w:p>
      <w:pPr>
        <w:pStyle w:val="ListParagraph"/>
        <w:numPr>
          <w:ilvl w:val="0"/>
          <w:numId w:val="12"/>
        </w:numPr>
        <w:tabs>
          <w:tab w:pos="681" w:val="left" w:leader="none"/>
        </w:tabs>
        <w:spacing w:line="256" w:lineRule="auto" w:before="1" w:after="0"/>
        <w:ind w:left="680" w:right="129" w:hanging="436"/>
        <w:jc w:val="both"/>
        <w:rPr>
          <w:sz w:val="27"/>
        </w:rPr>
      </w:pPr>
      <w:r>
        <w:rPr>
          <w:sz w:val="27"/>
        </w:rPr>
        <w:t>Ettehad </w:t>
      </w:r>
      <w:r>
        <w:rPr>
          <w:spacing w:val="-4"/>
          <w:sz w:val="27"/>
        </w:rPr>
        <w:t>D, </w:t>
      </w:r>
      <w:r>
        <w:rPr>
          <w:sz w:val="27"/>
        </w:rPr>
        <w:t>Emdin </w:t>
      </w:r>
      <w:r>
        <w:rPr>
          <w:spacing w:val="-3"/>
          <w:sz w:val="27"/>
        </w:rPr>
        <w:t>CA, </w:t>
      </w:r>
      <w:r>
        <w:rPr>
          <w:sz w:val="27"/>
        </w:rPr>
        <w:t>Kiran A, et al. Blood pressure lowering for prevention of cardiovascular disease and death: a systematic review and meta-analysis. Lancet</w:t>
      </w:r>
      <w:r>
        <w:rPr>
          <w:spacing w:val="11"/>
          <w:sz w:val="27"/>
        </w:rPr>
        <w:t> </w:t>
      </w:r>
      <w:r>
        <w:rPr>
          <w:spacing w:val="-3"/>
          <w:sz w:val="27"/>
        </w:rPr>
        <w:t>2016;387:957–967.</w:t>
      </w:r>
    </w:p>
    <w:p>
      <w:pPr>
        <w:pStyle w:val="ListParagraph"/>
        <w:numPr>
          <w:ilvl w:val="0"/>
          <w:numId w:val="12"/>
        </w:numPr>
        <w:tabs>
          <w:tab w:pos="681" w:val="left" w:leader="none"/>
        </w:tabs>
        <w:spacing w:line="256" w:lineRule="auto" w:before="1" w:after="0"/>
        <w:ind w:left="680" w:right="133" w:hanging="436"/>
        <w:jc w:val="both"/>
        <w:rPr>
          <w:sz w:val="27"/>
        </w:rPr>
      </w:pPr>
      <w:r>
        <w:rPr>
          <w:w w:val="105"/>
          <w:sz w:val="27"/>
        </w:rPr>
        <w:t>De Haan M. </w:t>
      </w:r>
      <w:r>
        <w:rPr>
          <w:spacing w:val="-9"/>
          <w:w w:val="105"/>
          <w:sz w:val="27"/>
        </w:rPr>
        <w:t>W. </w:t>
      </w:r>
      <w:r>
        <w:rPr>
          <w:w w:val="105"/>
          <w:sz w:val="27"/>
        </w:rPr>
        <w:t>et al. Renovascular disease in patients with hypertension:</w:t>
      </w:r>
      <w:r>
        <w:rPr>
          <w:spacing w:val="-47"/>
          <w:w w:val="105"/>
          <w:sz w:val="27"/>
        </w:rPr>
        <w:t> </w:t>
      </w:r>
      <w:r>
        <w:rPr>
          <w:w w:val="105"/>
          <w:sz w:val="27"/>
        </w:rPr>
        <w:t>detection</w:t>
      </w:r>
      <w:r>
        <w:rPr>
          <w:spacing w:val="-46"/>
          <w:w w:val="105"/>
          <w:sz w:val="27"/>
        </w:rPr>
        <w:t> </w:t>
      </w:r>
      <w:r>
        <w:rPr>
          <w:w w:val="105"/>
          <w:sz w:val="27"/>
        </w:rPr>
        <w:t>with</w:t>
      </w:r>
      <w:r>
        <w:rPr>
          <w:spacing w:val="-46"/>
          <w:w w:val="105"/>
          <w:sz w:val="27"/>
        </w:rPr>
        <w:t> </w:t>
      </w:r>
      <w:r>
        <w:rPr>
          <w:w w:val="105"/>
          <w:sz w:val="27"/>
        </w:rPr>
        <w:t>duplex</w:t>
      </w:r>
      <w:r>
        <w:rPr>
          <w:spacing w:val="-46"/>
          <w:w w:val="105"/>
          <w:sz w:val="27"/>
        </w:rPr>
        <w:t> </w:t>
      </w:r>
      <w:r>
        <w:rPr>
          <w:w w:val="105"/>
          <w:sz w:val="27"/>
        </w:rPr>
        <w:t>ultrasound</w:t>
      </w:r>
      <w:r>
        <w:rPr>
          <w:spacing w:val="-46"/>
          <w:w w:val="105"/>
          <w:sz w:val="27"/>
        </w:rPr>
        <w:t> </w:t>
      </w:r>
      <w:r>
        <w:rPr>
          <w:w w:val="105"/>
          <w:sz w:val="27"/>
        </w:rPr>
        <w:t>//Journal</w:t>
      </w:r>
      <w:r>
        <w:rPr>
          <w:spacing w:val="-46"/>
          <w:w w:val="105"/>
          <w:sz w:val="27"/>
        </w:rPr>
        <w:t> </w:t>
      </w:r>
      <w:r>
        <w:rPr>
          <w:w w:val="105"/>
          <w:sz w:val="27"/>
        </w:rPr>
        <w:t>of</w:t>
      </w:r>
      <w:r>
        <w:rPr>
          <w:spacing w:val="-46"/>
          <w:w w:val="105"/>
          <w:sz w:val="27"/>
        </w:rPr>
        <w:t> </w:t>
      </w:r>
      <w:r>
        <w:rPr>
          <w:w w:val="105"/>
          <w:sz w:val="27"/>
        </w:rPr>
        <w:t>human hypertension. – 2002. – Т. 16. – №. </w:t>
      </w:r>
      <w:r>
        <w:rPr>
          <w:spacing w:val="-14"/>
          <w:w w:val="105"/>
          <w:sz w:val="27"/>
        </w:rPr>
        <w:t>7. </w:t>
      </w:r>
      <w:r>
        <w:rPr>
          <w:w w:val="105"/>
          <w:sz w:val="27"/>
        </w:rPr>
        <w:t>– С.</w:t>
      </w:r>
      <w:r>
        <w:rPr>
          <w:spacing w:val="-33"/>
          <w:w w:val="105"/>
          <w:sz w:val="27"/>
        </w:rPr>
        <w:t> </w:t>
      </w:r>
      <w:r>
        <w:rPr>
          <w:w w:val="105"/>
          <w:sz w:val="27"/>
        </w:rPr>
        <w:t>501.</w:t>
      </w:r>
    </w:p>
    <w:p>
      <w:pPr>
        <w:pStyle w:val="ListParagraph"/>
        <w:numPr>
          <w:ilvl w:val="0"/>
          <w:numId w:val="12"/>
        </w:numPr>
        <w:tabs>
          <w:tab w:pos="681" w:val="left" w:leader="none"/>
        </w:tabs>
        <w:spacing w:line="256" w:lineRule="auto" w:before="2" w:after="0"/>
        <w:ind w:left="680" w:right="134" w:hanging="436"/>
        <w:jc w:val="both"/>
        <w:rPr>
          <w:sz w:val="27"/>
        </w:rPr>
      </w:pPr>
      <w:r>
        <w:rPr>
          <w:sz w:val="27"/>
        </w:rPr>
        <w:t>Mahmoodi, Bakhtawar K., et al. Associations of kidney disease measures with mortality and end-stage renal disease in individuals with and without hypertension: a meta-analysis. The Lancet 380.9854</w:t>
      </w:r>
      <w:r>
        <w:rPr>
          <w:spacing w:val="1"/>
          <w:sz w:val="27"/>
        </w:rPr>
        <w:t> </w:t>
      </w:r>
      <w:r>
        <w:rPr>
          <w:sz w:val="27"/>
        </w:rPr>
        <w:t>(2012):1649–1661.</w:t>
      </w:r>
    </w:p>
    <w:p>
      <w:pPr>
        <w:pStyle w:val="ListParagraph"/>
        <w:numPr>
          <w:ilvl w:val="0"/>
          <w:numId w:val="12"/>
        </w:numPr>
        <w:tabs>
          <w:tab w:pos="681" w:val="left" w:leader="none"/>
        </w:tabs>
        <w:spacing w:line="256" w:lineRule="auto" w:before="1" w:after="0"/>
        <w:ind w:left="680" w:right="136" w:hanging="436"/>
        <w:jc w:val="both"/>
        <w:rPr>
          <w:sz w:val="27"/>
        </w:rPr>
      </w:pPr>
      <w:r>
        <w:rPr>
          <w:spacing w:val="-8"/>
          <w:sz w:val="27"/>
        </w:rPr>
        <w:t>Van </w:t>
      </w:r>
      <w:r>
        <w:rPr>
          <w:sz w:val="27"/>
        </w:rPr>
        <w:t>Der </w:t>
      </w:r>
      <w:r>
        <w:rPr>
          <w:spacing w:val="-5"/>
          <w:sz w:val="27"/>
        </w:rPr>
        <w:t>Velde </w:t>
      </w:r>
      <w:r>
        <w:rPr>
          <w:sz w:val="27"/>
        </w:rPr>
        <w:t>M. et al. Lower estimated glomerular ﬁltration rate and higher albuminuria are associated with all-cause </w:t>
      </w:r>
      <w:r>
        <w:rPr>
          <w:spacing w:val="-5"/>
          <w:sz w:val="27"/>
        </w:rPr>
        <w:t>and </w:t>
      </w:r>
      <w:r>
        <w:rPr>
          <w:sz w:val="27"/>
        </w:rPr>
        <w:t>cardiovascular mortality. A collaborative meta-analysis of high-risk population</w:t>
      </w:r>
      <w:r>
        <w:rPr>
          <w:spacing w:val="28"/>
          <w:sz w:val="27"/>
        </w:rPr>
        <w:t> </w:t>
      </w:r>
      <w:r>
        <w:rPr>
          <w:sz w:val="27"/>
        </w:rPr>
        <w:t>cohorts.</w:t>
      </w:r>
      <w:r>
        <w:rPr>
          <w:spacing w:val="29"/>
          <w:sz w:val="27"/>
        </w:rPr>
        <w:t> </w:t>
      </w:r>
      <w:r>
        <w:rPr>
          <w:sz w:val="27"/>
        </w:rPr>
        <w:t>Kidney</w:t>
      </w:r>
      <w:r>
        <w:rPr>
          <w:spacing w:val="28"/>
          <w:sz w:val="27"/>
        </w:rPr>
        <w:t> </w:t>
      </w:r>
      <w:r>
        <w:rPr>
          <w:sz w:val="27"/>
        </w:rPr>
        <w:t>international</w:t>
      </w:r>
      <w:r>
        <w:rPr>
          <w:spacing w:val="29"/>
          <w:sz w:val="27"/>
        </w:rPr>
        <w:t> </w:t>
      </w:r>
      <w:r>
        <w:rPr>
          <w:sz w:val="27"/>
        </w:rPr>
        <w:t>79.12</w:t>
      </w:r>
      <w:r>
        <w:rPr>
          <w:spacing w:val="28"/>
          <w:sz w:val="27"/>
        </w:rPr>
        <w:t> </w:t>
      </w:r>
      <w:r>
        <w:rPr>
          <w:sz w:val="27"/>
        </w:rPr>
        <w:t>(2011):</w:t>
      </w:r>
      <w:r>
        <w:rPr>
          <w:spacing w:val="29"/>
          <w:sz w:val="27"/>
        </w:rPr>
        <w:t> </w:t>
      </w:r>
      <w:r>
        <w:rPr>
          <w:sz w:val="27"/>
        </w:rPr>
        <w:t>1341–1352.</w:t>
      </w:r>
    </w:p>
    <w:p>
      <w:pPr>
        <w:pStyle w:val="ListParagraph"/>
        <w:numPr>
          <w:ilvl w:val="0"/>
          <w:numId w:val="12"/>
        </w:numPr>
        <w:tabs>
          <w:tab w:pos="681" w:val="left" w:leader="none"/>
        </w:tabs>
        <w:spacing w:line="256" w:lineRule="auto" w:before="2" w:after="0"/>
        <w:ind w:left="680" w:right="140" w:hanging="436"/>
        <w:jc w:val="both"/>
        <w:rPr>
          <w:sz w:val="27"/>
        </w:rPr>
      </w:pPr>
      <w:r>
        <w:rPr>
          <w:w w:val="105"/>
          <w:sz w:val="27"/>
        </w:rPr>
        <w:t>Earley A, Miskulin </w:t>
      </w:r>
      <w:r>
        <w:rPr>
          <w:spacing w:val="-4"/>
          <w:w w:val="105"/>
          <w:sz w:val="27"/>
        </w:rPr>
        <w:t>D, </w:t>
      </w:r>
      <w:r>
        <w:rPr>
          <w:w w:val="105"/>
          <w:sz w:val="27"/>
        </w:rPr>
        <w:t>Lamb EJ et al. Estimating equations </w:t>
      </w:r>
      <w:r>
        <w:rPr>
          <w:spacing w:val="-6"/>
          <w:w w:val="105"/>
          <w:sz w:val="27"/>
        </w:rPr>
        <w:t>for </w:t>
      </w:r>
      <w:r>
        <w:rPr>
          <w:w w:val="105"/>
          <w:sz w:val="27"/>
        </w:rPr>
        <w:t>glomerular</w:t>
      </w:r>
      <w:r>
        <w:rPr>
          <w:spacing w:val="-22"/>
          <w:w w:val="105"/>
          <w:sz w:val="27"/>
        </w:rPr>
        <w:t> </w:t>
      </w:r>
      <w:r>
        <w:rPr>
          <w:w w:val="105"/>
          <w:sz w:val="27"/>
        </w:rPr>
        <w:t>ﬁltration</w:t>
      </w:r>
      <w:r>
        <w:rPr>
          <w:spacing w:val="-22"/>
          <w:w w:val="105"/>
          <w:sz w:val="27"/>
        </w:rPr>
        <w:t> </w:t>
      </w:r>
      <w:r>
        <w:rPr>
          <w:w w:val="105"/>
          <w:sz w:val="27"/>
        </w:rPr>
        <w:t>rate</w:t>
      </w:r>
      <w:r>
        <w:rPr>
          <w:spacing w:val="-21"/>
          <w:w w:val="105"/>
          <w:sz w:val="27"/>
        </w:rPr>
        <w:t> </w:t>
      </w:r>
      <w:r>
        <w:rPr>
          <w:w w:val="105"/>
          <w:sz w:val="27"/>
        </w:rPr>
        <w:t>in</w:t>
      </w:r>
      <w:r>
        <w:rPr>
          <w:spacing w:val="-22"/>
          <w:w w:val="105"/>
          <w:sz w:val="27"/>
        </w:rPr>
        <w:t> </w:t>
      </w:r>
      <w:r>
        <w:rPr>
          <w:w w:val="105"/>
          <w:sz w:val="27"/>
        </w:rPr>
        <w:t>the</w:t>
      </w:r>
      <w:r>
        <w:rPr>
          <w:spacing w:val="-22"/>
          <w:w w:val="105"/>
          <w:sz w:val="27"/>
        </w:rPr>
        <w:t> </w:t>
      </w:r>
      <w:r>
        <w:rPr>
          <w:w w:val="105"/>
          <w:sz w:val="27"/>
        </w:rPr>
        <w:t>era</w:t>
      </w:r>
      <w:r>
        <w:rPr>
          <w:spacing w:val="-21"/>
          <w:w w:val="105"/>
          <w:sz w:val="27"/>
        </w:rPr>
        <w:t> </w:t>
      </w:r>
      <w:r>
        <w:rPr>
          <w:w w:val="105"/>
          <w:sz w:val="27"/>
        </w:rPr>
        <w:t>of</w:t>
      </w:r>
      <w:r>
        <w:rPr>
          <w:spacing w:val="-22"/>
          <w:w w:val="105"/>
          <w:sz w:val="27"/>
        </w:rPr>
        <w:t> </w:t>
      </w:r>
      <w:r>
        <w:rPr>
          <w:w w:val="105"/>
          <w:sz w:val="27"/>
        </w:rPr>
        <w:t>creatinine</w:t>
      </w:r>
      <w:r>
        <w:rPr>
          <w:spacing w:val="-22"/>
          <w:w w:val="105"/>
          <w:sz w:val="27"/>
        </w:rPr>
        <w:t> </w:t>
      </w:r>
      <w:r>
        <w:rPr>
          <w:w w:val="105"/>
          <w:sz w:val="27"/>
        </w:rPr>
        <w:t>standardization:</w:t>
      </w:r>
      <w:r>
        <w:rPr>
          <w:spacing w:val="-21"/>
          <w:w w:val="105"/>
          <w:sz w:val="27"/>
        </w:rPr>
        <w:t> </w:t>
      </w:r>
      <w:r>
        <w:rPr>
          <w:w w:val="105"/>
          <w:sz w:val="27"/>
        </w:rPr>
        <w:t>a systematic</w:t>
      </w:r>
      <w:r>
        <w:rPr>
          <w:spacing w:val="-10"/>
          <w:w w:val="105"/>
          <w:sz w:val="27"/>
        </w:rPr>
        <w:t> </w:t>
      </w:r>
      <w:r>
        <w:rPr>
          <w:spacing w:val="-3"/>
          <w:w w:val="105"/>
          <w:sz w:val="27"/>
        </w:rPr>
        <w:t>review.</w:t>
      </w:r>
      <w:r>
        <w:rPr>
          <w:spacing w:val="-9"/>
          <w:w w:val="105"/>
          <w:sz w:val="27"/>
        </w:rPr>
        <w:t> </w:t>
      </w:r>
      <w:r>
        <w:rPr>
          <w:w w:val="105"/>
          <w:sz w:val="27"/>
        </w:rPr>
        <w:t>Ann</w:t>
      </w:r>
      <w:r>
        <w:rPr>
          <w:spacing w:val="-10"/>
          <w:w w:val="105"/>
          <w:sz w:val="27"/>
        </w:rPr>
        <w:t> </w:t>
      </w:r>
      <w:r>
        <w:rPr>
          <w:w w:val="105"/>
          <w:sz w:val="27"/>
        </w:rPr>
        <w:t>Intern</w:t>
      </w:r>
      <w:r>
        <w:rPr>
          <w:spacing w:val="-9"/>
          <w:w w:val="105"/>
          <w:sz w:val="27"/>
        </w:rPr>
        <w:t> </w:t>
      </w:r>
      <w:r>
        <w:rPr>
          <w:w w:val="105"/>
          <w:sz w:val="27"/>
        </w:rPr>
        <w:t>Med</w:t>
      </w:r>
      <w:r>
        <w:rPr>
          <w:spacing w:val="-9"/>
          <w:w w:val="105"/>
          <w:sz w:val="27"/>
        </w:rPr>
        <w:t> </w:t>
      </w:r>
      <w:r>
        <w:rPr>
          <w:w w:val="105"/>
          <w:sz w:val="27"/>
        </w:rPr>
        <w:t>2012;</w:t>
      </w:r>
      <w:r>
        <w:rPr>
          <w:spacing w:val="-10"/>
          <w:w w:val="105"/>
          <w:sz w:val="27"/>
        </w:rPr>
        <w:t> </w:t>
      </w:r>
      <w:r>
        <w:rPr>
          <w:w w:val="105"/>
          <w:sz w:val="27"/>
        </w:rPr>
        <w:t>156:</w:t>
      </w:r>
      <w:r>
        <w:rPr>
          <w:spacing w:val="-9"/>
          <w:w w:val="105"/>
          <w:sz w:val="27"/>
        </w:rPr>
        <w:t> </w:t>
      </w:r>
      <w:r>
        <w:rPr>
          <w:w w:val="105"/>
          <w:sz w:val="27"/>
        </w:rPr>
        <w:t>785–795.</w:t>
      </w:r>
    </w:p>
    <w:p>
      <w:pPr>
        <w:pStyle w:val="ListParagraph"/>
        <w:numPr>
          <w:ilvl w:val="0"/>
          <w:numId w:val="12"/>
        </w:numPr>
        <w:tabs>
          <w:tab w:pos="681" w:val="left" w:leader="none"/>
        </w:tabs>
        <w:spacing w:line="256" w:lineRule="auto" w:before="1" w:after="0"/>
        <w:ind w:left="680" w:right="128" w:hanging="436"/>
        <w:jc w:val="both"/>
        <w:rPr>
          <w:sz w:val="27"/>
        </w:rPr>
      </w:pPr>
      <w:r>
        <w:rPr>
          <w:w w:val="105"/>
          <w:sz w:val="27"/>
        </w:rPr>
        <w:t>Zachrisson</w:t>
      </w:r>
      <w:r>
        <w:rPr>
          <w:spacing w:val="-14"/>
          <w:w w:val="105"/>
          <w:sz w:val="27"/>
        </w:rPr>
        <w:t> </w:t>
      </w:r>
      <w:r>
        <w:rPr>
          <w:w w:val="105"/>
          <w:sz w:val="27"/>
        </w:rPr>
        <w:t>K.</w:t>
      </w:r>
      <w:r>
        <w:rPr>
          <w:spacing w:val="-13"/>
          <w:w w:val="105"/>
          <w:sz w:val="27"/>
        </w:rPr>
        <w:t> </w:t>
      </w:r>
      <w:r>
        <w:rPr>
          <w:w w:val="105"/>
          <w:sz w:val="27"/>
        </w:rPr>
        <w:t>et</w:t>
      </w:r>
      <w:r>
        <w:rPr>
          <w:spacing w:val="-13"/>
          <w:w w:val="105"/>
          <w:sz w:val="27"/>
        </w:rPr>
        <w:t> </w:t>
      </w:r>
      <w:r>
        <w:rPr>
          <w:w w:val="105"/>
          <w:sz w:val="27"/>
        </w:rPr>
        <w:t>al.</w:t>
      </w:r>
      <w:r>
        <w:rPr>
          <w:spacing w:val="-13"/>
          <w:w w:val="105"/>
          <w:sz w:val="27"/>
        </w:rPr>
        <w:t> </w:t>
      </w:r>
      <w:r>
        <w:rPr>
          <w:w w:val="105"/>
          <w:sz w:val="27"/>
        </w:rPr>
        <w:t>Duplex</w:t>
      </w:r>
      <w:r>
        <w:rPr>
          <w:spacing w:val="-13"/>
          <w:w w:val="105"/>
          <w:sz w:val="27"/>
        </w:rPr>
        <w:t> </w:t>
      </w:r>
      <w:r>
        <w:rPr>
          <w:w w:val="105"/>
          <w:sz w:val="27"/>
        </w:rPr>
        <w:t>ultrasound</w:t>
      </w:r>
      <w:r>
        <w:rPr>
          <w:spacing w:val="-14"/>
          <w:w w:val="105"/>
          <w:sz w:val="27"/>
        </w:rPr>
        <w:t> </w:t>
      </w:r>
      <w:r>
        <w:rPr>
          <w:w w:val="105"/>
          <w:sz w:val="27"/>
        </w:rPr>
        <w:t>for</w:t>
      </w:r>
      <w:r>
        <w:rPr>
          <w:spacing w:val="-13"/>
          <w:w w:val="105"/>
          <w:sz w:val="27"/>
        </w:rPr>
        <w:t> </w:t>
      </w:r>
      <w:r>
        <w:rPr>
          <w:w w:val="105"/>
          <w:sz w:val="27"/>
        </w:rPr>
        <w:t>identifying</w:t>
      </w:r>
      <w:r>
        <w:rPr>
          <w:spacing w:val="-13"/>
          <w:w w:val="105"/>
          <w:sz w:val="27"/>
        </w:rPr>
        <w:t> </w:t>
      </w:r>
      <w:r>
        <w:rPr>
          <w:w w:val="105"/>
          <w:sz w:val="27"/>
        </w:rPr>
        <w:t>renal</w:t>
      </w:r>
      <w:r>
        <w:rPr>
          <w:spacing w:val="-13"/>
          <w:w w:val="105"/>
          <w:sz w:val="27"/>
        </w:rPr>
        <w:t> </w:t>
      </w:r>
      <w:r>
        <w:rPr>
          <w:w w:val="105"/>
          <w:sz w:val="27"/>
        </w:rPr>
        <w:t>artery stenosis:</w:t>
      </w:r>
      <w:r>
        <w:rPr>
          <w:spacing w:val="-22"/>
          <w:w w:val="105"/>
          <w:sz w:val="27"/>
        </w:rPr>
        <w:t> </w:t>
      </w:r>
      <w:r>
        <w:rPr>
          <w:w w:val="105"/>
          <w:sz w:val="27"/>
        </w:rPr>
        <w:t>direct</w:t>
      </w:r>
      <w:r>
        <w:rPr>
          <w:spacing w:val="-22"/>
          <w:w w:val="105"/>
          <w:sz w:val="27"/>
        </w:rPr>
        <w:t> </w:t>
      </w:r>
      <w:r>
        <w:rPr>
          <w:w w:val="105"/>
          <w:sz w:val="27"/>
        </w:rPr>
        <w:t>criteria</w:t>
      </w:r>
      <w:r>
        <w:rPr>
          <w:spacing w:val="-21"/>
          <w:w w:val="105"/>
          <w:sz w:val="27"/>
        </w:rPr>
        <w:t> </w:t>
      </w:r>
      <w:r>
        <w:rPr>
          <w:w w:val="105"/>
          <w:sz w:val="27"/>
        </w:rPr>
        <w:t>re-evaluated</w:t>
      </w:r>
      <w:r>
        <w:rPr>
          <w:spacing w:val="-22"/>
          <w:w w:val="105"/>
          <w:sz w:val="27"/>
        </w:rPr>
        <w:t> </w:t>
      </w:r>
      <w:r>
        <w:rPr>
          <w:w w:val="105"/>
          <w:sz w:val="27"/>
        </w:rPr>
        <w:t>//Acta</w:t>
      </w:r>
      <w:r>
        <w:rPr>
          <w:spacing w:val="-22"/>
          <w:w w:val="105"/>
          <w:sz w:val="27"/>
        </w:rPr>
        <w:t> </w:t>
      </w:r>
      <w:r>
        <w:rPr>
          <w:w w:val="105"/>
          <w:sz w:val="27"/>
        </w:rPr>
        <w:t>Radiologica.</w:t>
      </w:r>
      <w:r>
        <w:rPr>
          <w:spacing w:val="-21"/>
          <w:w w:val="105"/>
          <w:sz w:val="27"/>
        </w:rPr>
        <w:t> </w:t>
      </w:r>
      <w:r>
        <w:rPr>
          <w:w w:val="105"/>
          <w:sz w:val="27"/>
        </w:rPr>
        <w:t>–</w:t>
      </w:r>
      <w:r>
        <w:rPr>
          <w:spacing w:val="-22"/>
          <w:w w:val="105"/>
          <w:sz w:val="27"/>
        </w:rPr>
        <w:t> </w:t>
      </w:r>
      <w:r>
        <w:rPr>
          <w:spacing w:val="-6"/>
          <w:w w:val="105"/>
          <w:sz w:val="27"/>
        </w:rPr>
        <w:t>2017.</w:t>
      </w:r>
      <w:r>
        <w:rPr>
          <w:spacing w:val="-22"/>
          <w:w w:val="105"/>
          <w:sz w:val="27"/>
        </w:rPr>
        <w:t> </w:t>
      </w:r>
      <w:r>
        <w:rPr>
          <w:w w:val="105"/>
          <w:sz w:val="27"/>
        </w:rPr>
        <w:t>–</w:t>
      </w:r>
      <w:r>
        <w:rPr>
          <w:spacing w:val="-21"/>
          <w:w w:val="105"/>
          <w:sz w:val="27"/>
        </w:rPr>
        <w:t> </w:t>
      </w:r>
      <w:r>
        <w:rPr>
          <w:w w:val="105"/>
          <w:sz w:val="27"/>
        </w:rPr>
        <w:t>Т. 58. – №. 2. – С.</w:t>
      </w:r>
      <w:r>
        <w:rPr>
          <w:spacing w:val="-27"/>
          <w:w w:val="105"/>
          <w:sz w:val="27"/>
        </w:rPr>
        <w:t> </w:t>
      </w:r>
      <w:r>
        <w:rPr>
          <w:w w:val="105"/>
          <w:sz w:val="27"/>
        </w:rPr>
        <w:t>176-182.</w:t>
      </w:r>
    </w:p>
    <w:p>
      <w:pPr>
        <w:pStyle w:val="ListParagraph"/>
        <w:numPr>
          <w:ilvl w:val="0"/>
          <w:numId w:val="12"/>
        </w:numPr>
        <w:tabs>
          <w:tab w:pos="681" w:val="left" w:leader="none"/>
        </w:tabs>
        <w:spacing w:line="256" w:lineRule="auto" w:before="1" w:after="0"/>
        <w:ind w:left="680" w:right="135" w:hanging="436"/>
        <w:jc w:val="both"/>
        <w:rPr>
          <w:sz w:val="27"/>
        </w:rPr>
      </w:pPr>
      <w:r>
        <w:rPr>
          <w:w w:val="105"/>
          <w:sz w:val="27"/>
        </w:rPr>
        <w:t>Matsushita</w:t>
      </w:r>
      <w:r>
        <w:rPr>
          <w:spacing w:val="-43"/>
          <w:w w:val="105"/>
          <w:sz w:val="27"/>
        </w:rPr>
        <w:t> </w:t>
      </w:r>
      <w:r>
        <w:rPr>
          <w:w w:val="105"/>
          <w:sz w:val="27"/>
        </w:rPr>
        <w:t>K.</w:t>
      </w:r>
      <w:r>
        <w:rPr>
          <w:spacing w:val="-42"/>
          <w:w w:val="105"/>
          <w:sz w:val="27"/>
        </w:rPr>
        <w:t> </w:t>
      </w:r>
      <w:r>
        <w:rPr>
          <w:w w:val="105"/>
          <w:sz w:val="27"/>
        </w:rPr>
        <w:t>et</w:t>
      </w:r>
      <w:r>
        <w:rPr>
          <w:spacing w:val="-42"/>
          <w:w w:val="105"/>
          <w:sz w:val="27"/>
        </w:rPr>
        <w:t> </w:t>
      </w:r>
      <w:r>
        <w:rPr>
          <w:w w:val="105"/>
          <w:sz w:val="27"/>
        </w:rPr>
        <w:t>al.</w:t>
      </w:r>
      <w:r>
        <w:rPr>
          <w:spacing w:val="-42"/>
          <w:w w:val="105"/>
          <w:sz w:val="27"/>
        </w:rPr>
        <w:t> </w:t>
      </w:r>
      <w:r>
        <w:rPr>
          <w:w w:val="105"/>
          <w:sz w:val="27"/>
        </w:rPr>
        <w:t>Kidney</w:t>
      </w:r>
      <w:r>
        <w:rPr>
          <w:spacing w:val="-42"/>
          <w:w w:val="105"/>
          <w:sz w:val="27"/>
        </w:rPr>
        <w:t> </w:t>
      </w:r>
      <w:r>
        <w:rPr>
          <w:w w:val="105"/>
          <w:sz w:val="27"/>
        </w:rPr>
        <w:t>measures</w:t>
      </w:r>
      <w:r>
        <w:rPr>
          <w:spacing w:val="-42"/>
          <w:w w:val="105"/>
          <w:sz w:val="27"/>
        </w:rPr>
        <w:t> </w:t>
      </w:r>
      <w:r>
        <w:rPr>
          <w:w w:val="105"/>
          <w:sz w:val="27"/>
        </w:rPr>
        <w:t>beyond</w:t>
      </w:r>
      <w:r>
        <w:rPr>
          <w:spacing w:val="-43"/>
          <w:w w:val="105"/>
          <w:sz w:val="27"/>
        </w:rPr>
        <w:t> </w:t>
      </w:r>
      <w:r>
        <w:rPr>
          <w:w w:val="105"/>
          <w:sz w:val="27"/>
        </w:rPr>
        <w:t>traditional</w:t>
      </w:r>
      <w:r>
        <w:rPr>
          <w:spacing w:val="-42"/>
          <w:w w:val="105"/>
          <w:sz w:val="27"/>
        </w:rPr>
        <w:t> </w:t>
      </w:r>
      <w:r>
        <w:rPr>
          <w:w w:val="105"/>
          <w:sz w:val="27"/>
        </w:rPr>
        <w:t>risk</w:t>
      </w:r>
      <w:r>
        <w:rPr>
          <w:spacing w:val="-42"/>
          <w:w w:val="105"/>
          <w:sz w:val="27"/>
        </w:rPr>
        <w:t> </w:t>
      </w:r>
      <w:r>
        <w:rPr>
          <w:w w:val="105"/>
          <w:sz w:val="27"/>
        </w:rPr>
        <w:t>factors for</w:t>
      </w:r>
      <w:r>
        <w:rPr>
          <w:spacing w:val="-15"/>
          <w:w w:val="105"/>
          <w:sz w:val="27"/>
        </w:rPr>
        <w:t> </w:t>
      </w:r>
      <w:r>
        <w:rPr>
          <w:w w:val="105"/>
          <w:sz w:val="27"/>
        </w:rPr>
        <w:t>cardiovascular</w:t>
      </w:r>
      <w:r>
        <w:rPr>
          <w:spacing w:val="-14"/>
          <w:w w:val="105"/>
          <w:sz w:val="27"/>
        </w:rPr>
        <w:t> </w:t>
      </w:r>
      <w:r>
        <w:rPr>
          <w:w w:val="105"/>
          <w:sz w:val="27"/>
        </w:rPr>
        <w:t>prediction:</w:t>
      </w:r>
      <w:r>
        <w:rPr>
          <w:spacing w:val="-14"/>
          <w:w w:val="105"/>
          <w:sz w:val="27"/>
        </w:rPr>
        <w:t> </w:t>
      </w:r>
      <w:r>
        <w:rPr>
          <w:w w:val="105"/>
          <w:sz w:val="27"/>
        </w:rPr>
        <w:t>A</w:t>
      </w:r>
      <w:r>
        <w:rPr>
          <w:spacing w:val="-14"/>
          <w:w w:val="105"/>
          <w:sz w:val="27"/>
        </w:rPr>
        <w:t> </w:t>
      </w:r>
      <w:r>
        <w:rPr>
          <w:w w:val="105"/>
          <w:sz w:val="27"/>
        </w:rPr>
        <w:t>collaborative</w:t>
      </w:r>
      <w:r>
        <w:rPr>
          <w:spacing w:val="-14"/>
          <w:w w:val="105"/>
          <w:sz w:val="27"/>
        </w:rPr>
        <w:t> </w:t>
      </w:r>
      <w:r>
        <w:rPr>
          <w:w w:val="105"/>
          <w:sz w:val="27"/>
        </w:rPr>
        <w:t>meta-analysis</w:t>
      </w:r>
      <w:r>
        <w:rPr>
          <w:spacing w:val="-14"/>
          <w:w w:val="105"/>
          <w:sz w:val="27"/>
        </w:rPr>
        <w:t> </w:t>
      </w:r>
      <w:r>
        <w:rPr>
          <w:w w:val="105"/>
          <w:sz w:val="27"/>
        </w:rPr>
        <w:t>//The lancet.</w:t>
      </w:r>
      <w:r>
        <w:rPr>
          <w:spacing w:val="-7"/>
          <w:w w:val="105"/>
          <w:sz w:val="27"/>
        </w:rPr>
        <w:t> </w:t>
      </w:r>
      <w:r>
        <w:rPr>
          <w:w w:val="105"/>
          <w:sz w:val="27"/>
        </w:rPr>
        <w:t>Diabetes</w:t>
      </w:r>
      <w:r>
        <w:rPr>
          <w:spacing w:val="-6"/>
          <w:w w:val="105"/>
          <w:sz w:val="27"/>
        </w:rPr>
        <w:t> </w:t>
      </w:r>
      <w:r>
        <w:rPr>
          <w:w w:val="105"/>
          <w:sz w:val="27"/>
        </w:rPr>
        <w:t>&amp;</w:t>
      </w:r>
      <w:r>
        <w:rPr>
          <w:spacing w:val="-7"/>
          <w:w w:val="105"/>
          <w:sz w:val="27"/>
        </w:rPr>
        <w:t> </w:t>
      </w:r>
      <w:r>
        <w:rPr>
          <w:w w:val="105"/>
          <w:sz w:val="27"/>
        </w:rPr>
        <w:t>endocrinology.</w:t>
      </w:r>
      <w:r>
        <w:rPr>
          <w:spacing w:val="-6"/>
          <w:w w:val="105"/>
          <w:sz w:val="27"/>
        </w:rPr>
        <w:t> </w:t>
      </w:r>
      <w:r>
        <w:rPr>
          <w:w w:val="105"/>
          <w:sz w:val="27"/>
        </w:rPr>
        <w:t>–</w:t>
      </w:r>
      <w:r>
        <w:rPr>
          <w:spacing w:val="-7"/>
          <w:w w:val="105"/>
          <w:sz w:val="27"/>
        </w:rPr>
        <w:t> </w:t>
      </w:r>
      <w:r>
        <w:rPr>
          <w:w w:val="105"/>
          <w:sz w:val="27"/>
        </w:rPr>
        <w:t>2015.</w:t>
      </w:r>
      <w:r>
        <w:rPr>
          <w:spacing w:val="-6"/>
          <w:w w:val="105"/>
          <w:sz w:val="27"/>
        </w:rPr>
        <w:t> </w:t>
      </w:r>
      <w:r>
        <w:rPr>
          <w:w w:val="105"/>
          <w:sz w:val="27"/>
        </w:rPr>
        <w:t>–</w:t>
      </w:r>
      <w:r>
        <w:rPr>
          <w:spacing w:val="-6"/>
          <w:w w:val="105"/>
          <w:sz w:val="27"/>
        </w:rPr>
        <w:t> </w:t>
      </w:r>
      <w:r>
        <w:rPr>
          <w:w w:val="105"/>
          <w:sz w:val="27"/>
        </w:rPr>
        <w:t>Т.</w:t>
      </w:r>
      <w:r>
        <w:rPr>
          <w:spacing w:val="-7"/>
          <w:w w:val="105"/>
          <w:sz w:val="27"/>
        </w:rPr>
        <w:t> </w:t>
      </w:r>
      <w:r>
        <w:rPr>
          <w:w w:val="105"/>
          <w:sz w:val="27"/>
        </w:rPr>
        <w:t>3.</w:t>
      </w:r>
      <w:r>
        <w:rPr>
          <w:spacing w:val="-6"/>
          <w:w w:val="105"/>
          <w:sz w:val="27"/>
        </w:rPr>
        <w:t> </w:t>
      </w:r>
      <w:r>
        <w:rPr>
          <w:w w:val="105"/>
          <w:sz w:val="27"/>
        </w:rPr>
        <w:t>–</w:t>
      </w:r>
      <w:r>
        <w:rPr>
          <w:spacing w:val="-7"/>
          <w:w w:val="105"/>
          <w:sz w:val="27"/>
        </w:rPr>
        <w:t> </w:t>
      </w:r>
      <w:r>
        <w:rPr>
          <w:w w:val="105"/>
          <w:sz w:val="27"/>
        </w:rPr>
        <w:t>№.</w:t>
      </w:r>
      <w:r>
        <w:rPr>
          <w:spacing w:val="-6"/>
          <w:w w:val="105"/>
          <w:sz w:val="27"/>
        </w:rPr>
        <w:t> </w:t>
      </w:r>
      <w:r>
        <w:rPr>
          <w:spacing w:val="-14"/>
          <w:w w:val="105"/>
          <w:sz w:val="27"/>
        </w:rPr>
        <w:t>7.</w:t>
      </w:r>
      <w:r>
        <w:rPr>
          <w:spacing w:val="-7"/>
          <w:w w:val="105"/>
          <w:sz w:val="27"/>
        </w:rPr>
        <w:t> </w:t>
      </w:r>
      <w:r>
        <w:rPr>
          <w:w w:val="105"/>
          <w:sz w:val="27"/>
        </w:rPr>
        <w:t>–</w:t>
      </w:r>
      <w:r>
        <w:rPr>
          <w:spacing w:val="-6"/>
          <w:w w:val="105"/>
          <w:sz w:val="27"/>
        </w:rPr>
        <w:t> </w:t>
      </w:r>
      <w:r>
        <w:rPr>
          <w:w w:val="105"/>
          <w:sz w:val="27"/>
        </w:rPr>
        <w:t>С.</w:t>
      </w:r>
      <w:r>
        <w:rPr>
          <w:spacing w:val="-6"/>
          <w:w w:val="105"/>
          <w:sz w:val="27"/>
        </w:rPr>
        <w:t> </w:t>
      </w:r>
      <w:r>
        <w:rPr>
          <w:w w:val="105"/>
          <w:sz w:val="27"/>
        </w:rPr>
        <w:t>514.</w:t>
      </w:r>
    </w:p>
    <w:p>
      <w:pPr>
        <w:pStyle w:val="ListParagraph"/>
        <w:numPr>
          <w:ilvl w:val="0"/>
          <w:numId w:val="12"/>
        </w:numPr>
        <w:tabs>
          <w:tab w:pos="681" w:val="left" w:leader="none"/>
        </w:tabs>
        <w:spacing w:line="256" w:lineRule="auto" w:before="1" w:after="0"/>
        <w:ind w:left="680" w:right="132" w:hanging="436"/>
        <w:jc w:val="both"/>
        <w:rPr>
          <w:sz w:val="27"/>
        </w:rPr>
      </w:pPr>
      <w:r>
        <w:rPr>
          <w:sz w:val="27"/>
        </w:rPr>
        <w:t>Gerstein HC, Mann JF, Yi </w:t>
      </w:r>
      <w:r>
        <w:rPr>
          <w:spacing w:val="-4"/>
          <w:sz w:val="27"/>
        </w:rPr>
        <w:t>Q,</w:t>
      </w:r>
      <w:r>
        <w:rPr>
          <w:spacing w:val="59"/>
          <w:sz w:val="27"/>
        </w:rPr>
        <w:t> </w:t>
      </w:r>
      <w:r>
        <w:rPr>
          <w:sz w:val="27"/>
        </w:rPr>
        <w:t>Zinman B, et al. HOPE Study Investigators. Albuminuria and risk of cardiovascular events, death, and heart failure in diabetic and nondiabetic individuals. JAMA 2001;286:421–426.</w:t>
      </w:r>
    </w:p>
    <w:p>
      <w:pPr>
        <w:pStyle w:val="ListParagraph"/>
        <w:numPr>
          <w:ilvl w:val="0"/>
          <w:numId w:val="12"/>
        </w:numPr>
        <w:tabs>
          <w:tab w:pos="681" w:val="left" w:leader="none"/>
        </w:tabs>
        <w:spacing w:line="256" w:lineRule="auto" w:before="2" w:after="0"/>
        <w:ind w:left="680" w:right="140" w:hanging="436"/>
        <w:jc w:val="both"/>
        <w:rPr>
          <w:sz w:val="27"/>
        </w:rPr>
      </w:pPr>
      <w:r>
        <w:rPr>
          <w:sz w:val="27"/>
        </w:rPr>
        <w:t>Boekholdt SM et al. Association of LDL cholesterol, non–HDL cholesterol, and apolipoprotein B levels with risk of cardiovascular events</w:t>
      </w:r>
      <w:r>
        <w:rPr>
          <w:spacing w:val="22"/>
          <w:sz w:val="27"/>
        </w:rPr>
        <w:t> </w:t>
      </w:r>
      <w:r>
        <w:rPr>
          <w:sz w:val="27"/>
        </w:rPr>
        <w:t>among</w:t>
      </w:r>
      <w:r>
        <w:rPr>
          <w:spacing w:val="22"/>
          <w:sz w:val="27"/>
        </w:rPr>
        <w:t> </w:t>
      </w:r>
      <w:r>
        <w:rPr>
          <w:sz w:val="27"/>
        </w:rPr>
        <w:t>patients</w:t>
      </w:r>
      <w:r>
        <w:rPr>
          <w:spacing w:val="22"/>
          <w:sz w:val="27"/>
        </w:rPr>
        <w:t> </w:t>
      </w:r>
      <w:r>
        <w:rPr>
          <w:sz w:val="27"/>
        </w:rPr>
        <w:t>treated</w:t>
      </w:r>
      <w:r>
        <w:rPr>
          <w:spacing w:val="22"/>
          <w:sz w:val="27"/>
        </w:rPr>
        <w:t> </w:t>
      </w:r>
      <w:r>
        <w:rPr>
          <w:sz w:val="27"/>
        </w:rPr>
        <w:t>with</w:t>
      </w:r>
      <w:r>
        <w:rPr>
          <w:spacing w:val="22"/>
          <w:sz w:val="27"/>
        </w:rPr>
        <w:t> </w:t>
      </w:r>
      <w:r>
        <w:rPr>
          <w:sz w:val="27"/>
        </w:rPr>
        <w:t>statins:</w:t>
      </w:r>
      <w:r>
        <w:rPr>
          <w:spacing w:val="23"/>
          <w:sz w:val="27"/>
        </w:rPr>
        <w:t> </w:t>
      </w:r>
      <w:r>
        <w:rPr>
          <w:sz w:val="27"/>
        </w:rPr>
        <w:t>a</w:t>
      </w:r>
      <w:r>
        <w:rPr>
          <w:spacing w:val="22"/>
          <w:sz w:val="27"/>
        </w:rPr>
        <w:t> </w:t>
      </w:r>
      <w:r>
        <w:rPr>
          <w:sz w:val="27"/>
        </w:rPr>
        <w:t>meta-analysis</w:t>
      </w:r>
      <w:r>
        <w:rPr>
          <w:spacing w:val="22"/>
          <w:sz w:val="27"/>
        </w:rPr>
        <w:t> </w:t>
      </w:r>
      <w:r>
        <w:rPr>
          <w:sz w:val="27"/>
        </w:rPr>
        <w:t>//Jama.</w:t>
      </w:r>
    </w:p>
    <w:p>
      <w:pPr>
        <w:pStyle w:val="BodyText"/>
      </w:pPr>
      <w:r>
        <w:rPr>
          <w:w w:val="105"/>
        </w:rPr>
        <w:t>— 2012. — Т. 307. — №. 12. — С. 1302-1309.</w:t>
      </w:r>
    </w:p>
    <w:p>
      <w:pPr>
        <w:pStyle w:val="ListParagraph"/>
        <w:numPr>
          <w:ilvl w:val="0"/>
          <w:numId w:val="12"/>
        </w:numPr>
        <w:tabs>
          <w:tab w:pos="681" w:val="left" w:leader="none"/>
        </w:tabs>
        <w:spacing w:line="256" w:lineRule="auto" w:before="26" w:after="0"/>
        <w:ind w:left="680" w:right="131" w:hanging="436"/>
        <w:jc w:val="both"/>
        <w:rPr>
          <w:sz w:val="27"/>
        </w:rPr>
      </w:pPr>
      <w:r>
        <w:rPr>
          <w:w w:val="105"/>
          <w:sz w:val="27"/>
        </w:rPr>
        <w:t>Guo</w:t>
      </w:r>
      <w:r>
        <w:rPr>
          <w:spacing w:val="-32"/>
          <w:w w:val="105"/>
          <w:sz w:val="27"/>
        </w:rPr>
        <w:t> </w:t>
      </w:r>
      <w:r>
        <w:rPr>
          <w:w w:val="105"/>
          <w:sz w:val="27"/>
        </w:rPr>
        <w:t>X.</w:t>
      </w:r>
      <w:r>
        <w:rPr>
          <w:spacing w:val="-32"/>
          <w:w w:val="105"/>
          <w:sz w:val="27"/>
        </w:rPr>
        <w:t> </w:t>
      </w:r>
      <w:r>
        <w:rPr>
          <w:w w:val="105"/>
          <w:sz w:val="27"/>
        </w:rPr>
        <w:t>et</w:t>
      </w:r>
      <w:r>
        <w:rPr>
          <w:spacing w:val="-32"/>
          <w:w w:val="105"/>
          <w:sz w:val="27"/>
        </w:rPr>
        <w:t> </w:t>
      </w:r>
      <w:r>
        <w:rPr>
          <w:w w:val="105"/>
          <w:sz w:val="27"/>
        </w:rPr>
        <w:t>al.</w:t>
      </w:r>
      <w:r>
        <w:rPr>
          <w:spacing w:val="-31"/>
          <w:w w:val="105"/>
          <w:sz w:val="27"/>
        </w:rPr>
        <w:t> </w:t>
      </w:r>
      <w:r>
        <w:rPr>
          <w:w w:val="105"/>
          <w:sz w:val="27"/>
        </w:rPr>
        <w:t>Prehypertension:</w:t>
      </w:r>
      <w:r>
        <w:rPr>
          <w:spacing w:val="-32"/>
          <w:w w:val="105"/>
          <w:sz w:val="27"/>
        </w:rPr>
        <w:t> </w:t>
      </w:r>
      <w:r>
        <w:rPr>
          <w:w w:val="105"/>
          <w:sz w:val="27"/>
        </w:rPr>
        <w:t>a</w:t>
      </w:r>
      <w:r>
        <w:rPr>
          <w:spacing w:val="-32"/>
          <w:w w:val="105"/>
          <w:sz w:val="27"/>
        </w:rPr>
        <w:t> </w:t>
      </w:r>
      <w:r>
        <w:rPr>
          <w:w w:val="105"/>
          <w:sz w:val="27"/>
        </w:rPr>
        <w:t>meta-analysis</w:t>
      </w:r>
      <w:r>
        <w:rPr>
          <w:spacing w:val="-31"/>
          <w:w w:val="105"/>
          <w:sz w:val="27"/>
        </w:rPr>
        <w:t> </w:t>
      </w:r>
      <w:r>
        <w:rPr>
          <w:w w:val="105"/>
          <w:sz w:val="27"/>
        </w:rPr>
        <w:t>of</w:t>
      </w:r>
      <w:r>
        <w:rPr>
          <w:spacing w:val="-32"/>
          <w:w w:val="105"/>
          <w:sz w:val="27"/>
        </w:rPr>
        <w:t> </w:t>
      </w:r>
      <w:r>
        <w:rPr>
          <w:w w:val="105"/>
          <w:sz w:val="27"/>
        </w:rPr>
        <w:t>the</w:t>
      </w:r>
      <w:r>
        <w:rPr>
          <w:spacing w:val="-32"/>
          <w:w w:val="105"/>
          <w:sz w:val="27"/>
        </w:rPr>
        <w:t> </w:t>
      </w:r>
      <w:r>
        <w:rPr>
          <w:w w:val="105"/>
          <w:sz w:val="27"/>
        </w:rPr>
        <w:t>epidemiology, risk factors, and predictors of progression </w:t>
      </w:r>
      <w:r>
        <w:rPr>
          <w:spacing w:val="-4"/>
          <w:w w:val="105"/>
          <w:sz w:val="27"/>
        </w:rPr>
        <w:t>//Texas </w:t>
      </w:r>
      <w:r>
        <w:rPr>
          <w:w w:val="105"/>
          <w:sz w:val="27"/>
        </w:rPr>
        <w:t>heart institute journal. – 2011. – Т. 38. – №. 6. – С.</w:t>
      </w:r>
      <w:r>
        <w:rPr>
          <w:spacing w:val="-43"/>
          <w:w w:val="105"/>
          <w:sz w:val="27"/>
        </w:rPr>
        <w:t> </w:t>
      </w:r>
      <w:r>
        <w:rPr>
          <w:w w:val="105"/>
          <w:sz w:val="27"/>
        </w:rPr>
        <w:t>643.</w:t>
      </w:r>
    </w:p>
    <w:p>
      <w:pPr>
        <w:pStyle w:val="ListParagraph"/>
        <w:numPr>
          <w:ilvl w:val="0"/>
          <w:numId w:val="12"/>
        </w:numPr>
        <w:tabs>
          <w:tab w:pos="681" w:val="left" w:leader="none"/>
        </w:tabs>
        <w:spacing w:line="256" w:lineRule="auto" w:before="1" w:after="0"/>
        <w:ind w:left="680" w:right="128" w:hanging="436"/>
        <w:jc w:val="both"/>
        <w:rPr>
          <w:sz w:val="27"/>
        </w:rPr>
      </w:pPr>
      <w:r>
        <w:rPr>
          <w:sz w:val="27"/>
        </w:rPr>
        <w:t>Geleijnse JM, </w:t>
      </w:r>
      <w:r>
        <w:rPr>
          <w:spacing w:val="-5"/>
          <w:sz w:val="27"/>
        </w:rPr>
        <w:t>Kok </w:t>
      </w:r>
      <w:r>
        <w:rPr>
          <w:sz w:val="27"/>
        </w:rPr>
        <w:t>FJ, Grobbee DE. Blood pressure response to changes in sodium and potassium intake: a metaregression</w:t>
      </w:r>
      <w:r>
        <w:rPr>
          <w:spacing w:val="52"/>
          <w:sz w:val="27"/>
        </w:rPr>
        <w:t> </w:t>
      </w:r>
      <w:r>
        <w:rPr>
          <w:sz w:val="27"/>
        </w:rPr>
        <w:t>analysis</w:t>
      </w:r>
    </w:p>
    <w:p>
      <w:pPr>
        <w:spacing w:after="0" w:line="256" w:lineRule="auto"/>
        <w:jc w:val="both"/>
        <w:rPr>
          <w:sz w:val="27"/>
        </w:rPr>
        <w:sectPr>
          <w:pgSz w:w="11900" w:h="16840"/>
          <w:pgMar w:top="0" w:bottom="0" w:left="1420" w:right="1520"/>
        </w:sectPr>
      </w:pPr>
    </w:p>
    <w:p>
      <w:pPr>
        <w:pStyle w:val="BodyText"/>
        <w:spacing w:line="256" w:lineRule="auto" w:before="16"/>
        <w:ind w:right="142"/>
      </w:pPr>
      <w:r>
        <w:rPr/>
        <w:t>of randomised trials. Journal of human hypertension  17.7(2003):471.</w:t>
      </w:r>
    </w:p>
    <w:p>
      <w:pPr>
        <w:pStyle w:val="ListParagraph"/>
        <w:numPr>
          <w:ilvl w:val="0"/>
          <w:numId w:val="12"/>
        </w:numPr>
        <w:tabs>
          <w:tab w:pos="681" w:val="left" w:leader="none"/>
        </w:tabs>
        <w:spacing w:line="256" w:lineRule="auto" w:before="1" w:after="0"/>
        <w:ind w:left="680" w:right="134" w:hanging="436"/>
        <w:jc w:val="both"/>
        <w:rPr>
          <w:sz w:val="27"/>
        </w:rPr>
      </w:pPr>
      <w:r>
        <w:rPr>
          <w:sz w:val="27"/>
        </w:rPr>
        <w:t>Macdonald JE, Struthers </w:t>
      </w:r>
      <w:r>
        <w:rPr>
          <w:spacing w:val="-3"/>
          <w:sz w:val="27"/>
        </w:rPr>
        <w:t>AD. </w:t>
      </w:r>
      <w:r>
        <w:rPr>
          <w:sz w:val="27"/>
        </w:rPr>
        <w:t>hat is the optimal serum </w:t>
      </w:r>
      <w:r>
        <w:rPr>
          <w:spacing w:val="-3"/>
          <w:sz w:val="27"/>
        </w:rPr>
        <w:t>potassium </w:t>
      </w:r>
      <w:r>
        <w:rPr>
          <w:sz w:val="27"/>
        </w:rPr>
        <w:t>level in cardiovascular patients? Journal of the American College </w:t>
      </w:r>
      <w:r>
        <w:rPr>
          <w:spacing w:val="-6"/>
          <w:sz w:val="27"/>
        </w:rPr>
        <w:t>of </w:t>
      </w:r>
      <w:r>
        <w:rPr>
          <w:sz w:val="27"/>
        </w:rPr>
        <w:t>Cardiology 43.2 (2004):155–161.</w:t>
      </w:r>
    </w:p>
    <w:p>
      <w:pPr>
        <w:pStyle w:val="ListParagraph"/>
        <w:numPr>
          <w:ilvl w:val="0"/>
          <w:numId w:val="12"/>
        </w:numPr>
        <w:tabs>
          <w:tab w:pos="681" w:val="left" w:leader="none"/>
        </w:tabs>
        <w:spacing w:line="256" w:lineRule="auto" w:before="1" w:after="0"/>
        <w:ind w:left="680" w:right="129" w:hanging="436"/>
        <w:jc w:val="both"/>
        <w:rPr>
          <w:sz w:val="27"/>
        </w:rPr>
      </w:pPr>
      <w:r>
        <w:rPr>
          <w:spacing w:val="-5"/>
          <w:w w:val="105"/>
          <w:sz w:val="27"/>
        </w:rPr>
        <w:t>Wang </w:t>
      </w:r>
      <w:r>
        <w:rPr>
          <w:w w:val="105"/>
          <w:sz w:val="27"/>
        </w:rPr>
        <w:t>J. et al. Hyperuricemia and risk of incident hypertension: a systematic</w:t>
      </w:r>
      <w:r>
        <w:rPr>
          <w:spacing w:val="-47"/>
          <w:w w:val="105"/>
          <w:sz w:val="27"/>
        </w:rPr>
        <w:t> </w:t>
      </w:r>
      <w:r>
        <w:rPr>
          <w:w w:val="105"/>
          <w:sz w:val="27"/>
        </w:rPr>
        <w:t>review</w:t>
      </w:r>
      <w:r>
        <w:rPr>
          <w:spacing w:val="-46"/>
          <w:w w:val="105"/>
          <w:sz w:val="27"/>
        </w:rPr>
        <w:t> </w:t>
      </w:r>
      <w:r>
        <w:rPr>
          <w:w w:val="105"/>
          <w:sz w:val="27"/>
        </w:rPr>
        <w:t>and</w:t>
      </w:r>
      <w:r>
        <w:rPr>
          <w:spacing w:val="-46"/>
          <w:w w:val="105"/>
          <w:sz w:val="27"/>
        </w:rPr>
        <w:t> </w:t>
      </w:r>
      <w:r>
        <w:rPr>
          <w:w w:val="105"/>
          <w:sz w:val="27"/>
        </w:rPr>
        <w:t>meta-analysis</w:t>
      </w:r>
      <w:r>
        <w:rPr>
          <w:spacing w:val="-47"/>
          <w:w w:val="105"/>
          <w:sz w:val="27"/>
        </w:rPr>
        <w:t> </w:t>
      </w:r>
      <w:r>
        <w:rPr>
          <w:w w:val="105"/>
          <w:sz w:val="27"/>
        </w:rPr>
        <w:t>of</w:t>
      </w:r>
      <w:r>
        <w:rPr>
          <w:spacing w:val="-46"/>
          <w:w w:val="105"/>
          <w:sz w:val="27"/>
        </w:rPr>
        <w:t> </w:t>
      </w:r>
      <w:r>
        <w:rPr>
          <w:w w:val="105"/>
          <w:sz w:val="27"/>
        </w:rPr>
        <w:t>observational</w:t>
      </w:r>
      <w:r>
        <w:rPr>
          <w:spacing w:val="-47"/>
          <w:w w:val="105"/>
          <w:sz w:val="27"/>
        </w:rPr>
        <w:t> </w:t>
      </w:r>
      <w:r>
        <w:rPr>
          <w:w w:val="105"/>
          <w:sz w:val="27"/>
        </w:rPr>
        <w:t>studies</w:t>
      </w:r>
      <w:r>
        <w:rPr>
          <w:spacing w:val="-46"/>
          <w:w w:val="105"/>
          <w:sz w:val="27"/>
        </w:rPr>
        <w:t> </w:t>
      </w:r>
      <w:r>
        <w:rPr>
          <w:w w:val="105"/>
          <w:sz w:val="27"/>
        </w:rPr>
        <w:t>//PloS one. – 2014. – Т. 9. – №. 12. – С.</w:t>
      </w:r>
      <w:r>
        <w:rPr>
          <w:spacing w:val="-37"/>
          <w:w w:val="105"/>
          <w:sz w:val="27"/>
        </w:rPr>
        <w:t> </w:t>
      </w:r>
      <w:r>
        <w:rPr>
          <w:w w:val="105"/>
          <w:sz w:val="27"/>
        </w:rPr>
        <w:t>e114259.</w:t>
      </w:r>
    </w:p>
    <w:p>
      <w:pPr>
        <w:pStyle w:val="ListParagraph"/>
        <w:numPr>
          <w:ilvl w:val="0"/>
          <w:numId w:val="12"/>
        </w:numPr>
        <w:tabs>
          <w:tab w:pos="681" w:val="left" w:leader="none"/>
        </w:tabs>
        <w:spacing w:line="240" w:lineRule="auto" w:before="2" w:after="0"/>
        <w:ind w:left="680" w:right="128" w:hanging="436"/>
        <w:jc w:val="both"/>
        <w:rPr>
          <w:sz w:val="27"/>
        </w:rPr>
      </w:pPr>
      <w:r>
        <w:rPr>
          <w:w w:val="105"/>
          <w:sz w:val="27"/>
        </w:rPr>
        <w:t>Grayson </w:t>
      </w:r>
      <w:r>
        <w:rPr>
          <w:spacing w:val="-3"/>
          <w:w w:val="105"/>
          <w:sz w:val="27"/>
        </w:rPr>
        <w:t>PC </w:t>
      </w:r>
      <w:r>
        <w:rPr>
          <w:w w:val="105"/>
          <w:sz w:val="27"/>
        </w:rPr>
        <w:t>et al. Hyperuricemia and incident hypertension: a systematic</w:t>
      </w:r>
      <w:r>
        <w:rPr>
          <w:spacing w:val="-38"/>
          <w:w w:val="105"/>
          <w:sz w:val="27"/>
        </w:rPr>
        <w:t> </w:t>
      </w:r>
      <w:r>
        <w:rPr>
          <w:w w:val="105"/>
          <w:sz w:val="27"/>
        </w:rPr>
        <w:t>review</w:t>
      </w:r>
      <w:r>
        <w:rPr>
          <w:spacing w:val="-38"/>
          <w:w w:val="105"/>
          <w:sz w:val="27"/>
        </w:rPr>
        <w:t> </w:t>
      </w:r>
      <w:r>
        <w:rPr>
          <w:w w:val="105"/>
          <w:sz w:val="27"/>
        </w:rPr>
        <w:t>and</w:t>
      </w:r>
      <w:r>
        <w:rPr>
          <w:spacing w:val="-37"/>
          <w:w w:val="105"/>
          <w:sz w:val="27"/>
        </w:rPr>
        <w:t> </w:t>
      </w:r>
      <w:r>
        <w:rPr>
          <w:w w:val="105"/>
          <w:sz w:val="27"/>
        </w:rPr>
        <w:t>meta</w:t>
      </w:r>
      <w:r>
        <w:rPr>
          <w:rFonts w:ascii="Lucida Sans Unicode" w:hAnsi="Lucida Sans Unicode"/>
          <w:w w:val="105"/>
          <w:sz w:val="27"/>
        </w:rPr>
        <w:t>‐</w:t>
      </w:r>
      <w:r>
        <w:rPr>
          <w:w w:val="105"/>
          <w:sz w:val="27"/>
        </w:rPr>
        <w:t>analysis..</w:t>
      </w:r>
      <w:r>
        <w:rPr>
          <w:spacing w:val="-38"/>
          <w:w w:val="105"/>
          <w:sz w:val="27"/>
        </w:rPr>
        <w:t> </w:t>
      </w:r>
      <w:r>
        <w:rPr>
          <w:w w:val="105"/>
          <w:sz w:val="27"/>
        </w:rPr>
        <w:t>Arthritis</w:t>
      </w:r>
      <w:r>
        <w:rPr>
          <w:spacing w:val="-37"/>
          <w:w w:val="105"/>
          <w:sz w:val="27"/>
        </w:rPr>
        <w:t> </w:t>
      </w:r>
      <w:r>
        <w:rPr>
          <w:w w:val="105"/>
          <w:sz w:val="27"/>
        </w:rPr>
        <w:t>care</w:t>
      </w:r>
      <w:r>
        <w:rPr>
          <w:spacing w:val="-38"/>
          <w:w w:val="105"/>
          <w:sz w:val="27"/>
        </w:rPr>
        <w:t> </w:t>
      </w:r>
      <w:r>
        <w:rPr>
          <w:w w:val="105"/>
          <w:sz w:val="27"/>
        </w:rPr>
        <w:t>&amp;</w:t>
      </w:r>
      <w:r>
        <w:rPr>
          <w:spacing w:val="-37"/>
          <w:w w:val="105"/>
          <w:sz w:val="27"/>
        </w:rPr>
        <w:t> </w:t>
      </w:r>
      <w:r>
        <w:rPr>
          <w:w w:val="105"/>
          <w:sz w:val="27"/>
        </w:rPr>
        <w:t>research</w:t>
      </w:r>
      <w:r>
        <w:rPr>
          <w:spacing w:val="-38"/>
          <w:w w:val="105"/>
          <w:sz w:val="27"/>
        </w:rPr>
        <w:t> </w:t>
      </w:r>
      <w:r>
        <w:rPr>
          <w:spacing w:val="-3"/>
          <w:w w:val="105"/>
          <w:sz w:val="27"/>
        </w:rPr>
        <w:t>63.1 </w:t>
      </w:r>
      <w:r>
        <w:rPr>
          <w:w w:val="105"/>
          <w:sz w:val="27"/>
        </w:rPr>
        <w:t>(2011):102–110.</w:t>
      </w:r>
    </w:p>
    <w:p>
      <w:pPr>
        <w:pStyle w:val="ListParagraph"/>
        <w:numPr>
          <w:ilvl w:val="0"/>
          <w:numId w:val="12"/>
        </w:numPr>
        <w:tabs>
          <w:tab w:pos="681" w:val="left" w:leader="none"/>
        </w:tabs>
        <w:spacing w:line="256" w:lineRule="auto" w:before="27" w:after="0"/>
        <w:ind w:left="680" w:right="132" w:hanging="436"/>
        <w:jc w:val="both"/>
        <w:rPr>
          <w:sz w:val="27"/>
        </w:rPr>
      </w:pPr>
      <w:r>
        <w:rPr>
          <w:sz w:val="27"/>
        </w:rPr>
        <w:t>Palmer TM et al. Association of plasma uric acid with ischaemic heart disease and blood pressure: mendelian randomisation analysis of two large cohorts. Bmj 347 (2013):</w:t>
      </w:r>
      <w:r>
        <w:rPr>
          <w:spacing w:val="18"/>
          <w:sz w:val="27"/>
        </w:rPr>
        <w:t> </w:t>
      </w:r>
      <w:r>
        <w:rPr>
          <w:sz w:val="27"/>
        </w:rPr>
        <w:t>f4262.</w:t>
      </w:r>
    </w:p>
    <w:p>
      <w:pPr>
        <w:pStyle w:val="ListParagraph"/>
        <w:numPr>
          <w:ilvl w:val="0"/>
          <w:numId w:val="12"/>
        </w:numPr>
        <w:tabs>
          <w:tab w:pos="681" w:val="left" w:leader="none"/>
        </w:tabs>
        <w:spacing w:line="256" w:lineRule="auto" w:before="1" w:after="0"/>
        <w:ind w:left="680" w:right="131" w:hanging="436"/>
        <w:jc w:val="both"/>
        <w:rPr>
          <w:sz w:val="27"/>
        </w:rPr>
      </w:pPr>
      <w:r>
        <w:rPr>
          <w:sz w:val="27"/>
        </w:rPr>
        <w:t>Schillaci, G., Battista, F., &amp; Pucci, G. (2012). A review of the role of electrocardiography in the diagnosis of left ventricular hypertrophy in hypertension. Journal of electrocardiology, 45(6),</w:t>
      </w:r>
      <w:r>
        <w:rPr>
          <w:spacing w:val="41"/>
          <w:sz w:val="27"/>
        </w:rPr>
        <w:t> </w:t>
      </w:r>
      <w:r>
        <w:rPr>
          <w:sz w:val="27"/>
        </w:rPr>
        <w:t>617–623.</w:t>
      </w:r>
    </w:p>
    <w:p>
      <w:pPr>
        <w:pStyle w:val="ListParagraph"/>
        <w:numPr>
          <w:ilvl w:val="0"/>
          <w:numId w:val="12"/>
        </w:numPr>
        <w:tabs>
          <w:tab w:pos="681" w:val="left" w:leader="none"/>
        </w:tabs>
        <w:spacing w:line="256" w:lineRule="auto" w:before="1" w:after="0"/>
        <w:ind w:left="680" w:right="139" w:hanging="436"/>
        <w:jc w:val="both"/>
        <w:rPr>
          <w:sz w:val="27"/>
        </w:rPr>
      </w:pPr>
      <w:r>
        <w:rPr>
          <w:w w:val="105"/>
          <w:sz w:val="27"/>
        </w:rPr>
        <w:t>Kahn S, Frishman WH, </w:t>
      </w:r>
      <w:r>
        <w:rPr>
          <w:spacing w:val="-3"/>
          <w:w w:val="105"/>
          <w:sz w:val="27"/>
        </w:rPr>
        <w:t>Weissman </w:t>
      </w:r>
      <w:r>
        <w:rPr>
          <w:w w:val="105"/>
          <w:sz w:val="27"/>
        </w:rPr>
        <w:t>S et al. Left ventricular hypertrophy</w:t>
      </w:r>
      <w:r>
        <w:rPr>
          <w:spacing w:val="-34"/>
          <w:w w:val="105"/>
          <w:sz w:val="27"/>
        </w:rPr>
        <w:t> </w:t>
      </w:r>
      <w:r>
        <w:rPr>
          <w:w w:val="105"/>
          <w:sz w:val="27"/>
        </w:rPr>
        <w:t>on</w:t>
      </w:r>
      <w:r>
        <w:rPr>
          <w:spacing w:val="-34"/>
          <w:w w:val="105"/>
          <w:sz w:val="27"/>
        </w:rPr>
        <w:t> </w:t>
      </w:r>
      <w:r>
        <w:rPr>
          <w:w w:val="105"/>
          <w:sz w:val="27"/>
        </w:rPr>
        <w:t>electrocardiogram:</w:t>
      </w:r>
      <w:r>
        <w:rPr>
          <w:spacing w:val="-34"/>
          <w:w w:val="105"/>
          <w:sz w:val="27"/>
        </w:rPr>
        <w:t> </w:t>
      </w:r>
      <w:r>
        <w:rPr>
          <w:w w:val="105"/>
          <w:sz w:val="27"/>
        </w:rPr>
        <w:t>prognostic</w:t>
      </w:r>
      <w:r>
        <w:rPr>
          <w:spacing w:val="-34"/>
          <w:w w:val="105"/>
          <w:sz w:val="27"/>
        </w:rPr>
        <w:t> </w:t>
      </w:r>
      <w:r>
        <w:rPr>
          <w:w w:val="105"/>
          <w:sz w:val="27"/>
        </w:rPr>
        <w:t>implications</w:t>
      </w:r>
      <w:r>
        <w:rPr>
          <w:spacing w:val="-34"/>
          <w:w w:val="105"/>
          <w:sz w:val="27"/>
        </w:rPr>
        <w:t> </w:t>
      </w:r>
      <w:r>
        <w:rPr>
          <w:w w:val="105"/>
          <w:sz w:val="27"/>
        </w:rPr>
        <w:t>from</w:t>
      </w:r>
      <w:r>
        <w:rPr>
          <w:spacing w:val="-33"/>
          <w:w w:val="105"/>
          <w:sz w:val="27"/>
        </w:rPr>
        <w:t> </w:t>
      </w:r>
      <w:r>
        <w:rPr>
          <w:w w:val="105"/>
          <w:sz w:val="27"/>
        </w:rPr>
        <w:t>a 10-year cohort study of older subjects: a report from the Bronx Longitudinal</w:t>
      </w:r>
      <w:r>
        <w:rPr>
          <w:spacing w:val="-20"/>
          <w:w w:val="105"/>
          <w:sz w:val="27"/>
        </w:rPr>
        <w:t> </w:t>
      </w:r>
      <w:r>
        <w:rPr>
          <w:w w:val="105"/>
          <w:sz w:val="27"/>
        </w:rPr>
        <w:t>Aging</w:t>
      </w:r>
      <w:r>
        <w:rPr>
          <w:spacing w:val="-19"/>
          <w:w w:val="105"/>
          <w:sz w:val="27"/>
        </w:rPr>
        <w:t> </w:t>
      </w:r>
      <w:r>
        <w:rPr>
          <w:w w:val="105"/>
          <w:sz w:val="27"/>
        </w:rPr>
        <w:t>Study.</w:t>
      </w:r>
      <w:r>
        <w:rPr>
          <w:spacing w:val="-20"/>
          <w:w w:val="105"/>
          <w:sz w:val="27"/>
        </w:rPr>
        <w:t> </w:t>
      </w:r>
      <w:r>
        <w:rPr>
          <w:w w:val="105"/>
          <w:sz w:val="27"/>
        </w:rPr>
        <w:t>J</w:t>
      </w:r>
      <w:r>
        <w:rPr>
          <w:spacing w:val="-19"/>
          <w:w w:val="105"/>
          <w:sz w:val="27"/>
        </w:rPr>
        <w:t> </w:t>
      </w:r>
      <w:r>
        <w:rPr>
          <w:w w:val="105"/>
          <w:sz w:val="27"/>
        </w:rPr>
        <w:t>Am</w:t>
      </w:r>
      <w:r>
        <w:rPr>
          <w:spacing w:val="-19"/>
          <w:w w:val="105"/>
          <w:sz w:val="27"/>
        </w:rPr>
        <w:t> </w:t>
      </w:r>
      <w:r>
        <w:rPr>
          <w:w w:val="105"/>
          <w:sz w:val="27"/>
        </w:rPr>
        <w:t>Geriatr</w:t>
      </w:r>
      <w:r>
        <w:rPr>
          <w:spacing w:val="-20"/>
          <w:w w:val="105"/>
          <w:sz w:val="27"/>
        </w:rPr>
        <w:t> </w:t>
      </w:r>
      <w:r>
        <w:rPr>
          <w:w w:val="105"/>
          <w:sz w:val="27"/>
        </w:rPr>
        <w:t>Soc</w:t>
      </w:r>
      <w:r>
        <w:rPr>
          <w:spacing w:val="-19"/>
          <w:w w:val="105"/>
          <w:sz w:val="27"/>
        </w:rPr>
        <w:t> </w:t>
      </w:r>
      <w:r>
        <w:rPr>
          <w:w w:val="105"/>
          <w:sz w:val="27"/>
        </w:rPr>
        <w:t>1996;44:524–529.</w:t>
      </w:r>
    </w:p>
    <w:p>
      <w:pPr>
        <w:pStyle w:val="ListParagraph"/>
        <w:numPr>
          <w:ilvl w:val="0"/>
          <w:numId w:val="12"/>
        </w:numPr>
        <w:tabs>
          <w:tab w:pos="681" w:val="left" w:leader="none"/>
        </w:tabs>
        <w:spacing w:line="256" w:lineRule="auto" w:before="2" w:after="0"/>
        <w:ind w:left="680" w:right="133" w:hanging="436"/>
        <w:jc w:val="both"/>
        <w:rPr>
          <w:sz w:val="27"/>
        </w:rPr>
      </w:pPr>
      <w:r>
        <w:rPr>
          <w:sz w:val="27"/>
        </w:rPr>
        <w:t>Lonn E, Mathew J, Pogue J et al. Relationship of electrocardiographic left ventricular hypertrophy to mortality and cardiovascular morbidity in high-risk patients. Eur J Cardiovasc Prevent Rehab.</w:t>
      </w:r>
      <w:r>
        <w:rPr>
          <w:spacing w:val="1"/>
          <w:sz w:val="27"/>
        </w:rPr>
        <w:t> </w:t>
      </w:r>
      <w:r>
        <w:rPr>
          <w:sz w:val="27"/>
        </w:rPr>
        <w:t>2003;10:420–428.</w:t>
      </w:r>
    </w:p>
    <w:p>
      <w:pPr>
        <w:pStyle w:val="ListParagraph"/>
        <w:numPr>
          <w:ilvl w:val="0"/>
          <w:numId w:val="12"/>
        </w:numPr>
        <w:tabs>
          <w:tab w:pos="681" w:val="left" w:leader="none"/>
        </w:tabs>
        <w:spacing w:line="256" w:lineRule="auto" w:before="1" w:after="0"/>
        <w:ind w:left="680" w:right="128" w:hanging="436"/>
        <w:jc w:val="both"/>
        <w:rPr>
          <w:sz w:val="27"/>
        </w:rPr>
      </w:pPr>
      <w:r>
        <w:rPr>
          <w:sz w:val="27"/>
        </w:rPr>
        <w:t>Bacharova L, Schocken </w:t>
      </w:r>
      <w:r>
        <w:rPr>
          <w:spacing w:val="-4"/>
          <w:sz w:val="27"/>
        </w:rPr>
        <w:t>D, </w:t>
      </w:r>
      <w:r>
        <w:rPr>
          <w:sz w:val="27"/>
        </w:rPr>
        <w:t>Estes EH, Strauss </w:t>
      </w:r>
      <w:r>
        <w:rPr>
          <w:spacing w:val="-4"/>
          <w:sz w:val="27"/>
        </w:rPr>
        <w:t>D. </w:t>
      </w:r>
      <w:r>
        <w:rPr>
          <w:sz w:val="27"/>
        </w:rPr>
        <w:t>The role of </w:t>
      </w:r>
      <w:r>
        <w:rPr>
          <w:spacing w:val="-3"/>
          <w:sz w:val="27"/>
        </w:rPr>
        <w:t>ECG </w:t>
      </w:r>
      <w:r>
        <w:rPr>
          <w:sz w:val="27"/>
        </w:rPr>
        <w:t>in the diagnosis of left ventricular hypertrophy. Curr Cardiol </w:t>
      </w:r>
      <w:r>
        <w:rPr>
          <w:spacing w:val="-4"/>
          <w:sz w:val="27"/>
        </w:rPr>
        <w:t>Rev </w:t>
      </w:r>
      <w:r>
        <w:rPr>
          <w:sz w:val="27"/>
        </w:rPr>
        <w:t>2014;10:257–261.</w:t>
      </w:r>
    </w:p>
    <w:p>
      <w:pPr>
        <w:pStyle w:val="ListParagraph"/>
        <w:numPr>
          <w:ilvl w:val="0"/>
          <w:numId w:val="12"/>
        </w:numPr>
        <w:tabs>
          <w:tab w:pos="681" w:val="left" w:leader="none"/>
        </w:tabs>
        <w:spacing w:line="256" w:lineRule="auto" w:before="2" w:after="0"/>
        <w:ind w:left="680" w:right="128" w:hanging="436"/>
        <w:jc w:val="both"/>
        <w:rPr>
          <w:sz w:val="27"/>
        </w:rPr>
      </w:pPr>
      <w:r>
        <w:rPr>
          <w:sz w:val="27"/>
        </w:rPr>
        <w:t>Lehtonen </w:t>
      </w:r>
      <w:r>
        <w:rPr>
          <w:spacing w:val="-8"/>
          <w:sz w:val="27"/>
        </w:rPr>
        <w:t>AO, </w:t>
      </w:r>
      <w:r>
        <w:rPr>
          <w:sz w:val="27"/>
        </w:rPr>
        <w:t>Puukka </w:t>
      </w:r>
      <w:r>
        <w:rPr>
          <w:spacing w:val="-17"/>
          <w:sz w:val="27"/>
        </w:rPr>
        <w:t>P, </w:t>
      </w:r>
      <w:r>
        <w:rPr>
          <w:spacing w:val="-5"/>
          <w:sz w:val="27"/>
        </w:rPr>
        <w:t>Varis </w:t>
      </w:r>
      <w:r>
        <w:rPr>
          <w:sz w:val="27"/>
        </w:rPr>
        <w:t>J et al. Prevalence and prognosis of </w:t>
      </w:r>
      <w:r>
        <w:rPr>
          <w:spacing w:val="-3"/>
          <w:sz w:val="27"/>
        </w:rPr>
        <w:t>ECG </w:t>
      </w:r>
      <w:r>
        <w:rPr>
          <w:sz w:val="27"/>
        </w:rPr>
        <w:t>abnormalities in normotensive and hypertensive individuals. J Hypertens 2016;34:959–966.</w:t>
      </w:r>
    </w:p>
    <w:p>
      <w:pPr>
        <w:pStyle w:val="ListParagraph"/>
        <w:numPr>
          <w:ilvl w:val="0"/>
          <w:numId w:val="12"/>
        </w:numPr>
        <w:tabs>
          <w:tab w:pos="681" w:val="left" w:leader="none"/>
        </w:tabs>
        <w:spacing w:line="256" w:lineRule="auto" w:before="1" w:after="0"/>
        <w:ind w:left="680" w:right="136" w:hanging="436"/>
        <w:jc w:val="both"/>
        <w:rPr>
          <w:sz w:val="27"/>
        </w:rPr>
      </w:pPr>
      <w:r>
        <w:rPr>
          <w:sz w:val="27"/>
        </w:rPr>
        <w:t>Okin PM, Devereux RB, Jern S, et al. LIFE Study Investigators. Regression of electrocardiographic left ventricular hypertrophy during antihypertensive treatment and the prediction of major cardiovascular events. JAMA</w:t>
      </w:r>
      <w:r>
        <w:rPr>
          <w:spacing w:val="5"/>
          <w:sz w:val="27"/>
        </w:rPr>
        <w:t> </w:t>
      </w:r>
      <w:r>
        <w:rPr>
          <w:sz w:val="27"/>
        </w:rPr>
        <w:t>2004;292:2343–2349.</w:t>
      </w:r>
    </w:p>
    <w:p>
      <w:pPr>
        <w:pStyle w:val="ListParagraph"/>
        <w:numPr>
          <w:ilvl w:val="0"/>
          <w:numId w:val="12"/>
        </w:numPr>
        <w:tabs>
          <w:tab w:pos="681" w:val="left" w:leader="none"/>
        </w:tabs>
        <w:spacing w:line="256" w:lineRule="auto" w:before="1" w:after="0"/>
        <w:ind w:left="680" w:right="129" w:hanging="436"/>
        <w:jc w:val="both"/>
        <w:rPr>
          <w:sz w:val="27"/>
        </w:rPr>
      </w:pPr>
      <w:r>
        <w:rPr>
          <w:spacing w:val="-4"/>
          <w:sz w:val="27"/>
        </w:rPr>
        <w:t>Vanezis, </w:t>
      </w:r>
      <w:r>
        <w:rPr>
          <w:sz w:val="27"/>
        </w:rPr>
        <w:t>A. </w:t>
      </w:r>
      <w:r>
        <w:rPr>
          <w:spacing w:val="-10"/>
          <w:sz w:val="27"/>
        </w:rPr>
        <w:t>P., </w:t>
      </w:r>
      <w:r>
        <w:rPr>
          <w:sz w:val="27"/>
        </w:rPr>
        <w:t>&amp; Bhopal, R. (2008). </w:t>
      </w:r>
      <w:r>
        <w:rPr>
          <w:spacing w:val="-3"/>
          <w:sz w:val="27"/>
        </w:rPr>
        <w:t>Validity </w:t>
      </w:r>
      <w:r>
        <w:rPr>
          <w:sz w:val="27"/>
        </w:rPr>
        <w:t>of electrocardiographic classiﬁcation of left ventricular hypertrophy across adult ethnic groups with echocardiography as a standard. Journal </w:t>
      </w:r>
      <w:r>
        <w:rPr>
          <w:spacing w:val="-6"/>
          <w:sz w:val="27"/>
        </w:rPr>
        <w:t>of </w:t>
      </w:r>
      <w:r>
        <w:rPr>
          <w:sz w:val="27"/>
        </w:rPr>
        <w:t>Electrocardiology, 41(5),</w:t>
      </w:r>
      <w:r>
        <w:rPr>
          <w:spacing w:val="-1"/>
          <w:sz w:val="27"/>
        </w:rPr>
        <w:t> </w:t>
      </w:r>
      <w:r>
        <w:rPr>
          <w:sz w:val="27"/>
        </w:rPr>
        <w:t>404–412.</w:t>
      </w:r>
    </w:p>
    <w:p>
      <w:pPr>
        <w:pStyle w:val="ListParagraph"/>
        <w:numPr>
          <w:ilvl w:val="0"/>
          <w:numId w:val="12"/>
        </w:numPr>
        <w:tabs>
          <w:tab w:pos="681" w:val="left" w:leader="none"/>
        </w:tabs>
        <w:spacing w:line="256" w:lineRule="auto" w:before="2" w:after="0"/>
        <w:ind w:left="680" w:right="136" w:hanging="436"/>
        <w:jc w:val="both"/>
        <w:rPr>
          <w:sz w:val="27"/>
        </w:rPr>
      </w:pPr>
      <w:r>
        <w:rPr>
          <w:spacing w:val="-3"/>
          <w:w w:val="105"/>
          <w:sz w:val="27"/>
        </w:rPr>
        <w:t>Verdecchia</w:t>
      </w:r>
      <w:r>
        <w:rPr>
          <w:spacing w:val="-28"/>
          <w:w w:val="105"/>
          <w:sz w:val="27"/>
        </w:rPr>
        <w:t> </w:t>
      </w:r>
      <w:r>
        <w:rPr>
          <w:spacing w:val="-17"/>
          <w:w w:val="105"/>
          <w:sz w:val="27"/>
        </w:rPr>
        <w:t>P,</w:t>
      </w:r>
      <w:r>
        <w:rPr>
          <w:spacing w:val="-28"/>
          <w:w w:val="105"/>
          <w:sz w:val="27"/>
        </w:rPr>
        <w:t> </w:t>
      </w:r>
      <w:r>
        <w:rPr>
          <w:w w:val="105"/>
          <w:sz w:val="27"/>
        </w:rPr>
        <w:t>Angeli</w:t>
      </w:r>
      <w:r>
        <w:rPr>
          <w:spacing w:val="-28"/>
          <w:w w:val="105"/>
          <w:sz w:val="27"/>
        </w:rPr>
        <w:t> </w:t>
      </w:r>
      <w:r>
        <w:rPr>
          <w:w w:val="105"/>
          <w:sz w:val="27"/>
        </w:rPr>
        <w:t>F,</w:t>
      </w:r>
      <w:r>
        <w:rPr>
          <w:spacing w:val="-28"/>
          <w:w w:val="105"/>
          <w:sz w:val="27"/>
        </w:rPr>
        <w:t> </w:t>
      </w:r>
      <w:r>
        <w:rPr>
          <w:w w:val="105"/>
          <w:sz w:val="27"/>
        </w:rPr>
        <w:t>Borgioni</w:t>
      </w:r>
      <w:r>
        <w:rPr>
          <w:spacing w:val="-28"/>
          <w:w w:val="105"/>
          <w:sz w:val="27"/>
        </w:rPr>
        <w:t> </w:t>
      </w:r>
      <w:r>
        <w:rPr>
          <w:w w:val="105"/>
          <w:sz w:val="27"/>
        </w:rPr>
        <w:t>C.</w:t>
      </w:r>
      <w:r>
        <w:rPr>
          <w:spacing w:val="-28"/>
          <w:w w:val="105"/>
          <w:sz w:val="27"/>
        </w:rPr>
        <w:t> </w:t>
      </w:r>
      <w:r>
        <w:rPr>
          <w:w w:val="105"/>
          <w:sz w:val="27"/>
        </w:rPr>
        <w:t>et</w:t>
      </w:r>
      <w:r>
        <w:rPr>
          <w:spacing w:val="-28"/>
          <w:w w:val="105"/>
          <w:sz w:val="27"/>
        </w:rPr>
        <w:t> </w:t>
      </w:r>
      <w:r>
        <w:rPr>
          <w:w w:val="105"/>
          <w:sz w:val="27"/>
        </w:rPr>
        <w:t>al.</w:t>
      </w:r>
      <w:r>
        <w:rPr>
          <w:spacing w:val="-28"/>
          <w:w w:val="105"/>
          <w:sz w:val="27"/>
        </w:rPr>
        <w:t> </w:t>
      </w:r>
      <w:r>
        <w:rPr>
          <w:w w:val="105"/>
          <w:sz w:val="27"/>
        </w:rPr>
        <w:t>Changes</w:t>
      </w:r>
      <w:r>
        <w:rPr>
          <w:spacing w:val="-28"/>
          <w:w w:val="105"/>
          <w:sz w:val="27"/>
        </w:rPr>
        <w:t> </w:t>
      </w:r>
      <w:r>
        <w:rPr>
          <w:w w:val="105"/>
          <w:sz w:val="27"/>
        </w:rPr>
        <w:t>in</w:t>
      </w:r>
      <w:r>
        <w:rPr>
          <w:spacing w:val="-28"/>
          <w:w w:val="105"/>
          <w:sz w:val="27"/>
        </w:rPr>
        <w:t> </w:t>
      </w:r>
      <w:r>
        <w:rPr>
          <w:w w:val="105"/>
          <w:sz w:val="27"/>
        </w:rPr>
        <w:t>cardiovascular risk</w:t>
      </w:r>
      <w:r>
        <w:rPr>
          <w:spacing w:val="-7"/>
          <w:w w:val="105"/>
          <w:sz w:val="27"/>
        </w:rPr>
        <w:t> </w:t>
      </w:r>
      <w:r>
        <w:rPr>
          <w:spacing w:val="-3"/>
          <w:w w:val="105"/>
          <w:sz w:val="27"/>
        </w:rPr>
        <w:t>by</w:t>
      </w:r>
      <w:r>
        <w:rPr>
          <w:spacing w:val="-7"/>
          <w:w w:val="105"/>
          <w:sz w:val="27"/>
        </w:rPr>
        <w:t> </w:t>
      </w:r>
      <w:r>
        <w:rPr>
          <w:w w:val="105"/>
          <w:sz w:val="27"/>
        </w:rPr>
        <w:t>reduction</w:t>
      </w:r>
      <w:r>
        <w:rPr>
          <w:spacing w:val="-7"/>
          <w:w w:val="105"/>
          <w:sz w:val="27"/>
        </w:rPr>
        <w:t> </w:t>
      </w:r>
      <w:r>
        <w:rPr>
          <w:w w:val="105"/>
          <w:sz w:val="27"/>
        </w:rPr>
        <w:t>of</w:t>
      </w:r>
      <w:r>
        <w:rPr>
          <w:spacing w:val="-6"/>
          <w:w w:val="105"/>
          <w:sz w:val="27"/>
        </w:rPr>
        <w:t> </w:t>
      </w:r>
      <w:r>
        <w:rPr>
          <w:w w:val="105"/>
          <w:sz w:val="27"/>
        </w:rPr>
        <w:t>left</w:t>
      </w:r>
      <w:r>
        <w:rPr>
          <w:spacing w:val="-7"/>
          <w:w w:val="105"/>
          <w:sz w:val="27"/>
        </w:rPr>
        <w:t> </w:t>
      </w:r>
      <w:r>
        <w:rPr>
          <w:w w:val="105"/>
          <w:sz w:val="27"/>
        </w:rPr>
        <w:t>ventricular</w:t>
      </w:r>
      <w:r>
        <w:rPr>
          <w:spacing w:val="-7"/>
          <w:w w:val="105"/>
          <w:sz w:val="27"/>
        </w:rPr>
        <w:t> </w:t>
      </w:r>
      <w:r>
        <w:rPr>
          <w:w w:val="105"/>
          <w:sz w:val="27"/>
        </w:rPr>
        <w:t>mass</w:t>
      </w:r>
      <w:r>
        <w:rPr>
          <w:spacing w:val="-7"/>
          <w:w w:val="105"/>
          <w:sz w:val="27"/>
        </w:rPr>
        <w:t> </w:t>
      </w:r>
      <w:r>
        <w:rPr>
          <w:w w:val="105"/>
          <w:sz w:val="27"/>
        </w:rPr>
        <w:t>in</w:t>
      </w:r>
      <w:r>
        <w:rPr>
          <w:spacing w:val="-6"/>
          <w:w w:val="105"/>
          <w:sz w:val="27"/>
        </w:rPr>
        <w:t> </w:t>
      </w:r>
      <w:r>
        <w:rPr>
          <w:w w:val="105"/>
          <w:sz w:val="27"/>
        </w:rPr>
        <w:t>hypertension:</w:t>
      </w:r>
      <w:r>
        <w:rPr>
          <w:spacing w:val="-7"/>
          <w:w w:val="105"/>
          <w:sz w:val="27"/>
        </w:rPr>
        <w:t> </w:t>
      </w:r>
      <w:r>
        <w:rPr>
          <w:w w:val="105"/>
          <w:sz w:val="27"/>
        </w:rPr>
        <w:t>a</w:t>
      </w:r>
      <w:r>
        <w:rPr>
          <w:spacing w:val="-7"/>
          <w:w w:val="105"/>
          <w:sz w:val="27"/>
        </w:rPr>
        <w:t> </w:t>
      </w:r>
      <w:r>
        <w:rPr>
          <w:w w:val="105"/>
          <w:sz w:val="27"/>
        </w:rPr>
        <w:t>meta- analysis.</w:t>
      </w:r>
      <w:r>
        <w:rPr>
          <w:spacing w:val="-30"/>
          <w:w w:val="105"/>
          <w:sz w:val="27"/>
        </w:rPr>
        <w:t> </w:t>
      </w:r>
      <w:r>
        <w:rPr>
          <w:w w:val="105"/>
          <w:sz w:val="27"/>
        </w:rPr>
        <w:t>American</w:t>
      </w:r>
      <w:r>
        <w:rPr>
          <w:spacing w:val="-29"/>
          <w:w w:val="105"/>
          <w:sz w:val="27"/>
        </w:rPr>
        <w:t> </w:t>
      </w:r>
      <w:r>
        <w:rPr>
          <w:w w:val="105"/>
          <w:sz w:val="27"/>
        </w:rPr>
        <w:t>Journal</w:t>
      </w:r>
      <w:r>
        <w:rPr>
          <w:spacing w:val="-29"/>
          <w:w w:val="105"/>
          <w:sz w:val="27"/>
        </w:rPr>
        <w:t> </w:t>
      </w:r>
      <w:r>
        <w:rPr>
          <w:w w:val="105"/>
          <w:sz w:val="27"/>
        </w:rPr>
        <w:t>of</w:t>
      </w:r>
      <w:r>
        <w:rPr>
          <w:spacing w:val="-30"/>
          <w:w w:val="105"/>
          <w:sz w:val="27"/>
        </w:rPr>
        <w:t> </w:t>
      </w:r>
      <w:r>
        <w:rPr>
          <w:w w:val="105"/>
          <w:sz w:val="27"/>
        </w:rPr>
        <w:t>Hypertension.</w:t>
      </w:r>
      <w:r>
        <w:rPr>
          <w:spacing w:val="-29"/>
          <w:w w:val="105"/>
          <w:sz w:val="27"/>
        </w:rPr>
        <w:t> </w:t>
      </w:r>
      <w:r>
        <w:rPr>
          <w:w w:val="105"/>
          <w:sz w:val="27"/>
        </w:rPr>
        <w:t>2003.</w:t>
      </w:r>
      <w:r>
        <w:rPr>
          <w:spacing w:val="-29"/>
          <w:w w:val="105"/>
          <w:sz w:val="27"/>
        </w:rPr>
        <w:t> </w:t>
      </w:r>
      <w:r>
        <w:rPr>
          <w:w w:val="105"/>
          <w:sz w:val="27"/>
        </w:rPr>
        <w:t>16(11),</w:t>
      </w:r>
      <w:r>
        <w:rPr>
          <w:spacing w:val="-29"/>
          <w:w w:val="105"/>
          <w:sz w:val="27"/>
        </w:rPr>
        <w:t> </w:t>
      </w:r>
      <w:r>
        <w:rPr>
          <w:w w:val="105"/>
          <w:sz w:val="27"/>
        </w:rPr>
        <w:t>895–899.</w:t>
      </w:r>
    </w:p>
    <w:p>
      <w:pPr>
        <w:spacing w:after="0" w:line="256" w:lineRule="auto"/>
        <w:jc w:val="both"/>
        <w:rPr>
          <w:sz w:val="27"/>
        </w:rPr>
        <w:sectPr>
          <w:pgSz w:w="11900" w:h="16840"/>
          <w:pgMar w:top="0" w:bottom="280" w:left="1420" w:right="1520"/>
        </w:sectPr>
      </w:pPr>
    </w:p>
    <w:p>
      <w:pPr>
        <w:pStyle w:val="ListParagraph"/>
        <w:numPr>
          <w:ilvl w:val="0"/>
          <w:numId w:val="12"/>
        </w:numPr>
        <w:tabs>
          <w:tab w:pos="681" w:val="left" w:leader="none"/>
        </w:tabs>
        <w:spacing w:line="256" w:lineRule="auto" w:before="16" w:after="0"/>
        <w:ind w:left="680" w:right="136" w:hanging="436"/>
        <w:jc w:val="both"/>
        <w:rPr>
          <w:sz w:val="27"/>
        </w:rPr>
      </w:pPr>
      <w:r>
        <w:rPr>
          <w:sz w:val="27"/>
        </w:rPr>
        <w:t>Sundstrom J, Lind L, Arnlov J et al. Echocardiographic and electrocardiographic diagnoses of left ventricular hypertrophy predict mortality independently of each other in a population of elderly men. Circulation</w:t>
      </w:r>
      <w:r>
        <w:rPr>
          <w:spacing w:val="7"/>
          <w:sz w:val="27"/>
        </w:rPr>
        <w:t> </w:t>
      </w:r>
      <w:r>
        <w:rPr>
          <w:sz w:val="27"/>
        </w:rPr>
        <w:t>2001;103:2346–51.</w:t>
      </w:r>
    </w:p>
    <w:p>
      <w:pPr>
        <w:pStyle w:val="ListParagraph"/>
        <w:numPr>
          <w:ilvl w:val="0"/>
          <w:numId w:val="12"/>
        </w:numPr>
        <w:tabs>
          <w:tab w:pos="681" w:val="left" w:leader="none"/>
        </w:tabs>
        <w:spacing w:line="256" w:lineRule="auto" w:before="2" w:after="0"/>
        <w:ind w:left="680" w:right="128" w:hanging="436"/>
        <w:jc w:val="both"/>
        <w:rPr>
          <w:sz w:val="27"/>
        </w:rPr>
      </w:pPr>
      <w:r>
        <w:rPr>
          <w:sz w:val="27"/>
        </w:rPr>
        <w:t>Palmieri </w:t>
      </w:r>
      <w:r>
        <w:rPr>
          <w:spacing w:val="-11"/>
          <w:sz w:val="27"/>
        </w:rPr>
        <w:t>V, </w:t>
      </w:r>
      <w:r>
        <w:rPr>
          <w:sz w:val="27"/>
        </w:rPr>
        <w:t>Dahlof B, DeQuattro V et al. Reliability of echocardiographic assessment of left ventricular structure </w:t>
      </w:r>
      <w:r>
        <w:rPr>
          <w:spacing w:val="-4"/>
          <w:sz w:val="27"/>
        </w:rPr>
        <w:t>and </w:t>
      </w:r>
      <w:r>
        <w:rPr>
          <w:sz w:val="27"/>
        </w:rPr>
        <w:t>function: the </w:t>
      </w:r>
      <w:r>
        <w:rPr>
          <w:spacing w:val="-3"/>
          <w:sz w:val="27"/>
        </w:rPr>
        <w:t>PRESERVE </w:t>
      </w:r>
      <w:r>
        <w:rPr>
          <w:sz w:val="27"/>
        </w:rPr>
        <w:t>study. Prospective Randomized Study Evaluating Regression of </w:t>
      </w:r>
      <w:r>
        <w:rPr>
          <w:spacing w:val="-3"/>
          <w:sz w:val="27"/>
        </w:rPr>
        <w:t>Ventricular </w:t>
      </w:r>
      <w:r>
        <w:rPr>
          <w:sz w:val="27"/>
        </w:rPr>
        <w:t>Enlargement. J Am Coll Cardiol 1999;34:1625–32.</w:t>
      </w:r>
    </w:p>
    <w:p>
      <w:pPr>
        <w:pStyle w:val="ListParagraph"/>
        <w:numPr>
          <w:ilvl w:val="0"/>
          <w:numId w:val="12"/>
        </w:numPr>
        <w:tabs>
          <w:tab w:pos="681" w:val="left" w:leader="none"/>
        </w:tabs>
        <w:spacing w:line="256" w:lineRule="auto" w:before="2" w:after="0"/>
        <w:ind w:left="680" w:right="131" w:hanging="436"/>
        <w:jc w:val="both"/>
        <w:rPr>
          <w:sz w:val="27"/>
        </w:rPr>
      </w:pPr>
      <w:r>
        <w:rPr>
          <w:sz w:val="27"/>
        </w:rPr>
        <w:t>Levy </w:t>
      </w:r>
      <w:r>
        <w:rPr>
          <w:spacing w:val="-4"/>
          <w:sz w:val="27"/>
        </w:rPr>
        <w:t>D, </w:t>
      </w:r>
      <w:r>
        <w:rPr>
          <w:sz w:val="27"/>
        </w:rPr>
        <w:t>Garrison RJ, Savage DO et al. Prognostic implications of echocardiographically determined left ventricular mass in </w:t>
      </w:r>
      <w:r>
        <w:rPr>
          <w:spacing w:val="-5"/>
          <w:sz w:val="27"/>
        </w:rPr>
        <w:t>the </w:t>
      </w:r>
      <w:r>
        <w:rPr>
          <w:sz w:val="27"/>
        </w:rPr>
        <w:t>Framingham Heart Study. N Engl J Med</w:t>
      </w:r>
      <w:r>
        <w:rPr>
          <w:spacing w:val="6"/>
          <w:sz w:val="27"/>
        </w:rPr>
        <w:t> </w:t>
      </w:r>
      <w:r>
        <w:rPr>
          <w:sz w:val="27"/>
        </w:rPr>
        <w:t>1990;322:1561–6.</w:t>
      </w:r>
    </w:p>
    <w:p>
      <w:pPr>
        <w:pStyle w:val="ListParagraph"/>
        <w:numPr>
          <w:ilvl w:val="0"/>
          <w:numId w:val="12"/>
        </w:numPr>
        <w:tabs>
          <w:tab w:pos="681" w:val="left" w:leader="none"/>
        </w:tabs>
        <w:spacing w:line="256" w:lineRule="auto" w:before="1" w:after="0"/>
        <w:ind w:left="680" w:right="129" w:hanging="436"/>
        <w:jc w:val="both"/>
        <w:rPr>
          <w:sz w:val="27"/>
        </w:rPr>
      </w:pPr>
      <w:r>
        <w:rPr>
          <w:sz w:val="27"/>
        </w:rPr>
        <w:t>Perrone-Filardi </w:t>
      </w:r>
      <w:r>
        <w:rPr>
          <w:spacing w:val="-17"/>
          <w:sz w:val="27"/>
        </w:rPr>
        <w:t>P, </w:t>
      </w:r>
      <w:r>
        <w:rPr>
          <w:sz w:val="27"/>
        </w:rPr>
        <w:t>Coca A, Galderisi M et al. Non-invasive cardiovascular imaging for evaluating subclinical target organ damage in hypertensive patients: a consensus paper from the European Association of Cardiovascular Imaging </w:t>
      </w:r>
      <w:r>
        <w:rPr>
          <w:spacing w:val="-3"/>
          <w:sz w:val="27"/>
        </w:rPr>
        <w:t>(EACVI), </w:t>
      </w:r>
      <w:r>
        <w:rPr>
          <w:sz w:val="27"/>
        </w:rPr>
        <w:t>the European Society of Cardiology Council on Hypertension, and the European Society of Hypertension (ESH). Eur Heart J Cardiovasc Imaging 2017;18:945–960.</w:t>
      </w:r>
    </w:p>
    <w:p>
      <w:pPr>
        <w:pStyle w:val="ListParagraph"/>
        <w:numPr>
          <w:ilvl w:val="0"/>
          <w:numId w:val="12"/>
        </w:numPr>
        <w:tabs>
          <w:tab w:pos="681" w:val="left" w:leader="none"/>
        </w:tabs>
        <w:spacing w:line="256" w:lineRule="auto" w:before="3" w:after="0"/>
        <w:ind w:left="680" w:right="130" w:hanging="436"/>
        <w:jc w:val="both"/>
        <w:rPr>
          <w:sz w:val="27"/>
        </w:rPr>
      </w:pPr>
      <w:r>
        <w:rPr>
          <w:w w:val="105"/>
          <w:sz w:val="27"/>
        </w:rPr>
        <w:t>Mourad J. J. et al. Screening of unrecognized peripheral arterial </w:t>
      </w:r>
      <w:r>
        <w:rPr>
          <w:sz w:val="27"/>
        </w:rPr>
        <w:t>disease </w:t>
      </w:r>
      <w:r>
        <w:rPr>
          <w:spacing w:val="-4"/>
          <w:sz w:val="27"/>
        </w:rPr>
        <w:t>(PAD) </w:t>
      </w:r>
      <w:r>
        <w:rPr>
          <w:sz w:val="27"/>
        </w:rPr>
        <w:t>using ankle-brachial index in high cardiovascular</w:t>
      </w:r>
      <w:r>
        <w:rPr>
          <w:spacing w:val="-26"/>
          <w:sz w:val="27"/>
        </w:rPr>
        <w:t> </w:t>
      </w:r>
      <w:r>
        <w:rPr>
          <w:sz w:val="27"/>
        </w:rPr>
        <w:t>risk </w:t>
      </w:r>
      <w:r>
        <w:rPr>
          <w:w w:val="105"/>
          <w:sz w:val="27"/>
        </w:rPr>
        <w:t>patients</w:t>
      </w:r>
      <w:r>
        <w:rPr>
          <w:spacing w:val="-45"/>
          <w:w w:val="105"/>
          <w:sz w:val="27"/>
        </w:rPr>
        <w:t> </w:t>
      </w:r>
      <w:r>
        <w:rPr>
          <w:w w:val="105"/>
          <w:sz w:val="27"/>
        </w:rPr>
        <w:t>free</w:t>
      </w:r>
      <w:r>
        <w:rPr>
          <w:spacing w:val="-44"/>
          <w:w w:val="105"/>
          <w:sz w:val="27"/>
        </w:rPr>
        <w:t> </w:t>
      </w:r>
      <w:r>
        <w:rPr>
          <w:w w:val="105"/>
          <w:sz w:val="27"/>
        </w:rPr>
        <w:t>from</w:t>
      </w:r>
      <w:r>
        <w:rPr>
          <w:spacing w:val="-44"/>
          <w:w w:val="105"/>
          <w:sz w:val="27"/>
        </w:rPr>
        <w:t> </w:t>
      </w:r>
      <w:r>
        <w:rPr>
          <w:w w:val="105"/>
          <w:sz w:val="27"/>
        </w:rPr>
        <w:t>symptomatic</w:t>
      </w:r>
      <w:r>
        <w:rPr>
          <w:spacing w:val="-45"/>
          <w:w w:val="105"/>
          <w:sz w:val="27"/>
        </w:rPr>
        <w:t> </w:t>
      </w:r>
      <w:r>
        <w:rPr>
          <w:spacing w:val="-7"/>
          <w:w w:val="105"/>
          <w:sz w:val="27"/>
        </w:rPr>
        <w:t>PAD</w:t>
      </w:r>
      <w:r>
        <w:rPr>
          <w:spacing w:val="-44"/>
          <w:w w:val="105"/>
          <w:sz w:val="27"/>
        </w:rPr>
        <w:t> </w:t>
      </w:r>
      <w:r>
        <w:rPr>
          <w:w w:val="105"/>
          <w:sz w:val="27"/>
        </w:rPr>
        <w:t>//Journal</w:t>
      </w:r>
      <w:r>
        <w:rPr>
          <w:spacing w:val="-44"/>
          <w:w w:val="105"/>
          <w:sz w:val="27"/>
        </w:rPr>
        <w:t> </w:t>
      </w:r>
      <w:r>
        <w:rPr>
          <w:w w:val="105"/>
          <w:sz w:val="27"/>
        </w:rPr>
        <w:t>of</w:t>
      </w:r>
      <w:r>
        <w:rPr>
          <w:spacing w:val="-45"/>
          <w:w w:val="105"/>
          <w:sz w:val="27"/>
        </w:rPr>
        <w:t> </w:t>
      </w:r>
      <w:r>
        <w:rPr>
          <w:w w:val="105"/>
          <w:sz w:val="27"/>
        </w:rPr>
        <w:t>vascular</w:t>
      </w:r>
      <w:r>
        <w:rPr>
          <w:spacing w:val="-44"/>
          <w:w w:val="105"/>
          <w:sz w:val="27"/>
        </w:rPr>
        <w:t> </w:t>
      </w:r>
      <w:r>
        <w:rPr>
          <w:w w:val="105"/>
          <w:sz w:val="27"/>
        </w:rPr>
        <w:t>surgery.</w:t>
      </w:r>
      <w:r>
        <w:rPr>
          <w:spacing w:val="-44"/>
          <w:w w:val="105"/>
          <w:sz w:val="27"/>
        </w:rPr>
        <w:t> </w:t>
      </w:r>
      <w:r>
        <w:rPr>
          <w:w w:val="105"/>
          <w:sz w:val="27"/>
        </w:rPr>
        <w:t>– 2009. – Т. 50. – №. 3. – С.</w:t>
      </w:r>
      <w:r>
        <w:rPr>
          <w:spacing w:val="-33"/>
          <w:w w:val="105"/>
          <w:sz w:val="27"/>
        </w:rPr>
        <w:t> </w:t>
      </w:r>
      <w:r>
        <w:rPr>
          <w:w w:val="105"/>
          <w:sz w:val="27"/>
        </w:rPr>
        <w:t>572-580.</w:t>
      </w:r>
    </w:p>
    <w:p>
      <w:pPr>
        <w:pStyle w:val="ListParagraph"/>
        <w:numPr>
          <w:ilvl w:val="0"/>
          <w:numId w:val="12"/>
        </w:numPr>
        <w:tabs>
          <w:tab w:pos="681" w:val="left" w:leader="none"/>
        </w:tabs>
        <w:spacing w:line="256" w:lineRule="auto" w:before="2" w:after="0"/>
        <w:ind w:left="680" w:right="130" w:hanging="436"/>
        <w:jc w:val="both"/>
        <w:rPr>
          <w:sz w:val="27"/>
        </w:rPr>
      </w:pPr>
      <w:r>
        <w:rPr>
          <w:w w:val="105"/>
          <w:sz w:val="27"/>
        </w:rPr>
        <w:t>Vlachopoulos, C., Aznaouridis, K., Terentes-Printzios, D., Ioakeimidis, N., &amp; Stefanadis, C. (2012). Prediction of </w:t>
      </w:r>
      <w:r>
        <w:rPr>
          <w:sz w:val="27"/>
        </w:rPr>
        <w:t>Cardiovascular</w:t>
      </w:r>
      <w:r>
        <w:rPr>
          <w:spacing w:val="-11"/>
          <w:sz w:val="27"/>
        </w:rPr>
        <w:t> </w:t>
      </w:r>
      <w:r>
        <w:rPr>
          <w:sz w:val="27"/>
        </w:rPr>
        <w:t>Events</w:t>
      </w:r>
      <w:r>
        <w:rPr>
          <w:spacing w:val="-12"/>
          <w:sz w:val="27"/>
        </w:rPr>
        <w:t> </w:t>
      </w:r>
      <w:r>
        <w:rPr>
          <w:sz w:val="27"/>
        </w:rPr>
        <w:t>and</w:t>
      </w:r>
      <w:r>
        <w:rPr>
          <w:spacing w:val="-11"/>
          <w:sz w:val="27"/>
        </w:rPr>
        <w:t> </w:t>
      </w:r>
      <w:r>
        <w:rPr>
          <w:sz w:val="27"/>
        </w:rPr>
        <w:t>All-Cause</w:t>
      </w:r>
      <w:r>
        <w:rPr>
          <w:spacing w:val="-11"/>
          <w:sz w:val="27"/>
        </w:rPr>
        <w:t> </w:t>
      </w:r>
      <w:r>
        <w:rPr>
          <w:sz w:val="27"/>
        </w:rPr>
        <w:t>Mortality</w:t>
      </w:r>
      <w:r>
        <w:rPr>
          <w:spacing w:val="-11"/>
          <w:sz w:val="27"/>
        </w:rPr>
        <w:t> </w:t>
      </w:r>
      <w:r>
        <w:rPr>
          <w:sz w:val="27"/>
        </w:rPr>
        <w:t>With</w:t>
      </w:r>
      <w:r>
        <w:rPr>
          <w:spacing w:val="-11"/>
          <w:sz w:val="27"/>
        </w:rPr>
        <w:t> </w:t>
      </w:r>
      <w:r>
        <w:rPr>
          <w:sz w:val="27"/>
        </w:rPr>
        <w:t>Brachial-Ankle </w:t>
      </w:r>
      <w:r>
        <w:rPr>
          <w:w w:val="105"/>
          <w:sz w:val="27"/>
        </w:rPr>
        <w:t>Elasticity Index: A Systematic </w:t>
      </w:r>
      <w:r>
        <w:rPr>
          <w:spacing w:val="-2"/>
          <w:w w:val="105"/>
          <w:sz w:val="27"/>
        </w:rPr>
        <w:t>Review </w:t>
      </w:r>
      <w:r>
        <w:rPr>
          <w:w w:val="105"/>
          <w:sz w:val="27"/>
        </w:rPr>
        <w:t>and Meta-Analysis. Hypertension, 60(2),</w:t>
      </w:r>
      <w:r>
        <w:rPr>
          <w:spacing w:val="-12"/>
          <w:w w:val="105"/>
          <w:sz w:val="27"/>
        </w:rPr>
        <w:t> </w:t>
      </w:r>
      <w:r>
        <w:rPr>
          <w:w w:val="105"/>
          <w:sz w:val="27"/>
        </w:rPr>
        <w:t>556–562.</w:t>
      </w:r>
    </w:p>
    <w:p>
      <w:pPr>
        <w:pStyle w:val="ListParagraph"/>
        <w:numPr>
          <w:ilvl w:val="0"/>
          <w:numId w:val="12"/>
        </w:numPr>
        <w:tabs>
          <w:tab w:pos="681" w:val="left" w:leader="none"/>
        </w:tabs>
        <w:spacing w:line="256" w:lineRule="auto" w:before="2" w:after="0"/>
        <w:ind w:left="680" w:right="132" w:hanging="436"/>
        <w:jc w:val="both"/>
        <w:rPr>
          <w:sz w:val="27"/>
        </w:rPr>
      </w:pPr>
      <w:r>
        <w:rPr>
          <w:sz w:val="27"/>
        </w:rPr>
        <w:t>Breslin DJ, Gifford </w:t>
      </w:r>
      <w:r>
        <w:rPr>
          <w:spacing w:val="-8"/>
          <w:sz w:val="27"/>
        </w:rPr>
        <w:t>RW </w:t>
      </w:r>
      <w:r>
        <w:rPr>
          <w:spacing w:val="-4"/>
          <w:sz w:val="27"/>
        </w:rPr>
        <w:t>Jr, </w:t>
      </w:r>
      <w:r>
        <w:rPr>
          <w:sz w:val="27"/>
        </w:rPr>
        <w:t>Fairbairn JF II, </w:t>
      </w:r>
      <w:r>
        <w:rPr>
          <w:spacing w:val="-3"/>
          <w:sz w:val="27"/>
        </w:rPr>
        <w:t>Kearns </w:t>
      </w:r>
      <w:r>
        <w:rPr>
          <w:spacing w:val="-12"/>
          <w:sz w:val="27"/>
        </w:rPr>
        <w:t>TP. </w:t>
      </w:r>
      <w:r>
        <w:rPr>
          <w:sz w:val="27"/>
        </w:rPr>
        <w:t>Prognostic importance of ophthalmoscopic ﬁndings in essential hypertension. JAMA</w:t>
      </w:r>
      <w:r>
        <w:rPr>
          <w:spacing w:val="-1"/>
          <w:sz w:val="27"/>
        </w:rPr>
        <w:t> </w:t>
      </w:r>
      <w:r>
        <w:rPr>
          <w:sz w:val="27"/>
        </w:rPr>
        <w:t>1966;195:335–338.</w:t>
      </w:r>
    </w:p>
    <w:p>
      <w:pPr>
        <w:pStyle w:val="ListParagraph"/>
        <w:numPr>
          <w:ilvl w:val="0"/>
          <w:numId w:val="12"/>
        </w:numPr>
        <w:tabs>
          <w:tab w:pos="681" w:val="left" w:leader="none"/>
        </w:tabs>
        <w:spacing w:line="256" w:lineRule="auto" w:before="1" w:after="0"/>
        <w:ind w:left="680" w:right="141" w:hanging="436"/>
        <w:jc w:val="both"/>
        <w:rPr>
          <w:sz w:val="27"/>
        </w:rPr>
      </w:pPr>
      <w:r>
        <w:rPr>
          <w:w w:val="105"/>
          <w:sz w:val="27"/>
        </w:rPr>
        <w:t>Fuchs</w:t>
      </w:r>
      <w:r>
        <w:rPr>
          <w:spacing w:val="-27"/>
          <w:w w:val="105"/>
          <w:sz w:val="27"/>
        </w:rPr>
        <w:t> </w:t>
      </w:r>
      <w:r>
        <w:rPr>
          <w:w w:val="105"/>
          <w:sz w:val="27"/>
        </w:rPr>
        <w:t>F.</w:t>
      </w:r>
      <w:r>
        <w:rPr>
          <w:spacing w:val="-27"/>
          <w:w w:val="105"/>
          <w:sz w:val="27"/>
        </w:rPr>
        <w:t> </w:t>
      </w:r>
      <w:r>
        <w:rPr>
          <w:spacing w:val="-4"/>
          <w:w w:val="105"/>
          <w:sz w:val="27"/>
        </w:rPr>
        <w:t>D.</w:t>
      </w:r>
      <w:r>
        <w:rPr>
          <w:spacing w:val="-26"/>
          <w:w w:val="105"/>
          <w:sz w:val="27"/>
        </w:rPr>
        <w:t> </w:t>
      </w:r>
      <w:r>
        <w:rPr>
          <w:w w:val="105"/>
          <w:sz w:val="27"/>
        </w:rPr>
        <w:t>et</w:t>
      </w:r>
      <w:r>
        <w:rPr>
          <w:spacing w:val="-27"/>
          <w:w w:val="105"/>
          <w:sz w:val="27"/>
        </w:rPr>
        <w:t> </w:t>
      </w:r>
      <w:r>
        <w:rPr>
          <w:w w:val="105"/>
          <w:sz w:val="27"/>
        </w:rPr>
        <w:t>al.</w:t>
      </w:r>
      <w:r>
        <w:rPr>
          <w:spacing w:val="-26"/>
          <w:w w:val="105"/>
          <w:sz w:val="27"/>
        </w:rPr>
        <w:t> </w:t>
      </w:r>
      <w:r>
        <w:rPr>
          <w:w w:val="105"/>
          <w:sz w:val="27"/>
        </w:rPr>
        <w:t>Study</w:t>
      </w:r>
      <w:r>
        <w:rPr>
          <w:spacing w:val="-27"/>
          <w:w w:val="105"/>
          <w:sz w:val="27"/>
        </w:rPr>
        <w:t> </w:t>
      </w:r>
      <w:r>
        <w:rPr>
          <w:w w:val="105"/>
          <w:sz w:val="27"/>
        </w:rPr>
        <w:t>of</w:t>
      </w:r>
      <w:r>
        <w:rPr>
          <w:spacing w:val="-26"/>
          <w:w w:val="105"/>
          <w:sz w:val="27"/>
        </w:rPr>
        <w:t> </w:t>
      </w:r>
      <w:r>
        <w:rPr>
          <w:w w:val="105"/>
          <w:sz w:val="27"/>
        </w:rPr>
        <w:t>the</w:t>
      </w:r>
      <w:r>
        <w:rPr>
          <w:spacing w:val="-27"/>
          <w:w w:val="105"/>
          <w:sz w:val="27"/>
        </w:rPr>
        <w:t> </w:t>
      </w:r>
      <w:r>
        <w:rPr>
          <w:w w:val="105"/>
          <w:sz w:val="27"/>
        </w:rPr>
        <w:t>usefulness</w:t>
      </w:r>
      <w:r>
        <w:rPr>
          <w:spacing w:val="-26"/>
          <w:w w:val="105"/>
          <w:sz w:val="27"/>
        </w:rPr>
        <w:t> </w:t>
      </w:r>
      <w:r>
        <w:rPr>
          <w:w w:val="105"/>
          <w:sz w:val="27"/>
        </w:rPr>
        <w:t>of</w:t>
      </w:r>
      <w:r>
        <w:rPr>
          <w:spacing w:val="-27"/>
          <w:w w:val="105"/>
          <w:sz w:val="27"/>
        </w:rPr>
        <w:t> </w:t>
      </w:r>
      <w:r>
        <w:rPr>
          <w:w w:val="105"/>
          <w:sz w:val="27"/>
        </w:rPr>
        <w:t>optic</w:t>
      </w:r>
      <w:r>
        <w:rPr>
          <w:spacing w:val="-26"/>
          <w:w w:val="105"/>
          <w:sz w:val="27"/>
        </w:rPr>
        <w:t> </w:t>
      </w:r>
      <w:r>
        <w:rPr>
          <w:w w:val="105"/>
          <w:sz w:val="27"/>
        </w:rPr>
        <w:t>fundi</w:t>
      </w:r>
      <w:r>
        <w:rPr>
          <w:spacing w:val="-27"/>
          <w:w w:val="105"/>
          <w:sz w:val="27"/>
        </w:rPr>
        <w:t> </w:t>
      </w:r>
      <w:r>
        <w:rPr>
          <w:w w:val="105"/>
          <w:sz w:val="27"/>
        </w:rPr>
        <w:t>examination of patients with hypertension in a clinical setting //Journal </w:t>
      </w:r>
      <w:r>
        <w:rPr>
          <w:spacing w:val="-7"/>
          <w:w w:val="105"/>
          <w:sz w:val="27"/>
        </w:rPr>
        <w:t>of </w:t>
      </w:r>
      <w:r>
        <w:rPr>
          <w:w w:val="105"/>
          <w:sz w:val="27"/>
        </w:rPr>
        <w:t>human hypertension. – 1995. – Т. 9. – №. </w:t>
      </w:r>
      <w:r>
        <w:rPr>
          <w:spacing w:val="-14"/>
          <w:w w:val="105"/>
          <w:sz w:val="27"/>
        </w:rPr>
        <w:t>7. </w:t>
      </w:r>
      <w:r>
        <w:rPr>
          <w:w w:val="105"/>
          <w:sz w:val="27"/>
        </w:rPr>
        <w:t>– С.</w:t>
      </w:r>
      <w:r>
        <w:rPr>
          <w:spacing w:val="-44"/>
          <w:w w:val="105"/>
          <w:sz w:val="27"/>
        </w:rPr>
        <w:t> </w:t>
      </w:r>
      <w:r>
        <w:rPr>
          <w:w w:val="105"/>
          <w:sz w:val="27"/>
        </w:rPr>
        <w:t>547-551.</w:t>
      </w:r>
    </w:p>
    <w:p>
      <w:pPr>
        <w:pStyle w:val="ListParagraph"/>
        <w:numPr>
          <w:ilvl w:val="0"/>
          <w:numId w:val="12"/>
        </w:numPr>
        <w:tabs>
          <w:tab w:pos="681" w:val="left" w:leader="none"/>
        </w:tabs>
        <w:spacing w:line="256" w:lineRule="auto" w:before="1" w:after="0"/>
        <w:ind w:left="680" w:right="130" w:hanging="436"/>
        <w:jc w:val="both"/>
        <w:rPr>
          <w:sz w:val="27"/>
        </w:rPr>
      </w:pPr>
      <w:r>
        <w:rPr>
          <w:w w:val="105"/>
          <w:sz w:val="27"/>
        </w:rPr>
        <w:t>Dimmitt SB, </w:t>
      </w:r>
      <w:r>
        <w:rPr>
          <w:spacing w:val="-5"/>
          <w:w w:val="105"/>
          <w:sz w:val="27"/>
        </w:rPr>
        <w:t>West </w:t>
      </w:r>
      <w:r>
        <w:rPr>
          <w:w w:val="105"/>
          <w:sz w:val="27"/>
        </w:rPr>
        <w:t>JN, Eames SM et al. Usefulness of ophthalmoscopy in mild to moderate hypertension. Lancet 1989;1:1103–1106.</w:t>
      </w:r>
    </w:p>
    <w:p>
      <w:pPr>
        <w:pStyle w:val="ListParagraph"/>
        <w:numPr>
          <w:ilvl w:val="0"/>
          <w:numId w:val="12"/>
        </w:numPr>
        <w:tabs>
          <w:tab w:pos="681" w:val="left" w:leader="none"/>
        </w:tabs>
        <w:spacing w:line="256" w:lineRule="auto" w:before="1" w:after="0"/>
        <w:ind w:left="680" w:right="139" w:hanging="436"/>
        <w:jc w:val="both"/>
        <w:rPr>
          <w:sz w:val="27"/>
        </w:rPr>
      </w:pPr>
      <w:r>
        <w:rPr>
          <w:sz w:val="27"/>
        </w:rPr>
        <w:t>White </w:t>
      </w:r>
      <w:r>
        <w:rPr>
          <w:spacing w:val="-17"/>
          <w:sz w:val="27"/>
        </w:rPr>
        <w:t>P. </w:t>
      </w:r>
      <w:r>
        <w:rPr>
          <w:sz w:val="27"/>
        </w:rPr>
        <w:t>M., </w:t>
      </w:r>
      <w:r>
        <w:rPr>
          <w:spacing w:val="-3"/>
          <w:sz w:val="27"/>
        </w:rPr>
        <w:t>Wardlaw </w:t>
      </w:r>
      <w:r>
        <w:rPr>
          <w:sz w:val="27"/>
        </w:rPr>
        <w:t>J. M., Easton </w:t>
      </w:r>
      <w:r>
        <w:rPr>
          <w:spacing w:val="-11"/>
          <w:sz w:val="27"/>
        </w:rPr>
        <w:t>V. </w:t>
      </w:r>
      <w:r>
        <w:rPr>
          <w:sz w:val="27"/>
        </w:rPr>
        <w:t>Can noninvasive imaging accurately</w:t>
      </w:r>
      <w:r>
        <w:rPr>
          <w:spacing w:val="42"/>
          <w:sz w:val="27"/>
        </w:rPr>
        <w:t> </w:t>
      </w:r>
      <w:r>
        <w:rPr>
          <w:sz w:val="27"/>
        </w:rPr>
        <w:t>depict</w:t>
      </w:r>
      <w:r>
        <w:rPr>
          <w:spacing w:val="43"/>
          <w:sz w:val="27"/>
        </w:rPr>
        <w:t> </w:t>
      </w:r>
      <w:r>
        <w:rPr>
          <w:sz w:val="27"/>
        </w:rPr>
        <w:t>intracranial</w:t>
      </w:r>
      <w:r>
        <w:rPr>
          <w:spacing w:val="42"/>
          <w:sz w:val="27"/>
        </w:rPr>
        <w:t> </w:t>
      </w:r>
      <w:r>
        <w:rPr>
          <w:sz w:val="27"/>
        </w:rPr>
        <w:t>aneurysms?</w:t>
      </w:r>
      <w:r>
        <w:rPr>
          <w:spacing w:val="43"/>
          <w:sz w:val="27"/>
        </w:rPr>
        <w:t> </w:t>
      </w:r>
      <w:r>
        <w:rPr>
          <w:sz w:val="27"/>
        </w:rPr>
        <w:t>A</w:t>
      </w:r>
      <w:r>
        <w:rPr>
          <w:spacing w:val="42"/>
          <w:sz w:val="27"/>
        </w:rPr>
        <w:t> </w:t>
      </w:r>
      <w:r>
        <w:rPr>
          <w:sz w:val="27"/>
        </w:rPr>
        <w:t>systematic</w:t>
      </w:r>
      <w:r>
        <w:rPr>
          <w:spacing w:val="43"/>
          <w:sz w:val="27"/>
        </w:rPr>
        <w:t> </w:t>
      </w:r>
      <w:r>
        <w:rPr>
          <w:sz w:val="27"/>
        </w:rPr>
        <w:t>review</w:t>
      </w:r>
    </w:p>
    <w:p>
      <w:pPr>
        <w:pStyle w:val="BodyText"/>
      </w:pPr>
      <w:r>
        <w:rPr>
          <w:w w:val="110"/>
        </w:rPr>
        <w:t>//Radiology. – 2000. – Т. 217. – №. 2. – С. 361-370.</w:t>
      </w:r>
    </w:p>
    <w:p>
      <w:pPr>
        <w:pStyle w:val="ListParagraph"/>
        <w:numPr>
          <w:ilvl w:val="0"/>
          <w:numId w:val="12"/>
        </w:numPr>
        <w:tabs>
          <w:tab w:pos="681" w:val="left" w:leader="none"/>
        </w:tabs>
        <w:spacing w:line="256" w:lineRule="auto" w:before="26" w:after="0"/>
        <w:ind w:left="680" w:right="131" w:hanging="436"/>
        <w:jc w:val="both"/>
        <w:rPr>
          <w:sz w:val="27"/>
        </w:rPr>
      </w:pPr>
      <w:r>
        <w:rPr>
          <w:w w:val="105"/>
          <w:sz w:val="27"/>
        </w:rPr>
        <w:t>Beynon R. et al. Is MRI better than </w:t>
      </w:r>
      <w:r>
        <w:rPr>
          <w:spacing w:val="-4"/>
          <w:w w:val="105"/>
          <w:sz w:val="27"/>
        </w:rPr>
        <w:t>CT </w:t>
      </w:r>
      <w:r>
        <w:rPr>
          <w:w w:val="105"/>
          <w:sz w:val="27"/>
        </w:rPr>
        <w:t>for detecting a vascular component to dementia? A systematic review and</w:t>
      </w:r>
      <w:r>
        <w:rPr>
          <w:spacing w:val="68"/>
          <w:w w:val="105"/>
          <w:sz w:val="27"/>
        </w:rPr>
        <w:t> </w:t>
      </w:r>
      <w:r>
        <w:rPr>
          <w:w w:val="105"/>
          <w:sz w:val="27"/>
        </w:rPr>
        <w:t>meta-analysis</w:t>
      </w:r>
    </w:p>
    <w:p>
      <w:pPr>
        <w:pStyle w:val="BodyText"/>
      </w:pPr>
      <w:r>
        <w:rPr>
          <w:w w:val="110"/>
        </w:rPr>
        <w:t>//BMC neurology. – 2012. – Т. 12. – №. 1. – С. 33.</w:t>
      </w:r>
    </w:p>
    <w:p>
      <w:pPr>
        <w:spacing w:after="0"/>
        <w:sectPr>
          <w:pgSz w:w="11900" w:h="16840"/>
          <w:pgMar w:top="0" w:bottom="0" w:left="1420" w:right="1520"/>
        </w:sectPr>
      </w:pPr>
    </w:p>
    <w:p>
      <w:pPr>
        <w:pStyle w:val="ListParagraph"/>
        <w:numPr>
          <w:ilvl w:val="0"/>
          <w:numId w:val="12"/>
        </w:numPr>
        <w:tabs>
          <w:tab w:pos="681" w:val="left" w:leader="none"/>
        </w:tabs>
        <w:spacing w:line="249" w:lineRule="auto" w:before="4" w:after="0"/>
        <w:ind w:left="680" w:right="129" w:hanging="436"/>
        <w:jc w:val="both"/>
        <w:rPr>
          <w:sz w:val="27"/>
        </w:rPr>
      </w:pPr>
      <w:r>
        <w:rPr>
          <w:sz w:val="27"/>
        </w:rPr>
        <w:t>Creavin S. </w:t>
      </w:r>
      <w:r>
        <w:rPr>
          <w:spacing w:val="-7"/>
          <w:sz w:val="27"/>
        </w:rPr>
        <w:t>T. </w:t>
      </w:r>
      <w:r>
        <w:rPr>
          <w:sz w:val="27"/>
        </w:rPr>
        <w:t>et al. Mini</w:t>
      </w:r>
      <w:r>
        <w:rPr>
          <w:rFonts w:ascii="Lucida Sans Unicode" w:hAnsi="Lucida Sans Unicode"/>
          <w:sz w:val="27"/>
        </w:rPr>
        <w:t>‐</w:t>
      </w:r>
      <w:r>
        <w:rPr>
          <w:sz w:val="27"/>
        </w:rPr>
        <w:t>Mental State Examination (MMSE) for the detection of dementia in clinically unevaluated people aged 65 and </w:t>
      </w:r>
      <w:r>
        <w:rPr>
          <w:spacing w:val="-3"/>
          <w:sz w:val="27"/>
        </w:rPr>
        <w:t>over </w:t>
      </w:r>
      <w:r>
        <w:rPr>
          <w:sz w:val="27"/>
        </w:rPr>
        <w:t>in community and primary care populations //Cochrane Database of Systematic Reviews. – 2016. – №.</w:t>
      </w:r>
      <w:r>
        <w:rPr>
          <w:spacing w:val="9"/>
          <w:sz w:val="27"/>
        </w:rPr>
        <w:t> </w:t>
      </w:r>
      <w:r>
        <w:rPr>
          <w:sz w:val="27"/>
        </w:rPr>
        <w:t>1.</w:t>
      </w:r>
    </w:p>
    <w:p>
      <w:pPr>
        <w:pStyle w:val="ListParagraph"/>
        <w:numPr>
          <w:ilvl w:val="0"/>
          <w:numId w:val="12"/>
        </w:numPr>
        <w:tabs>
          <w:tab w:pos="681" w:val="left" w:leader="none"/>
        </w:tabs>
        <w:spacing w:line="256" w:lineRule="auto" w:before="5" w:after="0"/>
        <w:ind w:left="680" w:right="130" w:hanging="436"/>
        <w:jc w:val="both"/>
        <w:rPr>
          <w:sz w:val="27"/>
        </w:rPr>
      </w:pPr>
      <w:r>
        <w:rPr>
          <w:spacing w:val="-3"/>
          <w:sz w:val="27"/>
        </w:rPr>
        <w:t>Tsoi </w:t>
      </w:r>
      <w:r>
        <w:rPr>
          <w:sz w:val="27"/>
        </w:rPr>
        <w:t>KK, Chan </w:t>
      </w:r>
      <w:r>
        <w:rPr>
          <w:spacing w:val="-8"/>
          <w:sz w:val="27"/>
        </w:rPr>
        <w:t>JY, </w:t>
      </w:r>
      <w:r>
        <w:rPr>
          <w:sz w:val="27"/>
        </w:rPr>
        <w:t>Hirai </w:t>
      </w:r>
      <w:r>
        <w:rPr>
          <w:spacing w:val="-6"/>
          <w:sz w:val="27"/>
        </w:rPr>
        <w:t>HW, </w:t>
      </w:r>
      <w:r>
        <w:rPr>
          <w:sz w:val="27"/>
        </w:rPr>
        <w:t>et al. Cognitive tests to detect dementia: a systematic review and meta-analysis. JAMA Intern </w:t>
      </w:r>
      <w:r>
        <w:rPr>
          <w:spacing w:val="-5"/>
          <w:sz w:val="27"/>
        </w:rPr>
        <w:t>Med </w:t>
      </w:r>
      <w:r>
        <w:rPr>
          <w:sz w:val="27"/>
        </w:rPr>
        <w:t>2015;175:1450–1458.</w:t>
      </w:r>
    </w:p>
    <w:p>
      <w:pPr>
        <w:pStyle w:val="ListParagraph"/>
        <w:numPr>
          <w:ilvl w:val="0"/>
          <w:numId w:val="12"/>
        </w:numPr>
        <w:tabs>
          <w:tab w:pos="681" w:val="left" w:leader="none"/>
        </w:tabs>
        <w:spacing w:line="256" w:lineRule="auto" w:before="1" w:after="0"/>
        <w:ind w:left="680" w:right="133" w:hanging="436"/>
        <w:jc w:val="both"/>
        <w:rPr>
          <w:sz w:val="27"/>
        </w:rPr>
      </w:pPr>
      <w:r>
        <w:rPr>
          <w:sz w:val="27"/>
        </w:rPr>
        <w:t>Mach F, Baigent C, Catapano A et al. 2019 ESC/EAS Guidelines for the management of dyslipidaemias: lipid modiﬁcation to reduce cardiovascular risk: The </w:t>
      </w:r>
      <w:r>
        <w:rPr>
          <w:spacing w:val="-3"/>
          <w:sz w:val="27"/>
        </w:rPr>
        <w:t>Task </w:t>
      </w:r>
      <w:r>
        <w:rPr>
          <w:sz w:val="27"/>
        </w:rPr>
        <w:t>Force for the management of dyslipidaemias of the European Society of Cardiology (ESC) and European Atherosclerosis Society (EAS). Eur Heart J 2019, published online on 31</w:t>
      </w:r>
      <w:r>
        <w:rPr>
          <w:spacing w:val="-9"/>
          <w:sz w:val="27"/>
        </w:rPr>
        <w:t> </w:t>
      </w:r>
      <w:r>
        <w:rPr>
          <w:sz w:val="27"/>
        </w:rPr>
        <w:t>August.</w:t>
      </w:r>
    </w:p>
    <w:p>
      <w:pPr>
        <w:pStyle w:val="ListParagraph"/>
        <w:numPr>
          <w:ilvl w:val="0"/>
          <w:numId w:val="12"/>
        </w:numPr>
        <w:tabs>
          <w:tab w:pos="681" w:val="left" w:leader="none"/>
        </w:tabs>
        <w:spacing w:line="256" w:lineRule="auto" w:before="3" w:after="0"/>
        <w:ind w:left="680" w:right="134" w:hanging="436"/>
        <w:jc w:val="both"/>
        <w:rPr>
          <w:sz w:val="27"/>
        </w:rPr>
      </w:pPr>
      <w:r>
        <w:rPr>
          <w:w w:val="105"/>
          <w:sz w:val="27"/>
        </w:rPr>
        <w:t>Ebrahim, S., &amp; Smith, G. </w:t>
      </w:r>
      <w:r>
        <w:rPr>
          <w:spacing w:val="-4"/>
          <w:w w:val="105"/>
          <w:sz w:val="27"/>
        </w:rPr>
        <w:t>D. </w:t>
      </w:r>
      <w:r>
        <w:rPr>
          <w:w w:val="105"/>
          <w:sz w:val="27"/>
        </w:rPr>
        <w:t>(1998). Lowering blood pressure: a systematic review of sustained effects of non-pharmacological interventions.</w:t>
      </w:r>
      <w:r>
        <w:rPr>
          <w:spacing w:val="-10"/>
          <w:w w:val="105"/>
          <w:sz w:val="27"/>
        </w:rPr>
        <w:t> </w:t>
      </w:r>
      <w:r>
        <w:rPr>
          <w:w w:val="105"/>
          <w:sz w:val="27"/>
        </w:rPr>
        <w:t>Journal</w:t>
      </w:r>
      <w:r>
        <w:rPr>
          <w:spacing w:val="-9"/>
          <w:w w:val="105"/>
          <w:sz w:val="27"/>
        </w:rPr>
        <w:t> </w:t>
      </w:r>
      <w:r>
        <w:rPr>
          <w:w w:val="105"/>
          <w:sz w:val="27"/>
        </w:rPr>
        <w:t>of</w:t>
      </w:r>
      <w:r>
        <w:rPr>
          <w:spacing w:val="-9"/>
          <w:w w:val="105"/>
          <w:sz w:val="27"/>
        </w:rPr>
        <w:t> </w:t>
      </w:r>
      <w:r>
        <w:rPr>
          <w:w w:val="105"/>
          <w:sz w:val="27"/>
        </w:rPr>
        <w:t>Public</w:t>
      </w:r>
      <w:r>
        <w:rPr>
          <w:spacing w:val="-10"/>
          <w:w w:val="105"/>
          <w:sz w:val="27"/>
        </w:rPr>
        <w:t> </w:t>
      </w:r>
      <w:r>
        <w:rPr>
          <w:w w:val="105"/>
          <w:sz w:val="27"/>
        </w:rPr>
        <w:t>Health,</w:t>
      </w:r>
      <w:r>
        <w:rPr>
          <w:spacing w:val="-9"/>
          <w:w w:val="105"/>
          <w:sz w:val="27"/>
        </w:rPr>
        <w:t> </w:t>
      </w:r>
      <w:r>
        <w:rPr>
          <w:w w:val="105"/>
          <w:sz w:val="27"/>
        </w:rPr>
        <w:t>20(4),</w:t>
      </w:r>
      <w:r>
        <w:rPr>
          <w:spacing w:val="-9"/>
          <w:w w:val="105"/>
          <w:sz w:val="27"/>
        </w:rPr>
        <w:t> </w:t>
      </w:r>
      <w:r>
        <w:rPr>
          <w:w w:val="105"/>
          <w:sz w:val="27"/>
        </w:rPr>
        <w:t>441–448.</w:t>
      </w:r>
    </w:p>
    <w:p>
      <w:pPr>
        <w:pStyle w:val="ListParagraph"/>
        <w:numPr>
          <w:ilvl w:val="0"/>
          <w:numId w:val="12"/>
        </w:numPr>
        <w:tabs>
          <w:tab w:pos="681" w:val="left" w:leader="none"/>
        </w:tabs>
        <w:spacing w:line="256" w:lineRule="auto" w:before="1" w:after="0"/>
        <w:ind w:left="680" w:right="135" w:hanging="436"/>
        <w:jc w:val="both"/>
        <w:rPr>
          <w:sz w:val="27"/>
        </w:rPr>
      </w:pPr>
      <w:r>
        <w:rPr>
          <w:sz w:val="27"/>
        </w:rPr>
        <w:t>Sundstrom J, Arima H, Jackson R, et al. Blood Pressure-Lowering Treatment Trialists’ Collaboration. Effects of blood pressure reduction in mild hypertension: a systematic review and meta- analysis. Ann Intern Med</w:t>
      </w:r>
      <w:r>
        <w:rPr>
          <w:spacing w:val="8"/>
          <w:sz w:val="27"/>
        </w:rPr>
        <w:t> </w:t>
      </w:r>
      <w:r>
        <w:rPr>
          <w:sz w:val="27"/>
        </w:rPr>
        <w:t>2015;162:184–191.</w:t>
      </w:r>
    </w:p>
    <w:p>
      <w:pPr>
        <w:pStyle w:val="ListParagraph"/>
        <w:numPr>
          <w:ilvl w:val="0"/>
          <w:numId w:val="12"/>
        </w:numPr>
        <w:tabs>
          <w:tab w:pos="681" w:val="left" w:leader="none"/>
        </w:tabs>
        <w:spacing w:line="256" w:lineRule="auto" w:before="1" w:after="0"/>
        <w:ind w:left="680" w:right="129" w:hanging="436"/>
        <w:jc w:val="both"/>
        <w:rPr>
          <w:sz w:val="27"/>
        </w:rPr>
      </w:pPr>
      <w:r>
        <w:rPr>
          <w:spacing w:val="-3"/>
          <w:sz w:val="27"/>
        </w:rPr>
        <w:t>Task </w:t>
      </w:r>
      <w:r>
        <w:rPr>
          <w:sz w:val="27"/>
        </w:rPr>
        <w:t>FM, Hoes </w:t>
      </w:r>
      <w:r>
        <w:rPr>
          <w:spacing w:val="-15"/>
          <w:sz w:val="27"/>
        </w:rPr>
        <w:t>AW, </w:t>
      </w:r>
      <w:r>
        <w:rPr>
          <w:sz w:val="27"/>
        </w:rPr>
        <w:t>Agewall S et al. 2016 European Guidelines on cardiovascular disease prevention in clinical practice: The Sixth Joint </w:t>
      </w:r>
      <w:r>
        <w:rPr>
          <w:spacing w:val="-3"/>
          <w:sz w:val="27"/>
        </w:rPr>
        <w:t>Task </w:t>
      </w:r>
      <w:r>
        <w:rPr>
          <w:sz w:val="27"/>
        </w:rPr>
        <w:t>Force of the European Society of Cardiology and Other Societies on Cardiovascular Disease Prevention in Clinical Practice (constituted </w:t>
      </w:r>
      <w:r>
        <w:rPr>
          <w:spacing w:val="-3"/>
          <w:sz w:val="27"/>
        </w:rPr>
        <w:t>by </w:t>
      </w:r>
      <w:r>
        <w:rPr>
          <w:sz w:val="27"/>
        </w:rPr>
        <w:t>representatives of 10 societies and </w:t>
      </w:r>
      <w:r>
        <w:rPr>
          <w:spacing w:val="-3"/>
          <w:sz w:val="27"/>
        </w:rPr>
        <w:t>by </w:t>
      </w:r>
      <w:r>
        <w:rPr>
          <w:sz w:val="27"/>
        </w:rPr>
        <w:t>invited experts) Developed with the special contribution of the European Association for Cardiovascular Prevention &amp; Rehabilitation (EACPR). Eur Heart J</w:t>
      </w:r>
      <w:r>
        <w:rPr>
          <w:spacing w:val="1"/>
          <w:sz w:val="27"/>
        </w:rPr>
        <w:t> </w:t>
      </w:r>
      <w:r>
        <w:rPr>
          <w:sz w:val="27"/>
        </w:rPr>
        <w:t>2016;37:2315–2381.</w:t>
      </w:r>
    </w:p>
    <w:p>
      <w:pPr>
        <w:pStyle w:val="ListParagraph"/>
        <w:numPr>
          <w:ilvl w:val="0"/>
          <w:numId w:val="12"/>
        </w:numPr>
        <w:tabs>
          <w:tab w:pos="681" w:val="left" w:leader="none"/>
        </w:tabs>
        <w:spacing w:line="256" w:lineRule="auto" w:before="4" w:after="0"/>
        <w:ind w:left="680" w:right="134" w:hanging="436"/>
        <w:jc w:val="both"/>
        <w:rPr>
          <w:sz w:val="27"/>
        </w:rPr>
      </w:pPr>
      <w:r>
        <w:rPr>
          <w:sz w:val="27"/>
        </w:rPr>
        <w:t>Thomopoulos C, Parati G, Zanchetti A. Effects of blood-pressure- lowering treatment on outcome incidence. 12. Effects in individuals with high-normal and normal blood pressure: overview and meta- analyses of randomized trials. J Hypertens</w:t>
      </w:r>
      <w:r>
        <w:rPr>
          <w:spacing w:val="65"/>
          <w:sz w:val="27"/>
        </w:rPr>
        <w:t> </w:t>
      </w:r>
      <w:r>
        <w:rPr>
          <w:sz w:val="27"/>
        </w:rPr>
        <w:t>2017;35:2150–2160.</w:t>
      </w:r>
    </w:p>
    <w:p>
      <w:pPr>
        <w:pStyle w:val="ListParagraph"/>
        <w:numPr>
          <w:ilvl w:val="0"/>
          <w:numId w:val="12"/>
        </w:numPr>
        <w:tabs>
          <w:tab w:pos="681" w:val="left" w:leader="none"/>
        </w:tabs>
        <w:spacing w:line="256" w:lineRule="auto" w:before="1" w:after="0"/>
        <w:ind w:left="680" w:right="129" w:hanging="571"/>
        <w:jc w:val="both"/>
        <w:rPr>
          <w:sz w:val="27"/>
        </w:rPr>
      </w:pPr>
      <w:r>
        <w:rPr>
          <w:w w:val="105"/>
          <w:sz w:val="27"/>
        </w:rPr>
        <w:t>Beckett NS, Peters R, Fletcher AE et al. HYVET Study Group. Treatment of hypertension in patients 80 years of age or older. N Engl J Med</w:t>
      </w:r>
      <w:r>
        <w:rPr>
          <w:spacing w:val="-17"/>
          <w:w w:val="105"/>
          <w:sz w:val="27"/>
        </w:rPr>
        <w:t> </w:t>
      </w:r>
      <w:r>
        <w:rPr>
          <w:w w:val="105"/>
          <w:sz w:val="27"/>
        </w:rPr>
        <w:t>2008;358:1887–1898.</w:t>
      </w:r>
    </w:p>
    <w:p>
      <w:pPr>
        <w:pStyle w:val="ListParagraph"/>
        <w:numPr>
          <w:ilvl w:val="0"/>
          <w:numId w:val="12"/>
        </w:numPr>
        <w:tabs>
          <w:tab w:pos="681" w:val="left" w:leader="none"/>
        </w:tabs>
        <w:spacing w:line="256" w:lineRule="auto" w:before="1" w:after="0"/>
        <w:ind w:left="680" w:right="137" w:hanging="571"/>
        <w:jc w:val="both"/>
        <w:rPr>
          <w:sz w:val="27"/>
        </w:rPr>
      </w:pPr>
      <w:r>
        <w:rPr>
          <w:sz w:val="27"/>
        </w:rPr>
        <w:t>Thijs, Lutgarde, et al. A meta-analysis of outcome trials in elderly hypertensives.</w:t>
      </w:r>
      <w:r>
        <w:rPr>
          <w:spacing w:val="17"/>
          <w:sz w:val="27"/>
        </w:rPr>
        <w:t> </w:t>
      </w:r>
      <w:r>
        <w:rPr>
          <w:sz w:val="27"/>
        </w:rPr>
        <w:t>Journal</w:t>
      </w:r>
      <w:r>
        <w:rPr>
          <w:spacing w:val="18"/>
          <w:sz w:val="27"/>
        </w:rPr>
        <w:t> </w:t>
      </w:r>
      <w:r>
        <w:rPr>
          <w:sz w:val="27"/>
        </w:rPr>
        <w:t>of</w:t>
      </w:r>
      <w:r>
        <w:rPr>
          <w:spacing w:val="18"/>
          <w:sz w:val="27"/>
        </w:rPr>
        <w:t> </w:t>
      </w:r>
      <w:r>
        <w:rPr>
          <w:sz w:val="27"/>
        </w:rPr>
        <w:t>hypertension</w:t>
      </w:r>
      <w:r>
        <w:rPr>
          <w:spacing w:val="18"/>
          <w:sz w:val="27"/>
        </w:rPr>
        <w:t> </w:t>
      </w:r>
      <w:r>
        <w:rPr>
          <w:sz w:val="27"/>
        </w:rPr>
        <w:t>10.10</w:t>
      </w:r>
      <w:r>
        <w:rPr>
          <w:spacing w:val="18"/>
          <w:sz w:val="27"/>
        </w:rPr>
        <w:t> </w:t>
      </w:r>
      <w:r>
        <w:rPr>
          <w:sz w:val="27"/>
        </w:rPr>
        <w:t>(1992):</w:t>
      </w:r>
      <w:r>
        <w:rPr>
          <w:spacing w:val="18"/>
          <w:sz w:val="27"/>
        </w:rPr>
        <w:t> </w:t>
      </w:r>
      <w:r>
        <w:rPr>
          <w:sz w:val="27"/>
        </w:rPr>
        <w:t>1103–1109.</w:t>
      </w:r>
    </w:p>
    <w:p>
      <w:pPr>
        <w:pStyle w:val="ListParagraph"/>
        <w:numPr>
          <w:ilvl w:val="0"/>
          <w:numId w:val="12"/>
        </w:numPr>
        <w:tabs>
          <w:tab w:pos="681" w:val="left" w:leader="none"/>
        </w:tabs>
        <w:spacing w:line="256" w:lineRule="auto" w:before="1" w:after="0"/>
        <w:ind w:left="680" w:right="137" w:hanging="571"/>
        <w:jc w:val="both"/>
        <w:rPr>
          <w:sz w:val="27"/>
        </w:rPr>
      </w:pPr>
      <w:r>
        <w:rPr>
          <w:sz w:val="27"/>
        </w:rPr>
        <w:t>Lonn EM, Bosch J, Lopez-Jaramillo P et al. HOPE-3 Investigators. Blood-pressure lowering in. intermediate-risk persons without cardiovascular disease. N Engl J Med.</w:t>
      </w:r>
      <w:r>
        <w:rPr>
          <w:spacing w:val="25"/>
          <w:sz w:val="27"/>
        </w:rPr>
        <w:t> </w:t>
      </w:r>
      <w:r>
        <w:rPr>
          <w:sz w:val="27"/>
        </w:rPr>
        <w:t>2016;374:2009–2020</w:t>
      </w:r>
    </w:p>
    <w:p>
      <w:pPr>
        <w:pStyle w:val="ListParagraph"/>
        <w:numPr>
          <w:ilvl w:val="0"/>
          <w:numId w:val="12"/>
        </w:numPr>
        <w:tabs>
          <w:tab w:pos="681" w:val="left" w:leader="none"/>
        </w:tabs>
        <w:spacing w:line="256" w:lineRule="auto" w:before="1" w:after="0"/>
        <w:ind w:left="680" w:right="131" w:hanging="571"/>
        <w:jc w:val="both"/>
        <w:rPr>
          <w:sz w:val="27"/>
        </w:rPr>
      </w:pPr>
      <w:r>
        <w:rPr>
          <w:sz w:val="27"/>
        </w:rPr>
        <w:t>Williamson </w:t>
      </w:r>
      <w:r>
        <w:rPr>
          <w:spacing w:val="-3"/>
          <w:sz w:val="27"/>
        </w:rPr>
        <w:t>JD, </w:t>
      </w:r>
      <w:r>
        <w:rPr>
          <w:sz w:val="27"/>
        </w:rPr>
        <w:t>Supiano MA, Applegate WB et al. SPRINT Research Group. Intensive vs standard blood pressure control</w:t>
      </w:r>
      <w:r>
        <w:rPr>
          <w:spacing w:val="17"/>
          <w:sz w:val="27"/>
        </w:rPr>
        <w:t> </w:t>
      </w:r>
      <w:r>
        <w:rPr>
          <w:sz w:val="27"/>
        </w:rPr>
        <w:t>and</w:t>
      </w:r>
    </w:p>
    <w:p>
      <w:pPr>
        <w:spacing w:after="0" w:line="256" w:lineRule="auto"/>
        <w:jc w:val="both"/>
        <w:rPr>
          <w:sz w:val="27"/>
        </w:rPr>
        <w:sectPr>
          <w:pgSz w:w="11900" w:h="16840"/>
          <w:pgMar w:top="0" w:bottom="280" w:left="1420" w:right="1520"/>
        </w:sectPr>
      </w:pPr>
    </w:p>
    <w:p>
      <w:pPr>
        <w:pStyle w:val="BodyText"/>
        <w:spacing w:line="256" w:lineRule="auto" w:before="16"/>
        <w:ind w:right="130"/>
      </w:pPr>
      <w:r>
        <w:rPr/>
        <w:t>cardiovascular disease outcomes in adults aged &gt;_75 years: a randomized clinical trial. JAMA 2016;315:2673–2682.</w:t>
      </w:r>
    </w:p>
    <w:p>
      <w:pPr>
        <w:pStyle w:val="ListParagraph"/>
        <w:numPr>
          <w:ilvl w:val="0"/>
          <w:numId w:val="12"/>
        </w:numPr>
        <w:tabs>
          <w:tab w:pos="681" w:val="left" w:leader="none"/>
        </w:tabs>
        <w:spacing w:line="256" w:lineRule="auto" w:before="1" w:after="0"/>
        <w:ind w:left="680" w:right="133" w:hanging="571"/>
        <w:jc w:val="both"/>
        <w:rPr>
          <w:sz w:val="27"/>
        </w:rPr>
      </w:pPr>
      <w:r>
        <w:rPr>
          <w:sz w:val="27"/>
        </w:rPr>
        <w:t>Beckett N, Peters R, Leonetti G, Duggan J, Fagard R, Thijs L, Narkiewicz</w:t>
      </w:r>
      <w:r>
        <w:rPr>
          <w:spacing w:val="-14"/>
          <w:sz w:val="27"/>
        </w:rPr>
        <w:t> </w:t>
      </w:r>
      <w:r>
        <w:rPr>
          <w:sz w:val="27"/>
        </w:rPr>
        <w:t>K,McCormack</w:t>
      </w:r>
      <w:r>
        <w:rPr>
          <w:spacing w:val="-13"/>
          <w:sz w:val="27"/>
        </w:rPr>
        <w:t> </w:t>
      </w:r>
      <w:r>
        <w:rPr>
          <w:spacing w:val="-7"/>
          <w:sz w:val="27"/>
        </w:rPr>
        <w:t>T,</w:t>
      </w:r>
      <w:r>
        <w:rPr>
          <w:spacing w:val="-13"/>
          <w:sz w:val="27"/>
        </w:rPr>
        <w:t> </w:t>
      </w:r>
      <w:r>
        <w:rPr>
          <w:sz w:val="27"/>
        </w:rPr>
        <w:t>Banya</w:t>
      </w:r>
      <w:r>
        <w:rPr>
          <w:spacing w:val="-14"/>
          <w:sz w:val="27"/>
        </w:rPr>
        <w:t> </w:t>
      </w:r>
      <w:r>
        <w:rPr>
          <w:spacing w:val="-9"/>
          <w:sz w:val="27"/>
        </w:rPr>
        <w:t>W,</w:t>
      </w:r>
      <w:r>
        <w:rPr>
          <w:spacing w:val="-13"/>
          <w:sz w:val="27"/>
        </w:rPr>
        <w:t> </w:t>
      </w:r>
      <w:r>
        <w:rPr>
          <w:sz w:val="27"/>
        </w:rPr>
        <w:t>Fletcher</w:t>
      </w:r>
      <w:r>
        <w:rPr>
          <w:spacing w:val="-13"/>
          <w:sz w:val="27"/>
        </w:rPr>
        <w:t> </w:t>
      </w:r>
      <w:r>
        <w:rPr>
          <w:sz w:val="27"/>
        </w:rPr>
        <w:t>A,</w:t>
      </w:r>
      <w:r>
        <w:rPr>
          <w:spacing w:val="-13"/>
          <w:sz w:val="27"/>
        </w:rPr>
        <w:t> </w:t>
      </w:r>
      <w:r>
        <w:rPr>
          <w:sz w:val="27"/>
        </w:rPr>
        <w:t>Bulpitt</w:t>
      </w:r>
      <w:r>
        <w:rPr>
          <w:spacing w:val="-14"/>
          <w:sz w:val="27"/>
        </w:rPr>
        <w:t> </w:t>
      </w:r>
      <w:r>
        <w:rPr>
          <w:sz w:val="27"/>
        </w:rPr>
        <w:t>C,</w:t>
      </w:r>
      <w:r>
        <w:rPr>
          <w:spacing w:val="-13"/>
          <w:sz w:val="27"/>
        </w:rPr>
        <w:t> </w:t>
      </w:r>
      <w:r>
        <w:rPr>
          <w:sz w:val="27"/>
        </w:rPr>
        <w:t>HYVET Study Group. Subgroup and per-protocol analyses from the Hypertension in the </w:t>
      </w:r>
      <w:r>
        <w:rPr>
          <w:spacing w:val="-6"/>
          <w:sz w:val="27"/>
        </w:rPr>
        <w:t>Very </w:t>
      </w:r>
      <w:r>
        <w:rPr>
          <w:sz w:val="27"/>
        </w:rPr>
        <w:t>Elderly Trial. J Hypertens 2014;32:1478– </w:t>
      </w:r>
      <w:r>
        <w:rPr>
          <w:spacing w:val="-6"/>
          <w:sz w:val="27"/>
        </w:rPr>
        <w:t>1487.</w:t>
      </w:r>
    </w:p>
    <w:p>
      <w:pPr>
        <w:pStyle w:val="ListParagraph"/>
        <w:numPr>
          <w:ilvl w:val="0"/>
          <w:numId w:val="12"/>
        </w:numPr>
        <w:tabs>
          <w:tab w:pos="681" w:val="left" w:leader="none"/>
        </w:tabs>
        <w:spacing w:line="256" w:lineRule="auto" w:before="2" w:after="0"/>
        <w:ind w:left="680" w:right="130" w:hanging="571"/>
        <w:jc w:val="both"/>
        <w:rPr>
          <w:sz w:val="27"/>
        </w:rPr>
      </w:pPr>
      <w:r>
        <w:rPr>
          <w:sz w:val="27"/>
        </w:rPr>
        <w:t>Thomopoulos C, Parati G, Zanchetti A. Effects of blood pressure lowering on . outcome incidence in hypertension. 1. Overview, meta-analyses, and meta-regression analyses of randomized trials.   J Hypertens</w:t>
      </w:r>
      <w:r>
        <w:rPr>
          <w:spacing w:val="1"/>
          <w:sz w:val="27"/>
        </w:rPr>
        <w:t> </w:t>
      </w:r>
      <w:r>
        <w:rPr>
          <w:sz w:val="27"/>
        </w:rPr>
        <w:t>2014;32:2285–2295.</w:t>
      </w:r>
    </w:p>
    <w:p>
      <w:pPr>
        <w:pStyle w:val="ListParagraph"/>
        <w:numPr>
          <w:ilvl w:val="0"/>
          <w:numId w:val="12"/>
        </w:numPr>
        <w:tabs>
          <w:tab w:pos="681" w:val="left" w:leader="none"/>
        </w:tabs>
        <w:spacing w:line="256" w:lineRule="auto" w:before="2" w:after="0"/>
        <w:ind w:left="680" w:right="129" w:hanging="571"/>
        <w:jc w:val="both"/>
        <w:rPr>
          <w:sz w:val="27"/>
        </w:rPr>
      </w:pPr>
      <w:r>
        <w:rPr>
          <w:sz w:val="27"/>
        </w:rPr>
        <w:t>Patel A, </w:t>
      </w:r>
      <w:r>
        <w:rPr>
          <w:spacing w:val="-6"/>
          <w:sz w:val="27"/>
        </w:rPr>
        <w:t>ADVANCE </w:t>
      </w:r>
      <w:r>
        <w:rPr>
          <w:sz w:val="27"/>
        </w:rPr>
        <w:t>Collaborative Group, MacMahon S, et al.</w:t>
      </w:r>
      <w:r>
        <w:rPr>
          <w:spacing w:val="-33"/>
          <w:sz w:val="27"/>
        </w:rPr>
        <w:t> </w:t>
      </w:r>
      <w:r>
        <w:rPr>
          <w:sz w:val="27"/>
        </w:rPr>
        <w:t>Effects of a ﬁxed combination of perindopril and indapamide on macrovascular and microvascular outcomes in patients with type 2 diabetes mellitus (the </w:t>
      </w:r>
      <w:r>
        <w:rPr>
          <w:spacing w:val="-6"/>
          <w:sz w:val="27"/>
        </w:rPr>
        <w:t>ADVANCE </w:t>
      </w:r>
      <w:r>
        <w:rPr>
          <w:sz w:val="27"/>
        </w:rPr>
        <w:t>trial): a randomised controlled trial. Lancet</w:t>
      </w:r>
      <w:r>
        <w:rPr>
          <w:spacing w:val="2"/>
          <w:sz w:val="27"/>
        </w:rPr>
        <w:t> </w:t>
      </w:r>
      <w:r>
        <w:rPr>
          <w:sz w:val="27"/>
        </w:rPr>
        <w:t>2007;370:829–840.]</w:t>
      </w:r>
    </w:p>
    <w:p>
      <w:pPr>
        <w:pStyle w:val="ListParagraph"/>
        <w:numPr>
          <w:ilvl w:val="0"/>
          <w:numId w:val="12"/>
        </w:numPr>
        <w:tabs>
          <w:tab w:pos="681" w:val="left" w:leader="none"/>
        </w:tabs>
        <w:spacing w:line="240" w:lineRule="auto" w:before="2" w:after="0"/>
        <w:ind w:left="680" w:right="0" w:hanging="571"/>
        <w:jc w:val="both"/>
        <w:rPr>
          <w:sz w:val="27"/>
        </w:rPr>
      </w:pPr>
      <w:r>
        <w:rPr>
          <w:sz w:val="27"/>
        </w:rPr>
        <w:t>Hao G. et al. Effects of ACEI/ARB in hypertensive patients with</w:t>
      </w:r>
      <w:r>
        <w:rPr>
          <w:spacing w:val="-29"/>
          <w:sz w:val="27"/>
        </w:rPr>
        <w:t> </w:t>
      </w:r>
      <w:r>
        <w:rPr>
          <w:sz w:val="27"/>
        </w:rPr>
        <w:t>type</w:t>
      </w:r>
    </w:p>
    <w:p>
      <w:pPr>
        <w:pStyle w:val="BodyText"/>
        <w:spacing w:line="256" w:lineRule="auto" w:before="26"/>
        <w:ind w:right="135"/>
      </w:pPr>
      <w:r>
        <w:rPr>
          <w:w w:val="105"/>
        </w:rPr>
        <w:t>2 diabetes mellitus: a meta-analysis of randomized controlled studies //BMC cardiovascular disorders. – 2014. – Т. 14. – №. 1. – С. 148.</w:t>
      </w:r>
    </w:p>
    <w:p>
      <w:pPr>
        <w:pStyle w:val="ListParagraph"/>
        <w:numPr>
          <w:ilvl w:val="0"/>
          <w:numId w:val="12"/>
        </w:numPr>
        <w:tabs>
          <w:tab w:pos="681" w:val="left" w:leader="none"/>
        </w:tabs>
        <w:spacing w:line="256" w:lineRule="auto" w:before="1" w:after="0"/>
        <w:ind w:left="680" w:right="143" w:hanging="571"/>
        <w:jc w:val="both"/>
        <w:rPr>
          <w:sz w:val="27"/>
        </w:rPr>
      </w:pPr>
      <w:r>
        <w:rPr>
          <w:sz w:val="27"/>
        </w:rPr>
        <w:t>Garrison S. R. et al. Blood pressure targets for hypertension in older adults</w:t>
      </w:r>
      <w:r>
        <w:rPr>
          <w:spacing w:val="9"/>
          <w:sz w:val="27"/>
        </w:rPr>
        <w:t> </w:t>
      </w:r>
      <w:r>
        <w:rPr>
          <w:sz w:val="27"/>
        </w:rPr>
        <w:t>//Cochrane</w:t>
      </w:r>
      <w:r>
        <w:rPr>
          <w:spacing w:val="9"/>
          <w:sz w:val="27"/>
        </w:rPr>
        <w:t> </w:t>
      </w:r>
      <w:r>
        <w:rPr>
          <w:sz w:val="27"/>
        </w:rPr>
        <w:t>Database</w:t>
      </w:r>
      <w:r>
        <w:rPr>
          <w:spacing w:val="9"/>
          <w:sz w:val="27"/>
        </w:rPr>
        <w:t> </w:t>
      </w:r>
      <w:r>
        <w:rPr>
          <w:sz w:val="27"/>
        </w:rPr>
        <w:t>of</w:t>
      </w:r>
      <w:r>
        <w:rPr>
          <w:spacing w:val="10"/>
          <w:sz w:val="27"/>
        </w:rPr>
        <w:t> </w:t>
      </w:r>
      <w:r>
        <w:rPr>
          <w:sz w:val="27"/>
        </w:rPr>
        <w:t>Systematic</w:t>
      </w:r>
      <w:r>
        <w:rPr>
          <w:spacing w:val="9"/>
          <w:sz w:val="27"/>
        </w:rPr>
        <w:t> </w:t>
      </w:r>
      <w:r>
        <w:rPr>
          <w:sz w:val="27"/>
        </w:rPr>
        <w:t>Reviews.</w:t>
      </w:r>
      <w:r>
        <w:rPr>
          <w:spacing w:val="9"/>
          <w:sz w:val="27"/>
        </w:rPr>
        <w:t> </w:t>
      </w:r>
      <w:r>
        <w:rPr>
          <w:sz w:val="27"/>
        </w:rPr>
        <w:t>–</w:t>
      </w:r>
      <w:r>
        <w:rPr>
          <w:spacing w:val="9"/>
          <w:sz w:val="27"/>
        </w:rPr>
        <w:t> </w:t>
      </w:r>
      <w:r>
        <w:rPr>
          <w:spacing w:val="-6"/>
          <w:sz w:val="27"/>
        </w:rPr>
        <w:t>2017.</w:t>
      </w:r>
      <w:r>
        <w:rPr>
          <w:spacing w:val="10"/>
          <w:sz w:val="27"/>
        </w:rPr>
        <w:t> </w:t>
      </w:r>
      <w:r>
        <w:rPr>
          <w:sz w:val="27"/>
        </w:rPr>
        <w:t>–</w:t>
      </w:r>
      <w:r>
        <w:rPr>
          <w:spacing w:val="9"/>
          <w:sz w:val="27"/>
        </w:rPr>
        <w:t> </w:t>
      </w:r>
      <w:r>
        <w:rPr>
          <w:sz w:val="27"/>
        </w:rPr>
        <w:t>№.</w:t>
      </w:r>
      <w:r>
        <w:rPr>
          <w:spacing w:val="9"/>
          <w:sz w:val="27"/>
        </w:rPr>
        <w:t> </w:t>
      </w:r>
      <w:r>
        <w:rPr>
          <w:sz w:val="27"/>
        </w:rPr>
        <w:t>8.</w:t>
      </w:r>
    </w:p>
    <w:p>
      <w:pPr>
        <w:pStyle w:val="ListParagraph"/>
        <w:numPr>
          <w:ilvl w:val="0"/>
          <w:numId w:val="12"/>
        </w:numPr>
        <w:tabs>
          <w:tab w:pos="681" w:val="left" w:leader="none"/>
        </w:tabs>
        <w:spacing w:line="256" w:lineRule="auto" w:before="1" w:after="0"/>
        <w:ind w:left="680" w:right="134" w:hanging="571"/>
        <w:jc w:val="both"/>
        <w:rPr>
          <w:sz w:val="27"/>
        </w:rPr>
      </w:pPr>
      <w:r>
        <w:rPr>
          <w:w w:val="105"/>
          <w:sz w:val="27"/>
        </w:rPr>
        <w:t>Prospective Studies Collaboration et al. Age-speciﬁc relevance of usual blood pressure to vascular mortality: a meta-analysis of individual</w:t>
      </w:r>
      <w:r>
        <w:rPr>
          <w:spacing w:val="-37"/>
          <w:w w:val="105"/>
          <w:sz w:val="27"/>
        </w:rPr>
        <w:t> </w:t>
      </w:r>
      <w:r>
        <w:rPr>
          <w:w w:val="105"/>
          <w:sz w:val="27"/>
        </w:rPr>
        <w:t>data</w:t>
      </w:r>
      <w:r>
        <w:rPr>
          <w:spacing w:val="-36"/>
          <w:w w:val="105"/>
          <w:sz w:val="27"/>
        </w:rPr>
        <w:t> </w:t>
      </w:r>
      <w:r>
        <w:rPr>
          <w:w w:val="105"/>
          <w:sz w:val="27"/>
        </w:rPr>
        <w:t>for</w:t>
      </w:r>
      <w:r>
        <w:rPr>
          <w:spacing w:val="-36"/>
          <w:w w:val="105"/>
          <w:sz w:val="27"/>
        </w:rPr>
        <w:t> </w:t>
      </w:r>
      <w:r>
        <w:rPr>
          <w:w w:val="105"/>
          <w:sz w:val="27"/>
        </w:rPr>
        <w:t>one</w:t>
      </w:r>
      <w:r>
        <w:rPr>
          <w:spacing w:val="-37"/>
          <w:w w:val="105"/>
          <w:sz w:val="27"/>
        </w:rPr>
        <w:t> </w:t>
      </w:r>
      <w:r>
        <w:rPr>
          <w:w w:val="105"/>
          <w:sz w:val="27"/>
        </w:rPr>
        <w:t>million</w:t>
      </w:r>
      <w:r>
        <w:rPr>
          <w:spacing w:val="-36"/>
          <w:w w:val="105"/>
          <w:sz w:val="27"/>
        </w:rPr>
        <w:t> </w:t>
      </w:r>
      <w:r>
        <w:rPr>
          <w:w w:val="105"/>
          <w:sz w:val="27"/>
        </w:rPr>
        <w:t>adults</w:t>
      </w:r>
      <w:r>
        <w:rPr>
          <w:spacing w:val="-36"/>
          <w:w w:val="105"/>
          <w:sz w:val="27"/>
        </w:rPr>
        <w:t> </w:t>
      </w:r>
      <w:r>
        <w:rPr>
          <w:w w:val="105"/>
          <w:sz w:val="27"/>
        </w:rPr>
        <w:t>in</w:t>
      </w:r>
      <w:r>
        <w:rPr>
          <w:spacing w:val="-37"/>
          <w:w w:val="105"/>
          <w:sz w:val="27"/>
        </w:rPr>
        <w:t> </w:t>
      </w:r>
      <w:r>
        <w:rPr>
          <w:w w:val="105"/>
          <w:sz w:val="27"/>
        </w:rPr>
        <w:t>61</w:t>
      </w:r>
      <w:r>
        <w:rPr>
          <w:spacing w:val="-36"/>
          <w:w w:val="105"/>
          <w:sz w:val="27"/>
        </w:rPr>
        <w:t> </w:t>
      </w:r>
      <w:r>
        <w:rPr>
          <w:w w:val="105"/>
          <w:sz w:val="27"/>
        </w:rPr>
        <w:t>prospective</w:t>
      </w:r>
      <w:r>
        <w:rPr>
          <w:spacing w:val="-36"/>
          <w:w w:val="105"/>
          <w:sz w:val="27"/>
        </w:rPr>
        <w:t> </w:t>
      </w:r>
      <w:r>
        <w:rPr>
          <w:w w:val="105"/>
          <w:sz w:val="27"/>
        </w:rPr>
        <w:t>studies.</w:t>
      </w:r>
      <w:r>
        <w:rPr>
          <w:spacing w:val="-36"/>
          <w:w w:val="105"/>
          <w:sz w:val="27"/>
        </w:rPr>
        <w:t> </w:t>
      </w:r>
      <w:r>
        <w:rPr>
          <w:w w:val="105"/>
          <w:sz w:val="27"/>
        </w:rPr>
        <w:t>The Lancet</w:t>
      </w:r>
      <w:r>
        <w:rPr>
          <w:spacing w:val="-5"/>
          <w:w w:val="105"/>
          <w:sz w:val="27"/>
        </w:rPr>
        <w:t> </w:t>
      </w:r>
      <w:r>
        <w:rPr>
          <w:w w:val="105"/>
          <w:sz w:val="27"/>
        </w:rPr>
        <w:t>2002;360(9349):1903–1913.</w:t>
      </w:r>
    </w:p>
    <w:p>
      <w:pPr>
        <w:pStyle w:val="ListParagraph"/>
        <w:numPr>
          <w:ilvl w:val="0"/>
          <w:numId w:val="12"/>
        </w:numPr>
        <w:tabs>
          <w:tab w:pos="681" w:val="left" w:leader="none"/>
        </w:tabs>
        <w:spacing w:line="256" w:lineRule="auto" w:before="1" w:after="0"/>
        <w:ind w:left="680" w:right="129" w:hanging="571"/>
        <w:jc w:val="both"/>
        <w:rPr>
          <w:sz w:val="27"/>
        </w:rPr>
      </w:pPr>
      <w:r>
        <w:rPr>
          <w:sz w:val="27"/>
        </w:rPr>
        <w:t>Thomopoulos C, Parati G, Zanchetti A. Effects of blood pressure lowering on outcome incidence in hypertension: </w:t>
      </w:r>
      <w:r>
        <w:rPr>
          <w:spacing w:val="-14"/>
          <w:sz w:val="27"/>
        </w:rPr>
        <w:t>7. </w:t>
      </w:r>
      <w:r>
        <w:rPr>
          <w:sz w:val="27"/>
        </w:rPr>
        <w:t>Effects of more vs. less intensive blood pressure lowering and different achieved blood pressure levels — updated overview and meta-analyses of randomized trials. J Hypertens</w:t>
      </w:r>
      <w:r>
        <w:rPr>
          <w:spacing w:val="9"/>
          <w:sz w:val="27"/>
        </w:rPr>
        <w:t> </w:t>
      </w:r>
      <w:r>
        <w:rPr>
          <w:sz w:val="27"/>
        </w:rPr>
        <w:t>2016;34:613–622.</w:t>
      </w:r>
    </w:p>
    <w:p>
      <w:pPr>
        <w:pStyle w:val="ListParagraph"/>
        <w:numPr>
          <w:ilvl w:val="0"/>
          <w:numId w:val="12"/>
        </w:numPr>
        <w:tabs>
          <w:tab w:pos="681" w:val="left" w:leader="none"/>
        </w:tabs>
        <w:spacing w:line="256" w:lineRule="auto" w:before="2" w:after="0"/>
        <w:ind w:left="680" w:right="133" w:hanging="571"/>
        <w:jc w:val="both"/>
        <w:rPr>
          <w:sz w:val="27"/>
        </w:rPr>
      </w:pPr>
      <w:r>
        <w:rPr>
          <w:sz w:val="27"/>
        </w:rPr>
        <w:t>Bohm M, Schumacher H, </w:t>
      </w:r>
      <w:r>
        <w:rPr>
          <w:spacing w:val="-6"/>
          <w:sz w:val="27"/>
        </w:rPr>
        <w:t>Teo </w:t>
      </w:r>
      <w:r>
        <w:rPr>
          <w:sz w:val="27"/>
        </w:rPr>
        <w:t>KK et al. </w:t>
      </w:r>
      <w:r>
        <w:rPr>
          <w:spacing w:val="-3"/>
          <w:sz w:val="27"/>
        </w:rPr>
        <w:t>Achieved </w:t>
      </w:r>
      <w:r>
        <w:rPr>
          <w:sz w:val="27"/>
        </w:rPr>
        <w:t>blood pressure and cardiovascular outcomes in high-risk patients: results from </w:t>
      </w:r>
      <w:r>
        <w:rPr>
          <w:spacing w:val="-4"/>
          <w:sz w:val="27"/>
        </w:rPr>
        <w:t>ONTARGET </w:t>
      </w:r>
      <w:r>
        <w:rPr>
          <w:sz w:val="27"/>
        </w:rPr>
        <w:t>and TRANSCEND trials. Lancet</w:t>
      </w:r>
      <w:r>
        <w:rPr>
          <w:spacing w:val="-11"/>
          <w:sz w:val="27"/>
        </w:rPr>
        <w:t> </w:t>
      </w:r>
      <w:r>
        <w:rPr>
          <w:sz w:val="27"/>
        </w:rPr>
        <w:t>2017;389:2226–2237.</w:t>
      </w:r>
    </w:p>
    <w:p>
      <w:pPr>
        <w:pStyle w:val="ListParagraph"/>
        <w:numPr>
          <w:ilvl w:val="0"/>
          <w:numId w:val="12"/>
        </w:numPr>
        <w:tabs>
          <w:tab w:pos="681" w:val="left" w:leader="none"/>
        </w:tabs>
        <w:spacing w:line="256" w:lineRule="auto" w:before="2" w:after="0"/>
        <w:ind w:left="680" w:right="129" w:hanging="571"/>
        <w:jc w:val="both"/>
        <w:rPr>
          <w:sz w:val="27"/>
        </w:rPr>
      </w:pPr>
      <w:r>
        <w:rPr>
          <w:sz w:val="27"/>
        </w:rPr>
        <w:t>Kjeldsen SE, Berge E, Bangalore S, et al. No evidence for a J-shaped curve in treated hypertensive patients with increased cardiovascular risk: The </w:t>
      </w:r>
      <w:r>
        <w:rPr>
          <w:spacing w:val="-6"/>
          <w:sz w:val="27"/>
        </w:rPr>
        <w:t>VALUE </w:t>
      </w:r>
      <w:r>
        <w:rPr>
          <w:sz w:val="27"/>
        </w:rPr>
        <w:t>trial. Blood Press</w:t>
      </w:r>
      <w:r>
        <w:rPr>
          <w:spacing w:val="50"/>
          <w:sz w:val="27"/>
        </w:rPr>
        <w:t> </w:t>
      </w:r>
      <w:r>
        <w:rPr>
          <w:sz w:val="27"/>
        </w:rPr>
        <w:t>2016;25:83–92.</w:t>
      </w:r>
    </w:p>
    <w:p>
      <w:pPr>
        <w:pStyle w:val="ListParagraph"/>
        <w:numPr>
          <w:ilvl w:val="0"/>
          <w:numId w:val="12"/>
        </w:numPr>
        <w:tabs>
          <w:tab w:pos="681" w:val="left" w:leader="none"/>
        </w:tabs>
        <w:spacing w:line="256" w:lineRule="auto" w:before="1" w:after="0"/>
        <w:ind w:left="680" w:right="138" w:hanging="571"/>
        <w:jc w:val="both"/>
        <w:rPr>
          <w:sz w:val="27"/>
        </w:rPr>
      </w:pPr>
      <w:r>
        <w:rPr>
          <w:sz w:val="27"/>
        </w:rPr>
        <w:t>Mancia</w:t>
      </w:r>
      <w:r>
        <w:rPr>
          <w:spacing w:val="-8"/>
          <w:sz w:val="27"/>
        </w:rPr>
        <w:t> </w:t>
      </w:r>
      <w:r>
        <w:rPr>
          <w:sz w:val="27"/>
        </w:rPr>
        <w:t>G,</w:t>
      </w:r>
      <w:r>
        <w:rPr>
          <w:spacing w:val="-8"/>
          <w:sz w:val="27"/>
        </w:rPr>
        <w:t> </w:t>
      </w:r>
      <w:r>
        <w:rPr>
          <w:sz w:val="27"/>
        </w:rPr>
        <w:t>Kjeldsen</w:t>
      </w:r>
      <w:r>
        <w:rPr>
          <w:spacing w:val="-8"/>
          <w:sz w:val="27"/>
        </w:rPr>
        <w:t> </w:t>
      </w:r>
      <w:r>
        <w:rPr>
          <w:sz w:val="27"/>
        </w:rPr>
        <w:t>SE,</w:t>
      </w:r>
      <w:r>
        <w:rPr>
          <w:spacing w:val="-7"/>
          <w:sz w:val="27"/>
        </w:rPr>
        <w:t> </w:t>
      </w:r>
      <w:r>
        <w:rPr>
          <w:sz w:val="27"/>
        </w:rPr>
        <w:t>Zappe</w:t>
      </w:r>
      <w:r>
        <w:rPr>
          <w:spacing w:val="-8"/>
          <w:sz w:val="27"/>
        </w:rPr>
        <w:t> </w:t>
      </w:r>
      <w:r>
        <w:rPr>
          <w:sz w:val="27"/>
        </w:rPr>
        <w:t>DH,</w:t>
      </w:r>
      <w:r>
        <w:rPr>
          <w:spacing w:val="-8"/>
          <w:sz w:val="27"/>
        </w:rPr>
        <w:t> </w:t>
      </w:r>
      <w:r>
        <w:rPr>
          <w:sz w:val="27"/>
        </w:rPr>
        <w:t>et</w:t>
      </w:r>
      <w:r>
        <w:rPr>
          <w:spacing w:val="-7"/>
          <w:sz w:val="27"/>
        </w:rPr>
        <w:t> </w:t>
      </w:r>
      <w:r>
        <w:rPr>
          <w:sz w:val="27"/>
        </w:rPr>
        <w:t>al.</w:t>
      </w:r>
      <w:r>
        <w:rPr>
          <w:spacing w:val="-8"/>
          <w:sz w:val="27"/>
        </w:rPr>
        <w:t> </w:t>
      </w:r>
      <w:r>
        <w:rPr>
          <w:sz w:val="27"/>
        </w:rPr>
        <w:t>Cardiovascular</w:t>
      </w:r>
      <w:r>
        <w:rPr>
          <w:spacing w:val="-8"/>
          <w:sz w:val="27"/>
        </w:rPr>
        <w:t> </w:t>
      </w:r>
      <w:r>
        <w:rPr>
          <w:sz w:val="27"/>
        </w:rPr>
        <w:t>outcomes</w:t>
      </w:r>
      <w:r>
        <w:rPr>
          <w:spacing w:val="-8"/>
          <w:sz w:val="27"/>
        </w:rPr>
        <w:t> </w:t>
      </w:r>
      <w:r>
        <w:rPr>
          <w:sz w:val="27"/>
        </w:rPr>
        <w:t>at different on-treatment blood pressures in the hypertensive patients of the </w:t>
      </w:r>
      <w:r>
        <w:rPr>
          <w:spacing w:val="-6"/>
          <w:sz w:val="27"/>
        </w:rPr>
        <w:t>VALUE </w:t>
      </w:r>
      <w:r>
        <w:rPr>
          <w:sz w:val="27"/>
        </w:rPr>
        <w:t>trial. Eur Heart J</w:t>
      </w:r>
      <w:r>
        <w:rPr>
          <w:spacing w:val="12"/>
          <w:sz w:val="27"/>
        </w:rPr>
        <w:t> </w:t>
      </w:r>
      <w:r>
        <w:rPr>
          <w:sz w:val="27"/>
        </w:rPr>
        <w:t>2016;37:955–964.</w:t>
      </w:r>
    </w:p>
    <w:p>
      <w:pPr>
        <w:pStyle w:val="ListParagraph"/>
        <w:numPr>
          <w:ilvl w:val="0"/>
          <w:numId w:val="12"/>
        </w:numPr>
        <w:tabs>
          <w:tab w:pos="681" w:val="left" w:leader="none"/>
        </w:tabs>
        <w:spacing w:line="256" w:lineRule="auto" w:before="1" w:after="0"/>
        <w:ind w:left="680" w:right="129" w:hanging="571"/>
        <w:jc w:val="both"/>
        <w:rPr>
          <w:sz w:val="27"/>
        </w:rPr>
      </w:pPr>
      <w:r>
        <w:rPr>
          <w:sz w:val="27"/>
        </w:rPr>
        <w:t>Dickinson </w:t>
      </w:r>
      <w:r>
        <w:rPr>
          <w:spacing w:val="-3"/>
          <w:sz w:val="27"/>
        </w:rPr>
        <w:t>HO, </w:t>
      </w:r>
      <w:r>
        <w:rPr>
          <w:sz w:val="27"/>
        </w:rPr>
        <w:t>Mason JM, Nicolson DJ et al. Lifestyle interventions to reduce raised blood pressure: a systematic review of randomized controlled trials. J Hypertens</w:t>
      </w:r>
      <w:r>
        <w:rPr>
          <w:spacing w:val="12"/>
          <w:sz w:val="27"/>
        </w:rPr>
        <w:t> </w:t>
      </w:r>
      <w:r>
        <w:rPr>
          <w:sz w:val="27"/>
        </w:rPr>
        <w:t>2006;24:215–233.</w:t>
      </w:r>
    </w:p>
    <w:p>
      <w:pPr>
        <w:spacing w:after="0" w:line="256" w:lineRule="auto"/>
        <w:jc w:val="both"/>
        <w:rPr>
          <w:sz w:val="27"/>
        </w:rPr>
        <w:sectPr>
          <w:pgSz w:w="11900" w:h="16840"/>
          <w:pgMar w:top="0" w:bottom="0" w:left="1420" w:right="1520"/>
        </w:sectPr>
      </w:pPr>
    </w:p>
    <w:p>
      <w:pPr>
        <w:pStyle w:val="ListParagraph"/>
        <w:numPr>
          <w:ilvl w:val="0"/>
          <w:numId w:val="12"/>
        </w:numPr>
        <w:tabs>
          <w:tab w:pos="681" w:val="left" w:leader="none"/>
        </w:tabs>
        <w:spacing w:line="256" w:lineRule="auto" w:before="16" w:after="0"/>
        <w:ind w:left="680" w:right="129" w:hanging="571"/>
        <w:jc w:val="both"/>
        <w:rPr>
          <w:sz w:val="27"/>
        </w:rPr>
      </w:pPr>
      <w:r>
        <w:rPr>
          <w:w w:val="105"/>
          <w:sz w:val="27"/>
        </w:rPr>
        <w:t>Lim SS et al. A comparative risk assessment of burden of disease and</w:t>
      </w:r>
      <w:r>
        <w:rPr>
          <w:spacing w:val="-6"/>
          <w:w w:val="105"/>
          <w:sz w:val="27"/>
        </w:rPr>
        <w:t> </w:t>
      </w:r>
      <w:r>
        <w:rPr>
          <w:w w:val="105"/>
          <w:sz w:val="27"/>
        </w:rPr>
        <w:t>injury</w:t>
      </w:r>
      <w:r>
        <w:rPr>
          <w:spacing w:val="-5"/>
          <w:w w:val="105"/>
          <w:sz w:val="27"/>
        </w:rPr>
        <w:t> </w:t>
      </w:r>
      <w:r>
        <w:rPr>
          <w:w w:val="105"/>
          <w:sz w:val="27"/>
        </w:rPr>
        <w:t>attributable</w:t>
      </w:r>
      <w:r>
        <w:rPr>
          <w:spacing w:val="-5"/>
          <w:w w:val="105"/>
          <w:sz w:val="27"/>
        </w:rPr>
        <w:t> </w:t>
      </w:r>
      <w:r>
        <w:rPr>
          <w:w w:val="105"/>
          <w:sz w:val="27"/>
        </w:rPr>
        <w:t>to</w:t>
      </w:r>
      <w:r>
        <w:rPr>
          <w:spacing w:val="-6"/>
          <w:w w:val="105"/>
          <w:sz w:val="27"/>
        </w:rPr>
        <w:t> </w:t>
      </w:r>
      <w:r>
        <w:rPr>
          <w:w w:val="105"/>
          <w:sz w:val="27"/>
        </w:rPr>
        <w:t>67</w:t>
      </w:r>
      <w:r>
        <w:rPr>
          <w:spacing w:val="-5"/>
          <w:w w:val="105"/>
          <w:sz w:val="27"/>
        </w:rPr>
        <w:t> </w:t>
      </w:r>
      <w:r>
        <w:rPr>
          <w:w w:val="105"/>
          <w:sz w:val="27"/>
        </w:rPr>
        <w:t>risk</w:t>
      </w:r>
      <w:r>
        <w:rPr>
          <w:spacing w:val="-5"/>
          <w:w w:val="105"/>
          <w:sz w:val="27"/>
        </w:rPr>
        <w:t> </w:t>
      </w:r>
      <w:r>
        <w:rPr>
          <w:w w:val="105"/>
          <w:sz w:val="27"/>
        </w:rPr>
        <w:t>factors</w:t>
      </w:r>
      <w:r>
        <w:rPr>
          <w:spacing w:val="-5"/>
          <w:w w:val="105"/>
          <w:sz w:val="27"/>
        </w:rPr>
        <w:t> </w:t>
      </w:r>
      <w:r>
        <w:rPr>
          <w:w w:val="105"/>
          <w:sz w:val="27"/>
        </w:rPr>
        <w:t>and</w:t>
      </w:r>
      <w:r>
        <w:rPr>
          <w:spacing w:val="-6"/>
          <w:w w:val="105"/>
          <w:sz w:val="27"/>
        </w:rPr>
        <w:t> </w:t>
      </w:r>
      <w:r>
        <w:rPr>
          <w:w w:val="105"/>
          <w:sz w:val="27"/>
        </w:rPr>
        <w:t>risk</w:t>
      </w:r>
      <w:r>
        <w:rPr>
          <w:spacing w:val="-5"/>
          <w:w w:val="105"/>
          <w:sz w:val="27"/>
        </w:rPr>
        <w:t> </w:t>
      </w:r>
      <w:r>
        <w:rPr>
          <w:w w:val="105"/>
          <w:sz w:val="27"/>
        </w:rPr>
        <w:t>factor</w:t>
      </w:r>
      <w:r>
        <w:rPr>
          <w:spacing w:val="-5"/>
          <w:w w:val="105"/>
          <w:sz w:val="27"/>
        </w:rPr>
        <w:t> </w:t>
      </w:r>
      <w:r>
        <w:rPr>
          <w:w w:val="105"/>
          <w:sz w:val="27"/>
        </w:rPr>
        <w:t>clusters</w:t>
      </w:r>
      <w:r>
        <w:rPr>
          <w:spacing w:val="-5"/>
          <w:w w:val="105"/>
          <w:sz w:val="27"/>
        </w:rPr>
        <w:t> </w:t>
      </w:r>
      <w:r>
        <w:rPr>
          <w:w w:val="105"/>
          <w:sz w:val="27"/>
        </w:rPr>
        <w:t>in 21</w:t>
      </w:r>
      <w:r>
        <w:rPr>
          <w:spacing w:val="-13"/>
          <w:w w:val="105"/>
          <w:sz w:val="27"/>
        </w:rPr>
        <w:t> </w:t>
      </w:r>
      <w:r>
        <w:rPr>
          <w:w w:val="105"/>
          <w:sz w:val="27"/>
        </w:rPr>
        <w:t>regions,</w:t>
      </w:r>
      <w:r>
        <w:rPr>
          <w:spacing w:val="-13"/>
          <w:w w:val="105"/>
          <w:sz w:val="27"/>
        </w:rPr>
        <w:t> </w:t>
      </w:r>
      <w:r>
        <w:rPr>
          <w:w w:val="105"/>
          <w:sz w:val="27"/>
        </w:rPr>
        <w:t>1990–2010:</w:t>
      </w:r>
      <w:r>
        <w:rPr>
          <w:spacing w:val="-13"/>
          <w:w w:val="105"/>
          <w:sz w:val="27"/>
        </w:rPr>
        <w:t> </w:t>
      </w:r>
      <w:r>
        <w:rPr>
          <w:w w:val="105"/>
          <w:sz w:val="27"/>
        </w:rPr>
        <w:t>a</w:t>
      </w:r>
      <w:r>
        <w:rPr>
          <w:spacing w:val="-13"/>
          <w:w w:val="105"/>
          <w:sz w:val="27"/>
        </w:rPr>
        <w:t> </w:t>
      </w:r>
      <w:r>
        <w:rPr>
          <w:w w:val="105"/>
          <w:sz w:val="27"/>
        </w:rPr>
        <w:t>systematic</w:t>
      </w:r>
      <w:r>
        <w:rPr>
          <w:spacing w:val="-13"/>
          <w:w w:val="105"/>
          <w:sz w:val="27"/>
        </w:rPr>
        <w:t> </w:t>
      </w:r>
      <w:r>
        <w:rPr>
          <w:w w:val="105"/>
          <w:sz w:val="27"/>
        </w:rPr>
        <w:t>analysis</w:t>
      </w:r>
      <w:r>
        <w:rPr>
          <w:spacing w:val="-12"/>
          <w:w w:val="105"/>
          <w:sz w:val="27"/>
        </w:rPr>
        <w:t> </w:t>
      </w:r>
      <w:r>
        <w:rPr>
          <w:w w:val="105"/>
          <w:sz w:val="27"/>
        </w:rPr>
        <w:t>for</w:t>
      </w:r>
      <w:r>
        <w:rPr>
          <w:spacing w:val="-13"/>
          <w:w w:val="105"/>
          <w:sz w:val="27"/>
        </w:rPr>
        <w:t> </w:t>
      </w:r>
      <w:r>
        <w:rPr>
          <w:w w:val="105"/>
          <w:sz w:val="27"/>
        </w:rPr>
        <w:t>the</w:t>
      </w:r>
      <w:r>
        <w:rPr>
          <w:spacing w:val="-13"/>
          <w:w w:val="105"/>
          <w:sz w:val="27"/>
        </w:rPr>
        <w:t> </w:t>
      </w:r>
      <w:r>
        <w:rPr>
          <w:w w:val="105"/>
          <w:sz w:val="27"/>
        </w:rPr>
        <w:t>Global</w:t>
      </w:r>
      <w:r>
        <w:rPr>
          <w:spacing w:val="-13"/>
          <w:w w:val="105"/>
          <w:sz w:val="27"/>
        </w:rPr>
        <w:t> </w:t>
      </w:r>
      <w:r>
        <w:rPr>
          <w:w w:val="105"/>
          <w:sz w:val="27"/>
        </w:rPr>
        <w:t>Burden of</w:t>
      </w:r>
      <w:r>
        <w:rPr>
          <w:spacing w:val="-9"/>
          <w:w w:val="105"/>
          <w:sz w:val="27"/>
        </w:rPr>
        <w:t> </w:t>
      </w:r>
      <w:r>
        <w:rPr>
          <w:w w:val="105"/>
          <w:sz w:val="27"/>
        </w:rPr>
        <w:t>Disease</w:t>
      </w:r>
      <w:r>
        <w:rPr>
          <w:spacing w:val="-8"/>
          <w:w w:val="105"/>
          <w:sz w:val="27"/>
        </w:rPr>
        <w:t> </w:t>
      </w:r>
      <w:r>
        <w:rPr>
          <w:w w:val="105"/>
          <w:sz w:val="27"/>
        </w:rPr>
        <w:t>Study</w:t>
      </w:r>
      <w:r>
        <w:rPr>
          <w:spacing w:val="-8"/>
          <w:w w:val="105"/>
          <w:sz w:val="27"/>
        </w:rPr>
        <w:t> </w:t>
      </w:r>
      <w:r>
        <w:rPr>
          <w:w w:val="105"/>
          <w:sz w:val="27"/>
        </w:rPr>
        <w:t>2010.</w:t>
      </w:r>
      <w:r>
        <w:rPr>
          <w:spacing w:val="-9"/>
          <w:w w:val="105"/>
          <w:sz w:val="27"/>
        </w:rPr>
        <w:t> </w:t>
      </w:r>
      <w:r>
        <w:rPr>
          <w:w w:val="105"/>
          <w:sz w:val="27"/>
        </w:rPr>
        <w:t>The</w:t>
      </w:r>
      <w:r>
        <w:rPr>
          <w:spacing w:val="-8"/>
          <w:w w:val="105"/>
          <w:sz w:val="27"/>
        </w:rPr>
        <w:t> </w:t>
      </w:r>
      <w:r>
        <w:rPr>
          <w:w w:val="105"/>
          <w:sz w:val="27"/>
        </w:rPr>
        <w:t>Lancet</w:t>
      </w:r>
      <w:r>
        <w:rPr>
          <w:spacing w:val="-8"/>
          <w:w w:val="105"/>
          <w:sz w:val="27"/>
        </w:rPr>
        <w:t> </w:t>
      </w:r>
      <w:r>
        <w:rPr>
          <w:w w:val="105"/>
          <w:sz w:val="27"/>
        </w:rPr>
        <w:t>380.9859</w:t>
      </w:r>
      <w:r>
        <w:rPr>
          <w:spacing w:val="-8"/>
          <w:w w:val="105"/>
          <w:sz w:val="27"/>
        </w:rPr>
        <w:t> </w:t>
      </w:r>
      <w:r>
        <w:rPr>
          <w:w w:val="105"/>
          <w:sz w:val="27"/>
        </w:rPr>
        <w:t>(2012):</w:t>
      </w:r>
      <w:r>
        <w:rPr>
          <w:spacing w:val="-9"/>
          <w:w w:val="105"/>
          <w:sz w:val="27"/>
        </w:rPr>
        <w:t> </w:t>
      </w:r>
      <w:r>
        <w:rPr>
          <w:w w:val="105"/>
          <w:sz w:val="27"/>
        </w:rPr>
        <w:t>2224–2260.</w:t>
      </w:r>
    </w:p>
    <w:p>
      <w:pPr>
        <w:pStyle w:val="ListParagraph"/>
        <w:numPr>
          <w:ilvl w:val="0"/>
          <w:numId w:val="12"/>
        </w:numPr>
        <w:tabs>
          <w:tab w:pos="681" w:val="left" w:leader="none"/>
        </w:tabs>
        <w:spacing w:line="256" w:lineRule="auto" w:before="2" w:after="0"/>
        <w:ind w:left="680" w:right="129" w:hanging="571"/>
        <w:jc w:val="both"/>
        <w:rPr>
          <w:sz w:val="27"/>
        </w:rPr>
      </w:pPr>
      <w:r>
        <w:rPr>
          <w:sz w:val="27"/>
        </w:rPr>
        <w:t>He FJ, Li J, Macgregor GA. Effect of longer-term modest salt reduction on blood pressure. Cochrane Database Syst </w:t>
      </w:r>
      <w:r>
        <w:rPr>
          <w:spacing w:val="-4"/>
          <w:sz w:val="27"/>
        </w:rPr>
        <w:t>Rev </w:t>
      </w:r>
      <w:r>
        <w:rPr>
          <w:sz w:val="27"/>
        </w:rPr>
        <w:t>2013;4:CD004937.</w:t>
      </w:r>
    </w:p>
    <w:p>
      <w:pPr>
        <w:pStyle w:val="ListParagraph"/>
        <w:numPr>
          <w:ilvl w:val="0"/>
          <w:numId w:val="12"/>
        </w:numPr>
        <w:tabs>
          <w:tab w:pos="681" w:val="left" w:leader="none"/>
        </w:tabs>
        <w:spacing w:line="256" w:lineRule="auto" w:before="1" w:after="0"/>
        <w:ind w:left="680" w:right="128" w:hanging="571"/>
        <w:jc w:val="both"/>
        <w:rPr>
          <w:sz w:val="27"/>
        </w:rPr>
      </w:pPr>
      <w:r>
        <w:rPr>
          <w:sz w:val="27"/>
        </w:rPr>
        <w:t>Graudal NA, Hubeck-Graudal </w:t>
      </w:r>
      <w:r>
        <w:rPr>
          <w:spacing w:val="-7"/>
          <w:sz w:val="27"/>
        </w:rPr>
        <w:t>T, </w:t>
      </w:r>
      <w:r>
        <w:rPr>
          <w:sz w:val="27"/>
        </w:rPr>
        <w:t>Jurgens G. Effects of low-sodium diet vs. highsodium diet on blood pressure, renin, aldosterone, catecholamines, cholesterol, and triglyceride (Cochrane Review). Am J Hypertens</w:t>
      </w:r>
      <w:r>
        <w:rPr>
          <w:spacing w:val="-2"/>
          <w:sz w:val="27"/>
        </w:rPr>
        <w:t> </w:t>
      </w:r>
      <w:r>
        <w:rPr>
          <w:sz w:val="27"/>
        </w:rPr>
        <w:t>2012;25:1–15.</w:t>
      </w:r>
    </w:p>
    <w:p>
      <w:pPr>
        <w:pStyle w:val="ListParagraph"/>
        <w:numPr>
          <w:ilvl w:val="0"/>
          <w:numId w:val="12"/>
        </w:numPr>
        <w:tabs>
          <w:tab w:pos="681" w:val="left" w:leader="none"/>
        </w:tabs>
        <w:spacing w:line="256" w:lineRule="auto" w:before="2" w:after="0"/>
        <w:ind w:left="680" w:right="132" w:hanging="571"/>
        <w:jc w:val="both"/>
        <w:rPr>
          <w:sz w:val="27"/>
        </w:rPr>
      </w:pPr>
      <w:r>
        <w:rPr>
          <w:sz w:val="27"/>
        </w:rPr>
        <w:t>Taylor RS, Ashton KE, Moxham </w:t>
      </w:r>
      <w:r>
        <w:rPr>
          <w:spacing w:val="-7"/>
          <w:sz w:val="27"/>
        </w:rPr>
        <w:t>T, </w:t>
      </w:r>
      <w:r>
        <w:rPr>
          <w:sz w:val="27"/>
        </w:rPr>
        <w:t>et al. Reduced dietary salt for the prevention of cardiovascular disease: a meta-analysis </w:t>
      </w:r>
      <w:r>
        <w:rPr>
          <w:spacing w:val="-6"/>
          <w:sz w:val="27"/>
        </w:rPr>
        <w:t>of  </w:t>
      </w:r>
      <w:r>
        <w:rPr>
          <w:sz w:val="27"/>
        </w:rPr>
        <w:t>randomized controlled trials (Cochrane review). Am J Hypertens 2011;24:843–853.</w:t>
      </w:r>
    </w:p>
    <w:p>
      <w:pPr>
        <w:pStyle w:val="ListParagraph"/>
        <w:numPr>
          <w:ilvl w:val="0"/>
          <w:numId w:val="12"/>
        </w:numPr>
        <w:tabs>
          <w:tab w:pos="681" w:val="left" w:leader="none"/>
        </w:tabs>
        <w:spacing w:line="256" w:lineRule="auto" w:before="1" w:after="0"/>
        <w:ind w:left="680" w:right="128" w:hanging="571"/>
        <w:jc w:val="both"/>
        <w:rPr>
          <w:sz w:val="27"/>
        </w:rPr>
      </w:pPr>
      <w:r>
        <w:rPr>
          <w:w w:val="105"/>
          <w:sz w:val="27"/>
        </w:rPr>
        <w:t>Aburto NJ, Ziolkovska A, Hooper L, et al. Effect of lower</w:t>
      </w:r>
      <w:r>
        <w:rPr>
          <w:spacing w:val="-12"/>
          <w:w w:val="105"/>
          <w:sz w:val="27"/>
        </w:rPr>
        <w:t> </w:t>
      </w:r>
      <w:r>
        <w:rPr>
          <w:w w:val="105"/>
          <w:sz w:val="27"/>
        </w:rPr>
        <w:t>sodium intake on health: systematic review and meta-analyses. </w:t>
      </w:r>
      <w:r>
        <w:rPr>
          <w:spacing w:val="-4"/>
          <w:w w:val="105"/>
          <w:sz w:val="27"/>
        </w:rPr>
        <w:t>BMJ </w:t>
      </w:r>
      <w:r>
        <w:rPr>
          <w:w w:val="105"/>
          <w:sz w:val="27"/>
        </w:rPr>
        <w:t>2013;346:f1326.</w:t>
      </w:r>
    </w:p>
    <w:p>
      <w:pPr>
        <w:pStyle w:val="ListParagraph"/>
        <w:numPr>
          <w:ilvl w:val="0"/>
          <w:numId w:val="12"/>
        </w:numPr>
        <w:tabs>
          <w:tab w:pos="681" w:val="left" w:leader="none"/>
        </w:tabs>
        <w:spacing w:line="256" w:lineRule="auto" w:before="2" w:after="0"/>
        <w:ind w:left="680" w:right="130" w:hanging="571"/>
        <w:jc w:val="both"/>
        <w:rPr>
          <w:sz w:val="27"/>
        </w:rPr>
      </w:pPr>
      <w:r>
        <w:rPr>
          <w:w w:val="105"/>
          <w:sz w:val="27"/>
        </w:rPr>
        <w:t>Xin Xue et al. Effects of alcohol reduction on blood pressure: a meta-analysis of randomized controlled trials. Hypertension 38.5 (2001):</w:t>
      </w:r>
      <w:r>
        <w:rPr>
          <w:spacing w:val="-5"/>
          <w:w w:val="105"/>
          <w:sz w:val="27"/>
        </w:rPr>
        <w:t> </w:t>
      </w:r>
      <w:r>
        <w:rPr>
          <w:spacing w:val="-3"/>
          <w:w w:val="105"/>
          <w:sz w:val="27"/>
        </w:rPr>
        <w:t>1112–1117.</w:t>
      </w:r>
    </w:p>
    <w:p>
      <w:pPr>
        <w:pStyle w:val="ListParagraph"/>
        <w:numPr>
          <w:ilvl w:val="0"/>
          <w:numId w:val="12"/>
        </w:numPr>
        <w:tabs>
          <w:tab w:pos="681" w:val="left" w:leader="none"/>
        </w:tabs>
        <w:spacing w:line="256" w:lineRule="auto" w:before="1" w:after="0"/>
        <w:ind w:left="680" w:right="136" w:hanging="571"/>
        <w:jc w:val="both"/>
        <w:rPr>
          <w:sz w:val="27"/>
        </w:rPr>
      </w:pPr>
      <w:r>
        <w:rPr>
          <w:w w:val="105"/>
          <w:sz w:val="27"/>
        </w:rPr>
        <w:t>Gay H. C. et al. Effects of different dietary interventions on</w:t>
      </w:r>
      <w:r>
        <w:rPr>
          <w:spacing w:val="-37"/>
          <w:w w:val="105"/>
          <w:sz w:val="27"/>
        </w:rPr>
        <w:t> </w:t>
      </w:r>
      <w:r>
        <w:rPr>
          <w:w w:val="105"/>
          <w:sz w:val="27"/>
        </w:rPr>
        <w:t>blood pressure: systematic review and meta-analysis of randomized controlled trials //Hypertension. – 2016. – Т. </w:t>
      </w:r>
      <w:r>
        <w:rPr>
          <w:spacing w:val="-10"/>
          <w:w w:val="105"/>
          <w:sz w:val="27"/>
        </w:rPr>
        <w:t>67. </w:t>
      </w:r>
      <w:r>
        <w:rPr>
          <w:w w:val="105"/>
          <w:sz w:val="27"/>
        </w:rPr>
        <w:t>– </w:t>
      </w:r>
      <w:r>
        <w:rPr>
          <w:spacing w:val="8"/>
          <w:w w:val="105"/>
          <w:sz w:val="27"/>
        </w:rPr>
        <w:t>№. </w:t>
      </w:r>
      <w:r>
        <w:rPr>
          <w:w w:val="105"/>
          <w:sz w:val="27"/>
        </w:rPr>
        <w:t>4. – С. 733- 739.</w:t>
      </w:r>
    </w:p>
    <w:p>
      <w:pPr>
        <w:pStyle w:val="ListParagraph"/>
        <w:numPr>
          <w:ilvl w:val="0"/>
          <w:numId w:val="12"/>
        </w:numPr>
        <w:tabs>
          <w:tab w:pos="681" w:val="left" w:leader="none"/>
        </w:tabs>
        <w:spacing w:line="256" w:lineRule="auto" w:before="1" w:after="0"/>
        <w:ind w:left="680" w:right="137" w:hanging="571"/>
        <w:jc w:val="both"/>
        <w:rPr>
          <w:sz w:val="27"/>
        </w:rPr>
      </w:pPr>
      <w:r>
        <w:rPr>
          <w:sz w:val="27"/>
        </w:rPr>
        <w:t>Neter JE, Stam BE, </w:t>
      </w:r>
      <w:r>
        <w:rPr>
          <w:spacing w:val="-5"/>
          <w:sz w:val="27"/>
        </w:rPr>
        <w:t>Kok </w:t>
      </w:r>
      <w:r>
        <w:rPr>
          <w:sz w:val="27"/>
        </w:rPr>
        <w:t>FJ, et al. Inﬂuence of weight reduction on blood pressure: a meta-analysis of randomized controlled trials.Hypertension</w:t>
      </w:r>
      <w:r>
        <w:rPr>
          <w:spacing w:val="1"/>
          <w:sz w:val="27"/>
        </w:rPr>
        <w:t> </w:t>
      </w:r>
      <w:r>
        <w:rPr>
          <w:sz w:val="27"/>
        </w:rPr>
        <w:t>2003;42:878–884.</w:t>
      </w:r>
    </w:p>
    <w:p>
      <w:pPr>
        <w:pStyle w:val="ListParagraph"/>
        <w:numPr>
          <w:ilvl w:val="0"/>
          <w:numId w:val="12"/>
        </w:numPr>
        <w:tabs>
          <w:tab w:pos="681" w:val="left" w:leader="none"/>
        </w:tabs>
        <w:spacing w:line="256" w:lineRule="auto" w:before="2" w:after="0"/>
        <w:ind w:left="680" w:right="129" w:hanging="571"/>
        <w:jc w:val="both"/>
        <w:rPr>
          <w:sz w:val="27"/>
        </w:rPr>
      </w:pPr>
      <w:r>
        <w:rPr>
          <w:w w:val="105"/>
          <w:sz w:val="27"/>
        </w:rPr>
        <w:t>Flegal</w:t>
      </w:r>
      <w:r>
        <w:rPr>
          <w:spacing w:val="-34"/>
          <w:w w:val="105"/>
          <w:sz w:val="27"/>
        </w:rPr>
        <w:t> </w:t>
      </w:r>
      <w:r>
        <w:rPr>
          <w:w w:val="105"/>
          <w:sz w:val="27"/>
        </w:rPr>
        <w:t>KM,</w:t>
      </w:r>
      <w:r>
        <w:rPr>
          <w:spacing w:val="-33"/>
          <w:w w:val="105"/>
          <w:sz w:val="27"/>
        </w:rPr>
        <w:t> </w:t>
      </w:r>
      <w:r>
        <w:rPr>
          <w:w w:val="105"/>
          <w:sz w:val="27"/>
        </w:rPr>
        <w:t>Kit</w:t>
      </w:r>
      <w:r>
        <w:rPr>
          <w:spacing w:val="-33"/>
          <w:w w:val="105"/>
          <w:sz w:val="27"/>
        </w:rPr>
        <w:t> </w:t>
      </w:r>
      <w:r>
        <w:rPr>
          <w:w w:val="105"/>
          <w:sz w:val="27"/>
        </w:rPr>
        <w:t>BK,</w:t>
      </w:r>
      <w:r>
        <w:rPr>
          <w:spacing w:val="-33"/>
          <w:w w:val="105"/>
          <w:sz w:val="27"/>
        </w:rPr>
        <w:t> </w:t>
      </w:r>
      <w:r>
        <w:rPr>
          <w:w w:val="105"/>
          <w:sz w:val="27"/>
        </w:rPr>
        <w:t>Orpana</w:t>
      </w:r>
      <w:r>
        <w:rPr>
          <w:spacing w:val="-33"/>
          <w:w w:val="105"/>
          <w:sz w:val="27"/>
        </w:rPr>
        <w:t> </w:t>
      </w:r>
      <w:r>
        <w:rPr>
          <w:w w:val="105"/>
          <w:sz w:val="27"/>
        </w:rPr>
        <w:t>H,</w:t>
      </w:r>
      <w:r>
        <w:rPr>
          <w:spacing w:val="-33"/>
          <w:w w:val="105"/>
          <w:sz w:val="27"/>
        </w:rPr>
        <w:t> </w:t>
      </w:r>
      <w:r>
        <w:rPr>
          <w:w w:val="105"/>
          <w:sz w:val="27"/>
        </w:rPr>
        <w:t>Graubard</w:t>
      </w:r>
      <w:r>
        <w:rPr>
          <w:spacing w:val="-33"/>
          <w:w w:val="105"/>
          <w:sz w:val="27"/>
        </w:rPr>
        <w:t> </w:t>
      </w:r>
      <w:r>
        <w:rPr>
          <w:w w:val="105"/>
          <w:sz w:val="27"/>
        </w:rPr>
        <w:t>BI.</w:t>
      </w:r>
      <w:r>
        <w:rPr>
          <w:spacing w:val="-33"/>
          <w:w w:val="105"/>
          <w:sz w:val="27"/>
        </w:rPr>
        <w:t> </w:t>
      </w:r>
      <w:r>
        <w:rPr>
          <w:w w:val="105"/>
          <w:sz w:val="27"/>
        </w:rPr>
        <w:t>Association</w:t>
      </w:r>
      <w:r>
        <w:rPr>
          <w:spacing w:val="-34"/>
          <w:w w:val="105"/>
          <w:sz w:val="27"/>
        </w:rPr>
        <w:t> </w:t>
      </w:r>
      <w:r>
        <w:rPr>
          <w:w w:val="105"/>
          <w:sz w:val="27"/>
        </w:rPr>
        <w:t>of</w:t>
      </w:r>
      <w:r>
        <w:rPr>
          <w:spacing w:val="-33"/>
          <w:w w:val="105"/>
          <w:sz w:val="27"/>
        </w:rPr>
        <w:t> </w:t>
      </w:r>
      <w:r>
        <w:rPr>
          <w:w w:val="105"/>
          <w:sz w:val="27"/>
        </w:rPr>
        <w:t>all-cause mortality</w:t>
      </w:r>
      <w:r>
        <w:rPr>
          <w:spacing w:val="-9"/>
          <w:w w:val="105"/>
          <w:sz w:val="27"/>
        </w:rPr>
        <w:t> </w:t>
      </w:r>
      <w:r>
        <w:rPr>
          <w:w w:val="105"/>
          <w:sz w:val="27"/>
        </w:rPr>
        <w:t>with</w:t>
      </w:r>
      <w:r>
        <w:rPr>
          <w:spacing w:val="-9"/>
          <w:w w:val="105"/>
          <w:sz w:val="27"/>
        </w:rPr>
        <w:t> </w:t>
      </w:r>
      <w:r>
        <w:rPr>
          <w:w w:val="105"/>
          <w:sz w:val="27"/>
        </w:rPr>
        <w:t>overweight</w:t>
      </w:r>
      <w:r>
        <w:rPr>
          <w:spacing w:val="-9"/>
          <w:w w:val="105"/>
          <w:sz w:val="27"/>
        </w:rPr>
        <w:t> </w:t>
      </w:r>
      <w:r>
        <w:rPr>
          <w:w w:val="105"/>
          <w:sz w:val="27"/>
        </w:rPr>
        <w:t>and</w:t>
      </w:r>
      <w:r>
        <w:rPr>
          <w:spacing w:val="-8"/>
          <w:w w:val="105"/>
          <w:sz w:val="27"/>
        </w:rPr>
        <w:t> </w:t>
      </w:r>
      <w:r>
        <w:rPr>
          <w:w w:val="105"/>
          <w:sz w:val="27"/>
        </w:rPr>
        <w:t>obesity</w:t>
      </w:r>
      <w:r>
        <w:rPr>
          <w:spacing w:val="-9"/>
          <w:w w:val="105"/>
          <w:sz w:val="27"/>
        </w:rPr>
        <w:t> </w:t>
      </w:r>
      <w:r>
        <w:rPr>
          <w:w w:val="105"/>
          <w:sz w:val="27"/>
        </w:rPr>
        <w:t>using</w:t>
      </w:r>
      <w:r>
        <w:rPr>
          <w:spacing w:val="-9"/>
          <w:w w:val="105"/>
          <w:sz w:val="27"/>
        </w:rPr>
        <w:t> </w:t>
      </w:r>
      <w:r>
        <w:rPr>
          <w:w w:val="105"/>
          <w:sz w:val="27"/>
        </w:rPr>
        <w:t>standard</w:t>
      </w:r>
      <w:r>
        <w:rPr>
          <w:spacing w:val="-8"/>
          <w:w w:val="105"/>
          <w:sz w:val="27"/>
        </w:rPr>
        <w:t> </w:t>
      </w:r>
      <w:r>
        <w:rPr>
          <w:w w:val="105"/>
          <w:sz w:val="27"/>
        </w:rPr>
        <w:t>body</w:t>
      </w:r>
      <w:r>
        <w:rPr>
          <w:spacing w:val="-9"/>
          <w:w w:val="105"/>
          <w:sz w:val="27"/>
        </w:rPr>
        <w:t> </w:t>
      </w:r>
      <w:r>
        <w:rPr>
          <w:w w:val="105"/>
          <w:sz w:val="27"/>
        </w:rPr>
        <w:t>mass index categories: a systematic review and meta-analysis. JAMA 2013;309:71–82.</w:t>
      </w:r>
    </w:p>
    <w:p>
      <w:pPr>
        <w:pStyle w:val="ListParagraph"/>
        <w:numPr>
          <w:ilvl w:val="0"/>
          <w:numId w:val="12"/>
        </w:numPr>
        <w:tabs>
          <w:tab w:pos="681" w:val="left" w:leader="none"/>
        </w:tabs>
        <w:spacing w:line="256" w:lineRule="auto" w:before="1" w:after="0"/>
        <w:ind w:left="680" w:right="139" w:hanging="571"/>
        <w:jc w:val="both"/>
        <w:rPr>
          <w:sz w:val="27"/>
        </w:rPr>
      </w:pPr>
      <w:r>
        <w:rPr>
          <w:sz w:val="27"/>
        </w:rPr>
        <w:t>Berrington de Gonzalez A et al. Body-mass index and mortality among 1.46 million white adults. New England Journal of Medicine 363.23 (2010):</w:t>
      </w:r>
      <w:r>
        <w:rPr>
          <w:spacing w:val="1"/>
          <w:sz w:val="27"/>
        </w:rPr>
        <w:t> </w:t>
      </w:r>
      <w:r>
        <w:rPr>
          <w:sz w:val="27"/>
        </w:rPr>
        <w:t>2211–2219.</w:t>
      </w:r>
    </w:p>
    <w:p>
      <w:pPr>
        <w:pStyle w:val="ListParagraph"/>
        <w:numPr>
          <w:ilvl w:val="0"/>
          <w:numId w:val="12"/>
        </w:numPr>
        <w:tabs>
          <w:tab w:pos="681" w:val="left" w:leader="none"/>
        </w:tabs>
        <w:spacing w:line="256" w:lineRule="auto" w:before="2" w:after="0"/>
        <w:ind w:left="680" w:right="130" w:hanging="571"/>
        <w:jc w:val="both"/>
        <w:rPr>
          <w:sz w:val="27"/>
        </w:rPr>
      </w:pPr>
      <w:r>
        <w:rPr>
          <w:sz w:val="27"/>
        </w:rPr>
        <w:t>Leitzmann MF et al. Physical activity recommendations and decreased risk of mortality. Archives of internal medicine </w:t>
      </w:r>
      <w:r>
        <w:rPr>
          <w:spacing w:val="-5"/>
          <w:sz w:val="27"/>
        </w:rPr>
        <w:t>167.22 </w:t>
      </w:r>
      <w:r>
        <w:rPr>
          <w:sz w:val="27"/>
        </w:rPr>
        <w:t>(2007):</w:t>
      </w:r>
      <w:r>
        <w:rPr>
          <w:spacing w:val="-1"/>
          <w:sz w:val="27"/>
        </w:rPr>
        <w:t> </w:t>
      </w:r>
      <w:r>
        <w:rPr>
          <w:sz w:val="27"/>
        </w:rPr>
        <w:t>2453–2460.</w:t>
      </w:r>
    </w:p>
    <w:p>
      <w:pPr>
        <w:pStyle w:val="ListParagraph"/>
        <w:numPr>
          <w:ilvl w:val="0"/>
          <w:numId w:val="12"/>
        </w:numPr>
        <w:tabs>
          <w:tab w:pos="681" w:val="left" w:leader="none"/>
        </w:tabs>
        <w:spacing w:line="256" w:lineRule="auto" w:before="1" w:after="0"/>
        <w:ind w:left="680" w:right="133" w:hanging="571"/>
        <w:jc w:val="both"/>
        <w:rPr>
          <w:sz w:val="27"/>
        </w:rPr>
      </w:pPr>
      <w:r>
        <w:rPr>
          <w:sz w:val="27"/>
        </w:rPr>
        <w:t>Rossi A et al. The impact of physical activity on mortality in patients with high blood pressure: a systematic </w:t>
      </w:r>
      <w:r>
        <w:rPr>
          <w:spacing w:val="-3"/>
          <w:sz w:val="27"/>
        </w:rPr>
        <w:t>review. </w:t>
      </w:r>
      <w:r>
        <w:rPr>
          <w:sz w:val="27"/>
        </w:rPr>
        <w:t>Journal </w:t>
      </w:r>
      <w:r>
        <w:rPr>
          <w:spacing w:val="-6"/>
          <w:sz w:val="27"/>
        </w:rPr>
        <w:t>of </w:t>
      </w:r>
      <w:r>
        <w:rPr>
          <w:sz w:val="27"/>
        </w:rPr>
        <w:t>hypertension 30.7 (2012):</w:t>
      </w:r>
      <w:r>
        <w:rPr>
          <w:spacing w:val="4"/>
          <w:sz w:val="27"/>
        </w:rPr>
        <w:t> </w:t>
      </w:r>
      <w:r>
        <w:rPr>
          <w:sz w:val="27"/>
        </w:rPr>
        <w:t>1277–1288.</w:t>
      </w:r>
    </w:p>
    <w:p>
      <w:pPr>
        <w:pStyle w:val="ListParagraph"/>
        <w:numPr>
          <w:ilvl w:val="0"/>
          <w:numId w:val="12"/>
        </w:numPr>
        <w:tabs>
          <w:tab w:pos="681" w:val="left" w:leader="none"/>
        </w:tabs>
        <w:spacing w:line="256" w:lineRule="auto" w:before="1" w:after="0"/>
        <w:ind w:left="680" w:right="132" w:hanging="571"/>
        <w:jc w:val="both"/>
        <w:rPr>
          <w:sz w:val="27"/>
        </w:rPr>
      </w:pPr>
      <w:r>
        <w:rPr>
          <w:w w:val="105"/>
          <w:sz w:val="27"/>
        </w:rPr>
        <w:t>Shinton R, Beevers G. Meta-analysis of relation between</w:t>
      </w:r>
      <w:r>
        <w:rPr>
          <w:spacing w:val="-15"/>
          <w:w w:val="105"/>
          <w:sz w:val="27"/>
        </w:rPr>
        <w:t> </w:t>
      </w:r>
      <w:r>
        <w:rPr>
          <w:w w:val="105"/>
          <w:sz w:val="27"/>
        </w:rPr>
        <w:t>cigarette smoking and stroke. Bmj 298.6676 (1989):</w:t>
      </w:r>
      <w:r>
        <w:rPr>
          <w:spacing w:val="-42"/>
          <w:w w:val="105"/>
          <w:sz w:val="27"/>
        </w:rPr>
        <w:t> </w:t>
      </w:r>
      <w:r>
        <w:rPr>
          <w:w w:val="105"/>
          <w:sz w:val="27"/>
        </w:rPr>
        <w:t>789–794.</w:t>
      </w:r>
    </w:p>
    <w:p>
      <w:pPr>
        <w:spacing w:after="0" w:line="256" w:lineRule="auto"/>
        <w:jc w:val="both"/>
        <w:rPr>
          <w:sz w:val="27"/>
        </w:rPr>
        <w:sectPr>
          <w:pgSz w:w="11900" w:h="16840"/>
          <w:pgMar w:top="0" w:bottom="0" w:left="1420" w:right="1520"/>
        </w:sectPr>
      </w:pPr>
    </w:p>
    <w:p>
      <w:pPr>
        <w:pStyle w:val="ListParagraph"/>
        <w:numPr>
          <w:ilvl w:val="0"/>
          <w:numId w:val="12"/>
        </w:numPr>
        <w:tabs>
          <w:tab w:pos="681" w:val="left" w:leader="none"/>
        </w:tabs>
        <w:spacing w:line="256" w:lineRule="auto" w:before="16" w:after="0"/>
        <w:ind w:left="680" w:right="128" w:hanging="571"/>
        <w:jc w:val="both"/>
        <w:rPr>
          <w:sz w:val="27"/>
        </w:rPr>
      </w:pPr>
      <w:r>
        <w:rPr>
          <w:sz w:val="27"/>
        </w:rPr>
        <w:t>He Jiang et al. Passive smoking and the risk of coronary heart disease—a meta-analysis of epidemiologic studies. New England Journal of Medicine 340.12 (1999):</w:t>
      </w:r>
      <w:r>
        <w:rPr>
          <w:spacing w:val="9"/>
          <w:sz w:val="27"/>
        </w:rPr>
        <w:t> </w:t>
      </w:r>
      <w:r>
        <w:rPr>
          <w:sz w:val="27"/>
        </w:rPr>
        <w:t>920-926.</w:t>
      </w:r>
    </w:p>
    <w:p>
      <w:pPr>
        <w:pStyle w:val="ListParagraph"/>
        <w:numPr>
          <w:ilvl w:val="0"/>
          <w:numId w:val="12"/>
        </w:numPr>
        <w:tabs>
          <w:tab w:pos="681" w:val="left" w:leader="none"/>
        </w:tabs>
        <w:spacing w:line="256" w:lineRule="auto" w:before="2" w:after="0"/>
        <w:ind w:left="680" w:right="129" w:hanging="571"/>
        <w:jc w:val="both"/>
        <w:rPr>
          <w:sz w:val="27"/>
        </w:rPr>
      </w:pPr>
      <w:r>
        <w:rPr>
          <w:sz w:val="27"/>
        </w:rPr>
        <w:t>Linneberg A et al. Effect of smoking on blood pressure and resting heart rate: a mendelian randomization meta-analysis in the </w:t>
      </w:r>
      <w:r>
        <w:rPr>
          <w:spacing w:val="-9"/>
          <w:sz w:val="27"/>
        </w:rPr>
        <w:t>CARTA</w:t>
      </w:r>
      <w:r>
        <w:rPr>
          <w:spacing w:val="49"/>
          <w:sz w:val="27"/>
        </w:rPr>
        <w:t> </w:t>
      </w:r>
      <w:r>
        <w:rPr>
          <w:sz w:val="27"/>
        </w:rPr>
        <w:t>Consortium. Circulation: Cardiovascular Genetics 8.6 (2015): 832– 841.</w:t>
      </w:r>
    </w:p>
    <w:p>
      <w:pPr>
        <w:pStyle w:val="ListParagraph"/>
        <w:numPr>
          <w:ilvl w:val="0"/>
          <w:numId w:val="12"/>
        </w:numPr>
        <w:tabs>
          <w:tab w:pos="681" w:val="left" w:leader="none"/>
        </w:tabs>
        <w:spacing w:line="256" w:lineRule="auto" w:before="1" w:after="0"/>
        <w:ind w:left="680" w:right="129" w:hanging="571"/>
        <w:jc w:val="both"/>
        <w:rPr>
          <w:sz w:val="27"/>
        </w:rPr>
      </w:pPr>
      <w:r>
        <w:rPr>
          <w:sz w:val="27"/>
        </w:rPr>
        <w:t>Matsuzaki M, Ogihara </w:t>
      </w:r>
      <w:r>
        <w:rPr>
          <w:spacing w:val="-7"/>
          <w:sz w:val="27"/>
        </w:rPr>
        <w:t>T, </w:t>
      </w:r>
      <w:r>
        <w:rPr>
          <w:sz w:val="27"/>
        </w:rPr>
        <w:t>Umemoto S et al. Combination Therapy of Hypertension to Prevent Cardiovascular Events Trial Group. Prevention of cardiovascular events with calcium channel blocker- based combination therapies in patients with hypertension: a randomized controlled trial. J Hypertens</w:t>
      </w:r>
      <w:r>
        <w:rPr>
          <w:spacing w:val="45"/>
          <w:sz w:val="27"/>
        </w:rPr>
        <w:t> </w:t>
      </w:r>
      <w:r>
        <w:rPr>
          <w:sz w:val="27"/>
        </w:rPr>
        <w:t>2011;29:1649–1659.</w:t>
      </w:r>
    </w:p>
    <w:p>
      <w:pPr>
        <w:pStyle w:val="ListParagraph"/>
        <w:numPr>
          <w:ilvl w:val="0"/>
          <w:numId w:val="12"/>
        </w:numPr>
        <w:tabs>
          <w:tab w:pos="681" w:val="left" w:leader="none"/>
        </w:tabs>
        <w:spacing w:line="256" w:lineRule="auto" w:before="2" w:after="0"/>
        <w:ind w:left="680" w:right="129" w:hanging="571"/>
        <w:jc w:val="both"/>
        <w:rPr>
          <w:sz w:val="27"/>
        </w:rPr>
      </w:pPr>
      <w:r>
        <w:rPr>
          <w:sz w:val="27"/>
        </w:rPr>
        <w:t>MacDonald TM, Williams B, </w:t>
      </w:r>
      <w:r>
        <w:rPr>
          <w:spacing w:val="-5"/>
          <w:sz w:val="27"/>
        </w:rPr>
        <w:t>Webb </w:t>
      </w:r>
      <w:r>
        <w:rPr>
          <w:sz w:val="27"/>
        </w:rPr>
        <w:t>DJ et al. British Hypertension Society Programme of Prevention And Treatment of Hypertension With Algorithm-based Therapy </w:t>
      </w:r>
      <w:r>
        <w:rPr>
          <w:spacing w:val="-10"/>
          <w:sz w:val="27"/>
        </w:rPr>
        <w:t>(PATHWAY). </w:t>
      </w:r>
      <w:r>
        <w:rPr>
          <w:sz w:val="27"/>
        </w:rPr>
        <w:t>Combination therapy is superior to sequential monotherapy for the initial treatment of hypertension: a double-blind randomized controlled trial. J Am Heart Assoc</w:t>
      </w:r>
      <w:r>
        <w:rPr>
          <w:spacing w:val="-1"/>
          <w:sz w:val="27"/>
        </w:rPr>
        <w:t> </w:t>
      </w:r>
      <w:r>
        <w:rPr>
          <w:sz w:val="27"/>
        </w:rPr>
        <w:t>2017;6:e006986.</w:t>
      </w:r>
    </w:p>
    <w:p>
      <w:pPr>
        <w:pStyle w:val="ListParagraph"/>
        <w:numPr>
          <w:ilvl w:val="0"/>
          <w:numId w:val="12"/>
        </w:numPr>
        <w:tabs>
          <w:tab w:pos="681" w:val="left" w:leader="none"/>
        </w:tabs>
        <w:spacing w:line="256" w:lineRule="auto" w:before="3" w:after="0"/>
        <w:ind w:left="680" w:right="139" w:hanging="571"/>
        <w:jc w:val="both"/>
        <w:rPr>
          <w:sz w:val="27"/>
        </w:rPr>
      </w:pPr>
      <w:r>
        <w:rPr>
          <w:sz w:val="27"/>
        </w:rPr>
        <w:t>Egan BM, Bandyopadhyay </w:t>
      </w:r>
      <w:r>
        <w:rPr>
          <w:spacing w:val="-4"/>
          <w:sz w:val="27"/>
        </w:rPr>
        <w:t>D, </w:t>
      </w:r>
      <w:r>
        <w:rPr>
          <w:sz w:val="27"/>
        </w:rPr>
        <w:t>Shaftman SR et al. Initial monotherapy and combination therapy and hypertension </w:t>
      </w:r>
      <w:r>
        <w:rPr>
          <w:spacing w:val="-3"/>
          <w:sz w:val="27"/>
        </w:rPr>
        <w:t>control </w:t>
      </w:r>
      <w:r>
        <w:rPr>
          <w:sz w:val="27"/>
        </w:rPr>
        <w:t>the ﬁrst </w:t>
      </w:r>
      <w:r>
        <w:rPr>
          <w:spacing w:val="-4"/>
          <w:sz w:val="27"/>
        </w:rPr>
        <w:t>year. </w:t>
      </w:r>
      <w:r>
        <w:rPr>
          <w:sz w:val="27"/>
        </w:rPr>
        <w:t>Hypertension</w:t>
      </w:r>
      <w:r>
        <w:rPr>
          <w:spacing w:val="18"/>
          <w:sz w:val="27"/>
        </w:rPr>
        <w:t> </w:t>
      </w:r>
      <w:r>
        <w:rPr>
          <w:sz w:val="27"/>
        </w:rPr>
        <w:t>2012;59:1124–1131.</w:t>
      </w:r>
    </w:p>
    <w:p>
      <w:pPr>
        <w:pStyle w:val="ListParagraph"/>
        <w:numPr>
          <w:ilvl w:val="0"/>
          <w:numId w:val="12"/>
        </w:numPr>
        <w:tabs>
          <w:tab w:pos="681" w:val="left" w:leader="none"/>
        </w:tabs>
        <w:spacing w:line="256" w:lineRule="auto" w:before="1" w:after="0"/>
        <w:ind w:left="680" w:right="129" w:hanging="571"/>
        <w:jc w:val="both"/>
        <w:rPr>
          <w:sz w:val="27"/>
        </w:rPr>
      </w:pPr>
      <w:r>
        <w:rPr>
          <w:sz w:val="27"/>
        </w:rPr>
        <w:t>Corrao G, Parodi A, Zambon A, et al. Reduced discontinuation of antihypertensive treatment </w:t>
      </w:r>
      <w:r>
        <w:rPr>
          <w:spacing w:val="-3"/>
          <w:sz w:val="27"/>
        </w:rPr>
        <w:t>by </w:t>
      </w:r>
      <w:r>
        <w:rPr>
          <w:sz w:val="27"/>
        </w:rPr>
        <w:t>two-drug combination as ﬁrst step. Evidence</w:t>
      </w:r>
      <w:r>
        <w:rPr>
          <w:spacing w:val="13"/>
          <w:sz w:val="27"/>
        </w:rPr>
        <w:t> </w:t>
      </w:r>
      <w:r>
        <w:rPr>
          <w:sz w:val="27"/>
        </w:rPr>
        <w:t>from</w:t>
      </w:r>
      <w:r>
        <w:rPr>
          <w:spacing w:val="14"/>
          <w:sz w:val="27"/>
        </w:rPr>
        <w:t> </w:t>
      </w:r>
      <w:r>
        <w:rPr>
          <w:sz w:val="27"/>
        </w:rPr>
        <w:t>daily</w:t>
      </w:r>
      <w:r>
        <w:rPr>
          <w:spacing w:val="14"/>
          <w:sz w:val="27"/>
        </w:rPr>
        <w:t> </w:t>
      </w:r>
      <w:r>
        <w:rPr>
          <w:sz w:val="27"/>
        </w:rPr>
        <w:t>life</w:t>
      </w:r>
      <w:r>
        <w:rPr>
          <w:spacing w:val="14"/>
          <w:sz w:val="27"/>
        </w:rPr>
        <w:t> </w:t>
      </w:r>
      <w:r>
        <w:rPr>
          <w:sz w:val="27"/>
        </w:rPr>
        <w:t>practice.</w:t>
      </w:r>
      <w:r>
        <w:rPr>
          <w:spacing w:val="14"/>
          <w:sz w:val="27"/>
        </w:rPr>
        <w:t> </w:t>
      </w:r>
      <w:r>
        <w:rPr>
          <w:sz w:val="27"/>
        </w:rPr>
        <w:t>J</w:t>
      </w:r>
      <w:r>
        <w:rPr>
          <w:spacing w:val="14"/>
          <w:sz w:val="27"/>
        </w:rPr>
        <w:t> </w:t>
      </w:r>
      <w:r>
        <w:rPr>
          <w:sz w:val="27"/>
        </w:rPr>
        <w:t>Hypertens</w:t>
      </w:r>
      <w:r>
        <w:rPr>
          <w:spacing w:val="14"/>
          <w:sz w:val="27"/>
        </w:rPr>
        <w:t> </w:t>
      </w:r>
      <w:r>
        <w:rPr>
          <w:sz w:val="27"/>
        </w:rPr>
        <w:t>2010;28:1584–1590.</w:t>
      </w:r>
    </w:p>
    <w:p>
      <w:pPr>
        <w:pStyle w:val="ListParagraph"/>
        <w:numPr>
          <w:ilvl w:val="0"/>
          <w:numId w:val="12"/>
        </w:numPr>
        <w:tabs>
          <w:tab w:pos="681" w:val="left" w:leader="none"/>
        </w:tabs>
        <w:spacing w:line="244" w:lineRule="auto" w:before="0" w:after="0"/>
        <w:ind w:left="680" w:right="135" w:hanging="571"/>
        <w:jc w:val="both"/>
        <w:rPr>
          <w:sz w:val="27"/>
        </w:rPr>
      </w:pPr>
      <w:r>
        <w:rPr>
          <w:sz w:val="27"/>
        </w:rPr>
        <w:t>Garjón J. et al. First</w:t>
      </w:r>
      <w:r>
        <w:rPr>
          <w:rFonts w:ascii="Lucida Sans Unicode" w:hAnsi="Lucida Sans Unicode"/>
          <w:sz w:val="27"/>
        </w:rPr>
        <w:t>‐</w:t>
      </w:r>
      <w:r>
        <w:rPr>
          <w:sz w:val="27"/>
        </w:rPr>
        <w:t>line combination therapy versus ﬁrst</w:t>
      </w:r>
      <w:r>
        <w:rPr>
          <w:rFonts w:ascii="Lucida Sans Unicode" w:hAnsi="Lucida Sans Unicode"/>
          <w:sz w:val="27"/>
        </w:rPr>
        <w:t>‐</w:t>
      </w:r>
      <w:r>
        <w:rPr>
          <w:sz w:val="27"/>
        </w:rPr>
        <w:t>line monotherapy for primary hypertension //Cochrane Database of Systematic Reviews. – </w:t>
      </w:r>
      <w:r>
        <w:rPr>
          <w:spacing w:val="-6"/>
          <w:sz w:val="27"/>
        </w:rPr>
        <w:t>2017. </w:t>
      </w:r>
      <w:r>
        <w:rPr>
          <w:sz w:val="27"/>
        </w:rPr>
        <w:t>– №.</w:t>
      </w:r>
      <w:r>
        <w:rPr>
          <w:spacing w:val="6"/>
          <w:sz w:val="27"/>
        </w:rPr>
        <w:t> </w:t>
      </w:r>
      <w:r>
        <w:rPr>
          <w:sz w:val="27"/>
        </w:rPr>
        <w:t>1.</w:t>
      </w:r>
    </w:p>
    <w:p>
      <w:pPr>
        <w:pStyle w:val="ListParagraph"/>
        <w:numPr>
          <w:ilvl w:val="0"/>
          <w:numId w:val="12"/>
        </w:numPr>
        <w:tabs>
          <w:tab w:pos="681" w:val="left" w:leader="none"/>
        </w:tabs>
        <w:spacing w:line="256" w:lineRule="auto" w:before="5" w:after="0"/>
        <w:ind w:left="680" w:right="138" w:hanging="571"/>
        <w:jc w:val="both"/>
        <w:rPr>
          <w:sz w:val="27"/>
        </w:rPr>
      </w:pPr>
      <w:r>
        <w:rPr>
          <w:spacing w:val="-5"/>
          <w:sz w:val="27"/>
        </w:rPr>
        <w:t>Volpe </w:t>
      </w:r>
      <w:r>
        <w:rPr>
          <w:sz w:val="27"/>
        </w:rPr>
        <w:t>M, Christian Rump L, Ammentorp B, Laeis </w:t>
      </w:r>
      <w:r>
        <w:rPr>
          <w:spacing w:val="-17"/>
          <w:sz w:val="27"/>
        </w:rPr>
        <w:t>P. </w:t>
      </w:r>
      <w:r>
        <w:rPr>
          <w:sz w:val="27"/>
        </w:rPr>
        <w:t>Efﬁcacy and safety of triple antihypertensive therapy with the olmesartan/amlodipine/hydrochlorothiazide combination. Clin Drug Investig 2012;32:649–664.</w:t>
      </w:r>
    </w:p>
    <w:p>
      <w:pPr>
        <w:pStyle w:val="ListParagraph"/>
        <w:numPr>
          <w:ilvl w:val="0"/>
          <w:numId w:val="12"/>
        </w:numPr>
        <w:tabs>
          <w:tab w:pos="681" w:val="left" w:leader="none"/>
        </w:tabs>
        <w:spacing w:line="256" w:lineRule="auto" w:before="2" w:after="0"/>
        <w:ind w:left="680" w:right="129" w:hanging="571"/>
        <w:jc w:val="both"/>
        <w:rPr>
          <w:sz w:val="27"/>
        </w:rPr>
      </w:pPr>
      <w:r>
        <w:rPr>
          <w:w w:val="105"/>
          <w:sz w:val="27"/>
        </w:rPr>
        <w:t>Pongpanich</w:t>
      </w:r>
      <w:r>
        <w:rPr>
          <w:spacing w:val="-32"/>
          <w:w w:val="105"/>
          <w:sz w:val="27"/>
        </w:rPr>
        <w:t> </w:t>
      </w:r>
      <w:r>
        <w:rPr>
          <w:spacing w:val="-17"/>
          <w:w w:val="105"/>
          <w:sz w:val="27"/>
        </w:rPr>
        <w:t>P.</w:t>
      </w:r>
      <w:r>
        <w:rPr>
          <w:spacing w:val="-32"/>
          <w:w w:val="105"/>
          <w:sz w:val="27"/>
        </w:rPr>
        <w:t> </w:t>
      </w:r>
      <w:r>
        <w:rPr>
          <w:w w:val="105"/>
          <w:sz w:val="27"/>
        </w:rPr>
        <w:t>et</w:t>
      </w:r>
      <w:r>
        <w:rPr>
          <w:spacing w:val="-32"/>
          <w:w w:val="105"/>
          <w:sz w:val="27"/>
        </w:rPr>
        <w:t> </w:t>
      </w:r>
      <w:r>
        <w:rPr>
          <w:w w:val="105"/>
          <w:sz w:val="27"/>
        </w:rPr>
        <w:t>al.</w:t>
      </w:r>
      <w:r>
        <w:rPr>
          <w:spacing w:val="-32"/>
          <w:w w:val="105"/>
          <w:sz w:val="27"/>
        </w:rPr>
        <w:t> </w:t>
      </w:r>
      <w:r>
        <w:rPr>
          <w:w w:val="105"/>
          <w:sz w:val="27"/>
        </w:rPr>
        <w:t>The</w:t>
      </w:r>
      <w:r>
        <w:rPr>
          <w:spacing w:val="-32"/>
          <w:w w:val="105"/>
          <w:sz w:val="27"/>
        </w:rPr>
        <w:t> </w:t>
      </w:r>
      <w:r>
        <w:rPr>
          <w:w w:val="105"/>
          <w:sz w:val="27"/>
        </w:rPr>
        <w:t>beneﬁts</w:t>
      </w:r>
      <w:r>
        <w:rPr>
          <w:spacing w:val="-32"/>
          <w:w w:val="105"/>
          <w:sz w:val="27"/>
        </w:rPr>
        <w:t> </w:t>
      </w:r>
      <w:r>
        <w:rPr>
          <w:w w:val="105"/>
          <w:sz w:val="27"/>
        </w:rPr>
        <w:t>of</w:t>
      </w:r>
      <w:r>
        <w:rPr>
          <w:spacing w:val="-32"/>
          <w:w w:val="105"/>
          <w:sz w:val="27"/>
        </w:rPr>
        <w:t> </w:t>
      </w:r>
      <w:r>
        <w:rPr>
          <w:w w:val="105"/>
          <w:sz w:val="27"/>
        </w:rPr>
        <w:t>angiotensin-converting</w:t>
      </w:r>
      <w:r>
        <w:rPr>
          <w:spacing w:val="-32"/>
          <w:w w:val="105"/>
          <w:sz w:val="27"/>
        </w:rPr>
        <w:t> </w:t>
      </w:r>
      <w:r>
        <w:rPr>
          <w:w w:val="105"/>
          <w:sz w:val="27"/>
        </w:rPr>
        <w:t>enzyme inhibitors/angiotensin</w:t>
      </w:r>
      <w:r>
        <w:rPr>
          <w:spacing w:val="-21"/>
          <w:w w:val="105"/>
          <w:sz w:val="27"/>
        </w:rPr>
        <w:t> </w:t>
      </w:r>
      <w:r>
        <w:rPr>
          <w:w w:val="105"/>
          <w:sz w:val="27"/>
        </w:rPr>
        <w:t>II</w:t>
      </w:r>
      <w:r>
        <w:rPr>
          <w:spacing w:val="-21"/>
          <w:w w:val="105"/>
          <w:sz w:val="27"/>
        </w:rPr>
        <w:t> </w:t>
      </w:r>
      <w:r>
        <w:rPr>
          <w:w w:val="105"/>
          <w:sz w:val="27"/>
        </w:rPr>
        <w:t>receptor</w:t>
      </w:r>
      <w:r>
        <w:rPr>
          <w:spacing w:val="-21"/>
          <w:w w:val="105"/>
          <w:sz w:val="27"/>
        </w:rPr>
        <w:t> </w:t>
      </w:r>
      <w:r>
        <w:rPr>
          <w:w w:val="105"/>
          <w:sz w:val="27"/>
        </w:rPr>
        <w:t>blockers</w:t>
      </w:r>
      <w:r>
        <w:rPr>
          <w:spacing w:val="-21"/>
          <w:w w:val="105"/>
          <w:sz w:val="27"/>
        </w:rPr>
        <w:t> </w:t>
      </w:r>
      <w:r>
        <w:rPr>
          <w:w w:val="105"/>
          <w:sz w:val="27"/>
        </w:rPr>
        <w:t>combined</w:t>
      </w:r>
      <w:r>
        <w:rPr>
          <w:spacing w:val="-21"/>
          <w:w w:val="105"/>
          <w:sz w:val="27"/>
        </w:rPr>
        <w:t> </w:t>
      </w:r>
      <w:r>
        <w:rPr>
          <w:w w:val="105"/>
          <w:sz w:val="27"/>
        </w:rPr>
        <w:t>with</w:t>
      </w:r>
      <w:r>
        <w:rPr>
          <w:spacing w:val="-21"/>
          <w:w w:val="105"/>
          <w:sz w:val="27"/>
        </w:rPr>
        <w:t> </w:t>
      </w:r>
      <w:r>
        <w:rPr>
          <w:w w:val="105"/>
          <w:sz w:val="27"/>
        </w:rPr>
        <w:t>calcium channel</w:t>
      </w:r>
      <w:r>
        <w:rPr>
          <w:spacing w:val="-30"/>
          <w:w w:val="105"/>
          <w:sz w:val="27"/>
        </w:rPr>
        <w:t> </w:t>
      </w:r>
      <w:r>
        <w:rPr>
          <w:w w:val="105"/>
          <w:sz w:val="27"/>
        </w:rPr>
        <w:t>blockers</w:t>
      </w:r>
      <w:r>
        <w:rPr>
          <w:spacing w:val="-30"/>
          <w:w w:val="105"/>
          <w:sz w:val="27"/>
        </w:rPr>
        <w:t> </w:t>
      </w:r>
      <w:r>
        <w:rPr>
          <w:w w:val="105"/>
          <w:sz w:val="27"/>
        </w:rPr>
        <w:t>on</w:t>
      </w:r>
      <w:r>
        <w:rPr>
          <w:spacing w:val="-30"/>
          <w:w w:val="105"/>
          <w:sz w:val="27"/>
        </w:rPr>
        <w:t> </w:t>
      </w:r>
      <w:r>
        <w:rPr>
          <w:w w:val="105"/>
          <w:sz w:val="27"/>
        </w:rPr>
        <w:t>metabolic,</w:t>
      </w:r>
      <w:r>
        <w:rPr>
          <w:spacing w:val="-30"/>
          <w:w w:val="105"/>
          <w:sz w:val="27"/>
        </w:rPr>
        <w:t> </w:t>
      </w:r>
      <w:r>
        <w:rPr>
          <w:w w:val="105"/>
          <w:sz w:val="27"/>
        </w:rPr>
        <w:t>renal,</w:t>
      </w:r>
      <w:r>
        <w:rPr>
          <w:spacing w:val="-30"/>
          <w:w w:val="105"/>
          <w:sz w:val="27"/>
        </w:rPr>
        <w:t> </w:t>
      </w:r>
      <w:r>
        <w:rPr>
          <w:w w:val="105"/>
          <w:sz w:val="27"/>
        </w:rPr>
        <w:t>and</w:t>
      </w:r>
      <w:r>
        <w:rPr>
          <w:spacing w:val="-30"/>
          <w:w w:val="105"/>
          <w:sz w:val="27"/>
        </w:rPr>
        <w:t> </w:t>
      </w:r>
      <w:r>
        <w:rPr>
          <w:w w:val="105"/>
          <w:sz w:val="27"/>
        </w:rPr>
        <w:t>cardiovascular</w:t>
      </w:r>
      <w:r>
        <w:rPr>
          <w:spacing w:val="-29"/>
          <w:w w:val="105"/>
          <w:sz w:val="27"/>
        </w:rPr>
        <w:t> </w:t>
      </w:r>
      <w:r>
        <w:rPr>
          <w:spacing w:val="-3"/>
          <w:w w:val="105"/>
          <w:sz w:val="27"/>
        </w:rPr>
        <w:t>outcomes </w:t>
      </w:r>
      <w:r>
        <w:rPr>
          <w:w w:val="105"/>
          <w:sz w:val="27"/>
        </w:rPr>
        <w:t>in hypertensive patients: a meta-analysis //International urology and</w:t>
      </w:r>
      <w:r>
        <w:rPr>
          <w:spacing w:val="-5"/>
          <w:w w:val="105"/>
          <w:sz w:val="27"/>
        </w:rPr>
        <w:t> </w:t>
      </w:r>
      <w:r>
        <w:rPr>
          <w:w w:val="105"/>
          <w:sz w:val="27"/>
        </w:rPr>
        <w:t>nephrology.</w:t>
      </w:r>
      <w:r>
        <w:rPr>
          <w:spacing w:val="-5"/>
          <w:w w:val="105"/>
          <w:sz w:val="27"/>
        </w:rPr>
        <w:t> </w:t>
      </w:r>
      <w:r>
        <w:rPr>
          <w:w w:val="105"/>
          <w:sz w:val="27"/>
        </w:rPr>
        <w:t>–</w:t>
      </w:r>
      <w:r>
        <w:rPr>
          <w:spacing w:val="-4"/>
          <w:w w:val="105"/>
          <w:sz w:val="27"/>
        </w:rPr>
        <w:t> </w:t>
      </w:r>
      <w:r>
        <w:rPr>
          <w:w w:val="105"/>
          <w:sz w:val="27"/>
        </w:rPr>
        <w:t>2018.</w:t>
      </w:r>
      <w:r>
        <w:rPr>
          <w:spacing w:val="-5"/>
          <w:w w:val="105"/>
          <w:sz w:val="27"/>
        </w:rPr>
        <w:t> </w:t>
      </w:r>
      <w:r>
        <w:rPr>
          <w:w w:val="105"/>
          <w:sz w:val="27"/>
        </w:rPr>
        <w:t>–</w:t>
      </w:r>
      <w:r>
        <w:rPr>
          <w:spacing w:val="-4"/>
          <w:w w:val="105"/>
          <w:sz w:val="27"/>
        </w:rPr>
        <w:t> </w:t>
      </w:r>
      <w:r>
        <w:rPr>
          <w:w w:val="105"/>
          <w:sz w:val="27"/>
        </w:rPr>
        <w:t>Т.</w:t>
      </w:r>
      <w:r>
        <w:rPr>
          <w:spacing w:val="-5"/>
          <w:w w:val="105"/>
          <w:sz w:val="27"/>
        </w:rPr>
        <w:t> </w:t>
      </w:r>
      <w:r>
        <w:rPr>
          <w:w w:val="105"/>
          <w:sz w:val="27"/>
        </w:rPr>
        <w:t>50.</w:t>
      </w:r>
      <w:r>
        <w:rPr>
          <w:spacing w:val="-5"/>
          <w:w w:val="105"/>
          <w:sz w:val="27"/>
        </w:rPr>
        <w:t> </w:t>
      </w:r>
      <w:r>
        <w:rPr>
          <w:w w:val="105"/>
          <w:sz w:val="27"/>
        </w:rPr>
        <w:t>–</w:t>
      </w:r>
      <w:r>
        <w:rPr>
          <w:spacing w:val="-4"/>
          <w:w w:val="105"/>
          <w:sz w:val="27"/>
        </w:rPr>
        <w:t> </w:t>
      </w:r>
      <w:r>
        <w:rPr>
          <w:w w:val="105"/>
          <w:sz w:val="27"/>
        </w:rPr>
        <w:t>№.</w:t>
      </w:r>
      <w:r>
        <w:rPr>
          <w:spacing w:val="-5"/>
          <w:w w:val="105"/>
          <w:sz w:val="27"/>
        </w:rPr>
        <w:t> </w:t>
      </w:r>
      <w:r>
        <w:rPr>
          <w:w w:val="105"/>
          <w:sz w:val="27"/>
        </w:rPr>
        <w:t>12.</w:t>
      </w:r>
      <w:r>
        <w:rPr>
          <w:spacing w:val="-4"/>
          <w:w w:val="105"/>
          <w:sz w:val="27"/>
        </w:rPr>
        <w:t> </w:t>
      </w:r>
      <w:r>
        <w:rPr>
          <w:w w:val="105"/>
          <w:sz w:val="27"/>
        </w:rPr>
        <w:t>–</w:t>
      </w:r>
      <w:r>
        <w:rPr>
          <w:spacing w:val="-5"/>
          <w:w w:val="105"/>
          <w:sz w:val="27"/>
        </w:rPr>
        <w:t> </w:t>
      </w:r>
      <w:r>
        <w:rPr>
          <w:w w:val="105"/>
          <w:sz w:val="27"/>
        </w:rPr>
        <w:t>С.</w:t>
      </w:r>
      <w:r>
        <w:rPr>
          <w:spacing w:val="-5"/>
          <w:w w:val="105"/>
          <w:sz w:val="27"/>
        </w:rPr>
        <w:t> </w:t>
      </w:r>
      <w:r>
        <w:rPr>
          <w:w w:val="105"/>
          <w:sz w:val="27"/>
        </w:rPr>
        <w:t>2261-2278.</w:t>
      </w:r>
    </w:p>
    <w:p>
      <w:pPr>
        <w:pStyle w:val="ListParagraph"/>
        <w:numPr>
          <w:ilvl w:val="0"/>
          <w:numId w:val="12"/>
        </w:numPr>
        <w:tabs>
          <w:tab w:pos="681" w:val="left" w:leader="none"/>
        </w:tabs>
        <w:spacing w:line="256" w:lineRule="auto" w:before="2" w:after="0"/>
        <w:ind w:left="680" w:right="132" w:hanging="571"/>
        <w:jc w:val="both"/>
        <w:rPr>
          <w:sz w:val="27"/>
        </w:rPr>
      </w:pPr>
      <w:r>
        <w:rPr>
          <w:sz w:val="27"/>
        </w:rPr>
        <w:t>Williams B, MacDonald TM, Morant S, et al. British Hypertension Society"s </w:t>
      </w:r>
      <w:r>
        <w:rPr>
          <w:spacing w:val="-14"/>
          <w:sz w:val="27"/>
        </w:rPr>
        <w:t>PATHWAY </w:t>
      </w:r>
      <w:r>
        <w:rPr>
          <w:sz w:val="27"/>
        </w:rPr>
        <w:t>Studies Group. Spironolactone versus placebo, bisoprolol, and doxazosin to determine the optimal treatment </w:t>
      </w:r>
      <w:r>
        <w:rPr>
          <w:spacing w:val="-6"/>
          <w:sz w:val="27"/>
        </w:rPr>
        <w:t>for </w:t>
      </w:r>
      <w:r>
        <w:rPr>
          <w:sz w:val="27"/>
        </w:rPr>
        <w:t>drug-resistant hypertension </w:t>
      </w:r>
      <w:r>
        <w:rPr>
          <w:spacing w:val="-9"/>
          <w:sz w:val="27"/>
        </w:rPr>
        <w:t>(PATHWAY-2): </w:t>
      </w:r>
      <w:r>
        <w:rPr>
          <w:sz w:val="27"/>
        </w:rPr>
        <w:t>a randomised, double- blind, crossover trial. Lancet</w:t>
      </w:r>
      <w:r>
        <w:rPr>
          <w:spacing w:val="18"/>
          <w:sz w:val="27"/>
        </w:rPr>
        <w:t> </w:t>
      </w:r>
      <w:r>
        <w:rPr>
          <w:sz w:val="27"/>
        </w:rPr>
        <w:t>2015;386:2059–2068.</w:t>
      </w:r>
    </w:p>
    <w:p>
      <w:pPr>
        <w:pStyle w:val="ListParagraph"/>
        <w:numPr>
          <w:ilvl w:val="0"/>
          <w:numId w:val="12"/>
        </w:numPr>
        <w:tabs>
          <w:tab w:pos="681" w:val="left" w:leader="none"/>
        </w:tabs>
        <w:spacing w:line="256" w:lineRule="auto" w:before="2" w:after="0"/>
        <w:ind w:left="680" w:right="130" w:hanging="571"/>
        <w:jc w:val="both"/>
        <w:rPr>
          <w:sz w:val="27"/>
        </w:rPr>
      </w:pPr>
      <w:r>
        <w:rPr>
          <w:sz w:val="27"/>
        </w:rPr>
        <w:t>Carey RM, Calhoun </w:t>
      </w:r>
      <w:r>
        <w:rPr>
          <w:spacing w:val="-5"/>
          <w:sz w:val="27"/>
        </w:rPr>
        <w:t>DA, </w:t>
      </w:r>
      <w:r>
        <w:rPr>
          <w:sz w:val="27"/>
        </w:rPr>
        <w:t>Bakris GL. Resistant Hypertension: Detection,</w:t>
      </w:r>
      <w:r>
        <w:rPr>
          <w:spacing w:val="25"/>
          <w:sz w:val="27"/>
        </w:rPr>
        <w:t> </w:t>
      </w:r>
      <w:r>
        <w:rPr>
          <w:sz w:val="27"/>
        </w:rPr>
        <w:t>Evaluation,</w:t>
      </w:r>
      <w:r>
        <w:rPr>
          <w:spacing w:val="26"/>
          <w:sz w:val="27"/>
        </w:rPr>
        <w:t> </w:t>
      </w:r>
      <w:r>
        <w:rPr>
          <w:sz w:val="27"/>
        </w:rPr>
        <w:t>and</w:t>
      </w:r>
      <w:r>
        <w:rPr>
          <w:spacing w:val="26"/>
          <w:sz w:val="27"/>
        </w:rPr>
        <w:t> </w:t>
      </w:r>
      <w:r>
        <w:rPr>
          <w:sz w:val="27"/>
        </w:rPr>
        <w:t>Management:</w:t>
      </w:r>
      <w:r>
        <w:rPr>
          <w:spacing w:val="26"/>
          <w:sz w:val="27"/>
        </w:rPr>
        <w:t> </w:t>
      </w:r>
      <w:r>
        <w:rPr>
          <w:sz w:val="27"/>
        </w:rPr>
        <w:t>A</w:t>
      </w:r>
      <w:r>
        <w:rPr>
          <w:spacing w:val="25"/>
          <w:sz w:val="27"/>
        </w:rPr>
        <w:t> </w:t>
      </w:r>
      <w:r>
        <w:rPr>
          <w:sz w:val="27"/>
        </w:rPr>
        <w:t>Scientiﬁc</w:t>
      </w:r>
      <w:r>
        <w:rPr>
          <w:spacing w:val="26"/>
          <w:sz w:val="27"/>
        </w:rPr>
        <w:t> </w:t>
      </w:r>
      <w:r>
        <w:rPr>
          <w:sz w:val="27"/>
        </w:rPr>
        <w:t>Statement</w:t>
      </w:r>
    </w:p>
    <w:p>
      <w:pPr>
        <w:spacing w:after="0" w:line="256" w:lineRule="auto"/>
        <w:jc w:val="both"/>
        <w:rPr>
          <w:sz w:val="27"/>
        </w:rPr>
        <w:sectPr>
          <w:pgSz w:w="11900" w:h="16840"/>
          <w:pgMar w:top="0" w:bottom="0" w:left="1420" w:right="1520"/>
        </w:sectPr>
      </w:pPr>
    </w:p>
    <w:p>
      <w:pPr>
        <w:pStyle w:val="BodyText"/>
        <w:spacing w:line="256" w:lineRule="auto" w:before="16"/>
        <w:ind w:right="136"/>
      </w:pPr>
      <w:r>
        <w:rPr>
          <w:w w:val="105"/>
        </w:rPr>
        <w:t>From the American Heart Association. Hypertension. 2018 Nov;72(5):e53-e90.</w:t>
      </w:r>
    </w:p>
    <w:p>
      <w:pPr>
        <w:pStyle w:val="ListParagraph"/>
        <w:numPr>
          <w:ilvl w:val="0"/>
          <w:numId w:val="12"/>
        </w:numPr>
        <w:tabs>
          <w:tab w:pos="681" w:val="left" w:leader="none"/>
        </w:tabs>
        <w:spacing w:line="256" w:lineRule="auto" w:before="1" w:after="0"/>
        <w:ind w:left="680" w:right="136" w:hanging="571"/>
        <w:jc w:val="both"/>
        <w:rPr>
          <w:sz w:val="27"/>
        </w:rPr>
      </w:pPr>
      <w:r>
        <w:rPr>
          <w:w w:val="105"/>
          <w:sz w:val="27"/>
        </w:rPr>
        <w:t>Makani</w:t>
      </w:r>
      <w:r>
        <w:rPr>
          <w:spacing w:val="-6"/>
          <w:w w:val="105"/>
          <w:sz w:val="27"/>
        </w:rPr>
        <w:t> </w:t>
      </w:r>
      <w:r>
        <w:rPr>
          <w:w w:val="105"/>
          <w:sz w:val="27"/>
        </w:rPr>
        <w:t>H.</w:t>
      </w:r>
      <w:r>
        <w:rPr>
          <w:spacing w:val="-5"/>
          <w:w w:val="105"/>
          <w:sz w:val="27"/>
        </w:rPr>
        <w:t> </w:t>
      </w:r>
      <w:r>
        <w:rPr>
          <w:w w:val="105"/>
          <w:sz w:val="27"/>
        </w:rPr>
        <w:t>et</w:t>
      </w:r>
      <w:r>
        <w:rPr>
          <w:spacing w:val="-5"/>
          <w:w w:val="105"/>
          <w:sz w:val="27"/>
        </w:rPr>
        <w:t> </w:t>
      </w:r>
      <w:r>
        <w:rPr>
          <w:w w:val="105"/>
          <w:sz w:val="27"/>
        </w:rPr>
        <w:t>al.</w:t>
      </w:r>
      <w:r>
        <w:rPr>
          <w:spacing w:val="-5"/>
          <w:w w:val="105"/>
          <w:sz w:val="27"/>
        </w:rPr>
        <w:t> </w:t>
      </w:r>
      <w:r>
        <w:rPr>
          <w:w w:val="105"/>
          <w:sz w:val="27"/>
        </w:rPr>
        <w:t>Efﬁcacy</w:t>
      </w:r>
      <w:r>
        <w:rPr>
          <w:spacing w:val="-5"/>
          <w:w w:val="105"/>
          <w:sz w:val="27"/>
        </w:rPr>
        <w:t> </w:t>
      </w:r>
      <w:r>
        <w:rPr>
          <w:w w:val="105"/>
          <w:sz w:val="27"/>
        </w:rPr>
        <w:t>and</w:t>
      </w:r>
      <w:r>
        <w:rPr>
          <w:spacing w:val="-5"/>
          <w:w w:val="105"/>
          <w:sz w:val="27"/>
        </w:rPr>
        <w:t> </w:t>
      </w:r>
      <w:r>
        <w:rPr>
          <w:w w:val="105"/>
          <w:sz w:val="27"/>
        </w:rPr>
        <w:t>safety</w:t>
      </w:r>
      <w:r>
        <w:rPr>
          <w:spacing w:val="-5"/>
          <w:w w:val="105"/>
          <w:sz w:val="27"/>
        </w:rPr>
        <w:t> </w:t>
      </w:r>
      <w:r>
        <w:rPr>
          <w:w w:val="105"/>
          <w:sz w:val="27"/>
        </w:rPr>
        <w:t>of</w:t>
      </w:r>
      <w:r>
        <w:rPr>
          <w:spacing w:val="-5"/>
          <w:w w:val="105"/>
          <w:sz w:val="27"/>
        </w:rPr>
        <w:t> </w:t>
      </w:r>
      <w:r>
        <w:rPr>
          <w:w w:val="105"/>
          <w:sz w:val="27"/>
        </w:rPr>
        <w:t>dual</w:t>
      </w:r>
      <w:r>
        <w:rPr>
          <w:spacing w:val="-5"/>
          <w:w w:val="105"/>
          <w:sz w:val="27"/>
        </w:rPr>
        <w:t> </w:t>
      </w:r>
      <w:r>
        <w:rPr>
          <w:w w:val="105"/>
          <w:sz w:val="27"/>
        </w:rPr>
        <w:t>blockade</w:t>
      </w:r>
      <w:r>
        <w:rPr>
          <w:spacing w:val="-6"/>
          <w:w w:val="105"/>
          <w:sz w:val="27"/>
        </w:rPr>
        <w:t> </w:t>
      </w:r>
      <w:r>
        <w:rPr>
          <w:w w:val="105"/>
          <w:sz w:val="27"/>
        </w:rPr>
        <w:t>of</w:t>
      </w:r>
      <w:r>
        <w:rPr>
          <w:spacing w:val="-5"/>
          <w:w w:val="105"/>
          <w:sz w:val="27"/>
        </w:rPr>
        <w:t> </w:t>
      </w:r>
      <w:r>
        <w:rPr>
          <w:w w:val="105"/>
          <w:sz w:val="27"/>
        </w:rPr>
        <w:t>the</w:t>
      </w:r>
      <w:r>
        <w:rPr>
          <w:spacing w:val="-5"/>
          <w:w w:val="105"/>
          <w:sz w:val="27"/>
        </w:rPr>
        <w:t> </w:t>
      </w:r>
      <w:r>
        <w:rPr>
          <w:w w:val="105"/>
          <w:sz w:val="27"/>
        </w:rPr>
        <w:t>renin- angiotensin system: meta-analysis of randomised trials. Bmj 346 (2013):</w:t>
      </w:r>
      <w:r>
        <w:rPr>
          <w:spacing w:val="-6"/>
          <w:w w:val="105"/>
          <w:sz w:val="27"/>
        </w:rPr>
        <w:t> </w:t>
      </w:r>
      <w:r>
        <w:rPr>
          <w:w w:val="105"/>
          <w:sz w:val="27"/>
        </w:rPr>
        <w:t>f360.</w:t>
      </w:r>
    </w:p>
    <w:p>
      <w:pPr>
        <w:pStyle w:val="ListParagraph"/>
        <w:numPr>
          <w:ilvl w:val="0"/>
          <w:numId w:val="12"/>
        </w:numPr>
        <w:tabs>
          <w:tab w:pos="681" w:val="left" w:leader="none"/>
        </w:tabs>
        <w:spacing w:line="256" w:lineRule="auto" w:before="1" w:after="0"/>
        <w:ind w:left="680" w:right="131" w:hanging="571"/>
        <w:jc w:val="both"/>
        <w:rPr>
          <w:sz w:val="27"/>
        </w:rPr>
      </w:pPr>
      <w:r>
        <w:rPr>
          <w:sz w:val="27"/>
        </w:rPr>
        <w:t>Thomopoulos C, Parati G, Zanchetti A. Effects of blood pressure- lowering on outcome incidence in hypertension: 5. Head-to-head comparisons of various classes of antihypertensive drugs </w:t>
      </w:r>
      <w:r>
        <w:rPr>
          <w:spacing w:val="-14"/>
          <w:sz w:val="27"/>
        </w:rPr>
        <w:t>— </w:t>
      </w:r>
      <w:r>
        <w:rPr>
          <w:sz w:val="27"/>
        </w:rPr>
        <w:t>overview and meta-analyses. J Hypertens</w:t>
      </w:r>
      <w:r>
        <w:rPr>
          <w:spacing w:val="45"/>
          <w:sz w:val="27"/>
        </w:rPr>
        <w:t> </w:t>
      </w:r>
      <w:r>
        <w:rPr>
          <w:sz w:val="27"/>
        </w:rPr>
        <w:t>2015;33:1321–1341.</w:t>
      </w:r>
    </w:p>
    <w:p>
      <w:pPr>
        <w:pStyle w:val="ListParagraph"/>
        <w:numPr>
          <w:ilvl w:val="0"/>
          <w:numId w:val="12"/>
        </w:numPr>
        <w:tabs>
          <w:tab w:pos="681" w:val="left" w:leader="none"/>
        </w:tabs>
        <w:spacing w:line="256" w:lineRule="auto" w:before="2" w:after="0"/>
        <w:ind w:left="680" w:right="138" w:hanging="571"/>
        <w:jc w:val="both"/>
        <w:rPr>
          <w:sz w:val="27"/>
        </w:rPr>
      </w:pPr>
      <w:r>
        <w:rPr>
          <w:spacing w:val="-5"/>
          <w:sz w:val="27"/>
        </w:rPr>
        <w:t>Volpe </w:t>
      </w:r>
      <w:r>
        <w:rPr>
          <w:sz w:val="27"/>
        </w:rPr>
        <w:t>M, Mancia G, Trimarco B. Angiotensin II receptor blockers and myocardial infarction: deeds and misdeeds. J Hypertens 2005;23:2113–2118.</w:t>
      </w:r>
    </w:p>
    <w:p>
      <w:pPr>
        <w:pStyle w:val="ListParagraph"/>
        <w:numPr>
          <w:ilvl w:val="0"/>
          <w:numId w:val="12"/>
        </w:numPr>
        <w:tabs>
          <w:tab w:pos="681" w:val="left" w:leader="none"/>
        </w:tabs>
        <w:spacing w:line="256" w:lineRule="auto" w:before="1" w:after="0"/>
        <w:ind w:left="680" w:right="131" w:hanging="571"/>
        <w:jc w:val="both"/>
        <w:rPr>
          <w:sz w:val="27"/>
        </w:rPr>
      </w:pPr>
      <w:r>
        <w:rPr>
          <w:w w:val="105"/>
          <w:sz w:val="27"/>
        </w:rPr>
        <w:t>Reboldi</w:t>
      </w:r>
      <w:r>
        <w:rPr>
          <w:spacing w:val="-35"/>
          <w:w w:val="105"/>
          <w:sz w:val="27"/>
        </w:rPr>
        <w:t> </w:t>
      </w:r>
      <w:r>
        <w:rPr>
          <w:w w:val="105"/>
          <w:sz w:val="27"/>
        </w:rPr>
        <w:t>G,</w:t>
      </w:r>
      <w:r>
        <w:rPr>
          <w:spacing w:val="-34"/>
          <w:w w:val="105"/>
          <w:sz w:val="27"/>
        </w:rPr>
        <w:t> </w:t>
      </w:r>
      <w:r>
        <w:rPr>
          <w:w w:val="105"/>
          <w:sz w:val="27"/>
        </w:rPr>
        <w:t>Angeli</w:t>
      </w:r>
      <w:r>
        <w:rPr>
          <w:spacing w:val="-34"/>
          <w:w w:val="105"/>
          <w:sz w:val="27"/>
        </w:rPr>
        <w:t> </w:t>
      </w:r>
      <w:r>
        <w:rPr>
          <w:w w:val="105"/>
          <w:sz w:val="27"/>
        </w:rPr>
        <w:t>F,</w:t>
      </w:r>
      <w:r>
        <w:rPr>
          <w:spacing w:val="-34"/>
          <w:w w:val="105"/>
          <w:sz w:val="27"/>
        </w:rPr>
        <w:t> </w:t>
      </w:r>
      <w:r>
        <w:rPr>
          <w:w w:val="105"/>
          <w:sz w:val="27"/>
        </w:rPr>
        <w:t>Cavallini</w:t>
      </w:r>
      <w:r>
        <w:rPr>
          <w:spacing w:val="-34"/>
          <w:w w:val="105"/>
          <w:sz w:val="27"/>
        </w:rPr>
        <w:t> </w:t>
      </w:r>
      <w:r>
        <w:rPr>
          <w:w w:val="105"/>
          <w:sz w:val="27"/>
        </w:rPr>
        <w:t>C,</w:t>
      </w:r>
      <w:r>
        <w:rPr>
          <w:spacing w:val="-35"/>
          <w:w w:val="105"/>
          <w:sz w:val="27"/>
        </w:rPr>
        <w:t> </w:t>
      </w:r>
      <w:r>
        <w:rPr>
          <w:w w:val="105"/>
          <w:sz w:val="27"/>
        </w:rPr>
        <w:t>Gentile</w:t>
      </w:r>
      <w:r>
        <w:rPr>
          <w:spacing w:val="-34"/>
          <w:w w:val="105"/>
          <w:sz w:val="27"/>
        </w:rPr>
        <w:t> </w:t>
      </w:r>
      <w:r>
        <w:rPr>
          <w:w w:val="105"/>
          <w:sz w:val="27"/>
        </w:rPr>
        <w:t>G,</w:t>
      </w:r>
      <w:r>
        <w:rPr>
          <w:spacing w:val="-34"/>
          <w:w w:val="105"/>
          <w:sz w:val="27"/>
        </w:rPr>
        <w:t> </w:t>
      </w:r>
      <w:r>
        <w:rPr>
          <w:w w:val="105"/>
          <w:sz w:val="27"/>
        </w:rPr>
        <w:t>Mancia</w:t>
      </w:r>
      <w:r>
        <w:rPr>
          <w:spacing w:val="-34"/>
          <w:w w:val="105"/>
          <w:sz w:val="27"/>
        </w:rPr>
        <w:t> </w:t>
      </w:r>
      <w:r>
        <w:rPr>
          <w:w w:val="105"/>
          <w:sz w:val="27"/>
        </w:rPr>
        <w:t>G,</w:t>
      </w:r>
      <w:r>
        <w:rPr>
          <w:spacing w:val="-34"/>
          <w:w w:val="105"/>
          <w:sz w:val="27"/>
        </w:rPr>
        <w:t> </w:t>
      </w:r>
      <w:r>
        <w:rPr>
          <w:spacing w:val="-3"/>
          <w:w w:val="105"/>
          <w:sz w:val="27"/>
        </w:rPr>
        <w:t>Verdecchia</w:t>
      </w:r>
      <w:r>
        <w:rPr>
          <w:spacing w:val="-34"/>
          <w:w w:val="105"/>
          <w:sz w:val="27"/>
        </w:rPr>
        <w:t> </w:t>
      </w:r>
      <w:r>
        <w:rPr>
          <w:spacing w:val="-17"/>
          <w:w w:val="105"/>
          <w:sz w:val="27"/>
        </w:rPr>
        <w:t>P. </w:t>
      </w:r>
      <w:r>
        <w:rPr>
          <w:w w:val="105"/>
          <w:sz w:val="27"/>
        </w:rPr>
        <w:t>Comparison between angiotensin-converting enzyme inhibitors and angiotensin receptor blockers on the risk of myocardial infarction, stroke and death: a meta-analysis. J Hypertens 2008;26:1282–1289.</w:t>
      </w:r>
    </w:p>
    <w:p>
      <w:pPr>
        <w:pStyle w:val="ListParagraph"/>
        <w:numPr>
          <w:ilvl w:val="0"/>
          <w:numId w:val="12"/>
        </w:numPr>
        <w:tabs>
          <w:tab w:pos="681" w:val="left" w:leader="none"/>
        </w:tabs>
        <w:spacing w:line="256" w:lineRule="auto" w:before="2" w:after="0"/>
        <w:ind w:left="680" w:right="128" w:hanging="571"/>
        <w:jc w:val="both"/>
        <w:rPr>
          <w:sz w:val="27"/>
        </w:rPr>
      </w:pPr>
      <w:r>
        <w:rPr>
          <w:w w:val="105"/>
          <w:sz w:val="27"/>
        </w:rPr>
        <w:t>Thomopoulos C, Parati G, Zanchetti A. Effects of</w:t>
      </w:r>
      <w:r>
        <w:rPr>
          <w:spacing w:val="-33"/>
          <w:w w:val="105"/>
          <w:sz w:val="27"/>
        </w:rPr>
        <w:t> </w:t>
      </w:r>
      <w:r>
        <w:rPr>
          <w:w w:val="105"/>
          <w:sz w:val="27"/>
        </w:rPr>
        <w:t>blood-pressure- lowering treatment in hypertension: 9. Discontinuations </w:t>
      </w:r>
      <w:r>
        <w:rPr>
          <w:spacing w:val="-6"/>
          <w:w w:val="105"/>
          <w:sz w:val="27"/>
        </w:rPr>
        <w:t>for</w:t>
      </w:r>
      <w:r>
        <w:rPr>
          <w:spacing w:val="58"/>
          <w:w w:val="105"/>
          <w:sz w:val="27"/>
        </w:rPr>
        <w:t> </w:t>
      </w:r>
      <w:r>
        <w:rPr>
          <w:w w:val="105"/>
          <w:sz w:val="27"/>
        </w:rPr>
        <w:t>adverse events attributed to different classes of antihypertensive drugs: meta-analyses of randomized trials. J Hypertens 2016;34:1921–1932.</w:t>
      </w:r>
    </w:p>
    <w:p>
      <w:pPr>
        <w:pStyle w:val="ListParagraph"/>
        <w:numPr>
          <w:ilvl w:val="0"/>
          <w:numId w:val="12"/>
        </w:numPr>
        <w:tabs>
          <w:tab w:pos="681" w:val="left" w:leader="none"/>
        </w:tabs>
        <w:spacing w:line="256" w:lineRule="auto" w:before="2" w:after="0"/>
        <w:ind w:left="680" w:right="133" w:hanging="571"/>
        <w:jc w:val="both"/>
        <w:rPr>
          <w:sz w:val="27"/>
        </w:rPr>
      </w:pPr>
      <w:r>
        <w:rPr>
          <w:w w:val="105"/>
          <w:sz w:val="27"/>
        </w:rPr>
        <w:t>Kronish</w:t>
      </w:r>
      <w:r>
        <w:rPr>
          <w:spacing w:val="-24"/>
          <w:w w:val="105"/>
          <w:sz w:val="27"/>
        </w:rPr>
        <w:t> </w:t>
      </w:r>
      <w:r>
        <w:rPr>
          <w:w w:val="105"/>
          <w:sz w:val="27"/>
        </w:rPr>
        <w:t>IM,</w:t>
      </w:r>
      <w:r>
        <w:rPr>
          <w:spacing w:val="-24"/>
          <w:w w:val="105"/>
          <w:sz w:val="27"/>
        </w:rPr>
        <w:t> </w:t>
      </w:r>
      <w:r>
        <w:rPr>
          <w:spacing w:val="-3"/>
          <w:w w:val="105"/>
          <w:sz w:val="27"/>
        </w:rPr>
        <w:t>Woodward</w:t>
      </w:r>
      <w:r>
        <w:rPr>
          <w:spacing w:val="-24"/>
          <w:w w:val="105"/>
          <w:sz w:val="27"/>
        </w:rPr>
        <w:t> </w:t>
      </w:r>
      <w:r>
        <w:rPr>
          <w:w w:val="105"/>
          <w:sz w:val="27"/>
        </w:rPr>
        <w:t>M,</w:t>
      </w:r>
      <w:r>
        <w:rPr>
          <w:spacing w:val="-23"/>
          <w:w w:val="105"/>
          <w:sz w:val="27"/>
        </w:rPr>
        <w:t> </w:t>
      </w:r>
      <w:r>
        <w:rPr>
          <w:w w:val="105"/>
          <w:sz w:val="27"/>
        </w:rPr>
        <w:t>Sergie</w:t>
      </w:r>
      <w:r>
        <w:rPr>
          <w:spacing w:val="-24"/>
          <w:w w:val="105"/>
          <w:sz w:val="27"/>
        </w:rPr>
        <w:t> </w:t>
      </w:r>
      <w:r>
        <w:rPr>
          <w:w w:val="105"/>
          <w:sz w:val="27"/>
        </w:rPr>
        <w:t>Z,</w:t>
      </w:r>
      <w:r>
        <w:rPr>
          <w:spacing w:val="-24"/>
          <w:w w:val="105"/>
          <w:sz w:val="27"/>
        </w:rPr>
        <w:t> </w:t>
      </w:r>
      <w:r>
        <w:rPr>
          <w:w w:val="105"/>
          <w:sz w:val="27"/>
        </w:rPr>
        <w:t>et</w:t>
      </w:r>
      <w:r>
        <w:rPr>
          <w:spacing w:val="-23"/>
          <w:w w:val="105"/>
          <w:sz w:val="27"/>
        </w:rPr>
        <w:t> </w:t>
      </w:r>
      <w:r>
        <w:rPr>
          <w:w w:val="105"/>
          <w:sz w:val="27"/>
        </w:rPr>
        <w:t>al.</w:t>
      </w:r>
      <w:r>
        <w:rPr>
          <w:spacing w:val="-24"/>
          <w:w w:val="105"/>
          <w:sz w:val="27"/>
        </w:rPr>
        <w:t> </w:t>
      </w:r>
      <w:r>
        <w:rPr>
          <w:w w:val="105"/>
          <w:sz w:val="27"/>
        </w:rPr>
        <w:t>Meta-analysis:</w:t>
      </w:r>
      <w:r>
        <w:rPr>
          <w:spacing w:val="-24"/>
          <w:w w:val="105"/>
          <w:sz w:val="27"/>
        </w:rPr>
        <w:t> </w:t>
      </w:r>
      <w:r>
        <w:rPr>
          <w:w w:val="105"/>
          <w:sz w:val="27"/>
        </w:rPr>
        <w:t>impact</w:t>
      </w:r>
      <w:r>
        <w:rPr>
          <w:spacing w:val="-23"/>
          <w:w w:val="105"/>
          <w:sz w:val="27"/>
        </w:rPr>
        <w:t> </w:t>
      </w:r>
      <w:r>
        <w:rPr>
          <w:w w:val="105"/>
          <w:sz w:val="27"/>
        </w:rPr>
        <w:t>of drug class on adherence to antihypertensives. Circulation 2011;123:1611–1621.</w:t>
      </w:r>
    </w:p>
    <w:p>
      <w:pPr>
        <w:pStyle w:val="ListParagraph"/>
        <w:numPr>
          <w:ilvl w:val="0"/>
          <w:numId w:val="12"/>
        </w:numPr>
        <w:tabs>
          <w:tab w:pos="681" w:val="left" w:leader="none"/>
        </w:tabs>
        <w:spacing w:line="256" w:lineRule="auto" w:before="1" w:after="0"/>
        <w:ind w:left="680" w:right="134" w:hanging="571"/>
        <w:jc w:val="both"/>
        <w:rPr>
          <w:sz w:val="27"/>
        </w:rPr>
      </w:pPr>
      <w:r>
        <w:rPr>
          <w:w w:val="105"/>
          <w:sz w:val="27"/>
        </w:rPr>
        <w:t>Fried</w:t>
      </w:r>
      <w:r>
        <w:rPr>
          <w:spacing w:val="-39"/>
          <w:w w:val="105"/>
          <w:sz w:val="27"/>
        </w:rPr>
        <w:t> </w:t>
      </w:r>
      <w:r>
        <w:rPr>
          <w:w w:val="105"/>
          <w:sz w:val="27"/>
        </w:rPr>
        <w:t>LF,</w:t>
      </w:r>
      <w:r>
        <w:rPr>
          <w:spacing w:val="-38"/>
          <w:w w:val="105"/>
          <w:sz w:val="27"/>
        </w:rPr>
        <w:t> </w:t>
      </w:r>
      <w:r>
        <w:rPr>
          <w:w w:val="105"/>
          <w:sz w:val="27"/>
        </w:rPr>
        <w:t>Emanuele</w:t>
      </w:r>
      <w:r>
        <w:rPr>
          <w:spacing w:val="-38"/>
          <w:w w:val="105"/>
          <w:sz w:val="27"/>
        </w:rPr>
        <w:t> </w:t>
      </w:r>
      <w:r>
        <w:rPr>
          <w:w w:val="105"/>
          <w:sz w:val="27"/>
        </w:rPr>
        <w:t>N,</w:t>
      </w:r>
      <w:r>
        <w:rPr>
          <w:spacing w:val="-38"/>
          <w:w w:val="105"/>
          <w:sz w:val="27"/>
        </w:rPr>
        <w:t> </w:t>
      </w:r>
      <w:r>
        <w:rPr>
          <w:w w:val="105"/>
          <w:sz w:val="27"/>
        </w:rPr>
        <w:t>Zhang</w:t>
      </w:r>
      <w:r>
        <w:rPr>
          <w:spacing w:val="-38"/>
          <w:w w:val="105"/>
          <w:sz w:val="27"/>
        </w:rPr>
        <w:t> </w:t>
      </w:r>
      <w:r>
        <w:rPr>
          <w:w w:val="105"/>
          <w:sz w:val="27"/>
        </w:rPr>
        <w:t>JH,</w:t>
      </w:r>
      <w:r>
        <w:rPr>
          <w:spacing w:val="-38"/>
          <w:w w:val="105"/>
          <w:sz w:val="27"/>
        </w:rPr>
        <w:t> </w:t>
      </w:r>
      <w:r>
        <w:rPr>
          <w:w w:val="105"/>
          <w:sz w:val="27"/>
        </w:rPr>
        <w:t>et</w:t>
      </w:r>
      <w:r>
        <w:rPr>
          <w:spacing w:val="-38"/>
          <w:w w:val="105"/>
          <w:sz w:val="27"/>
        </w:rPr>
        <w:t> </w:t>
      </w:r>
      <w:r>
        <w:rPr>
          <w:w w:val="105"/>
          <w:sz w:val="27"/>
        </w:rPr>
        <w:t>al.</w:t>
      </w:r>
      <w:r>
        <w:rPr>
          <w:spacing w:val="-38"/>
          <w:w w:val="105"/>
          <w:sz w:val="27"/>
        </w:rPr>
        <w:t> </w:t>
      </w:r>
      <w:r>
        <w:rPr>
          <w:w w:val="105"/>
          <w:sz w:val="27"/>
        </w:rPr>
        <w:t>NEPHRON-D</w:t>
      </w:r>
      <w:r>
        <w:rPr>
          <w:spacing w:val="-38"/>
          <w:w w:val="105"/>
          <w:sz w:val="27"/>
        </w:rPr>
        <w:t> </w:t>
      </w:r>
      <w:r>
        <w:rPr>
          <w:w w:val="105"/>
          <w:sz w:val="27"/>
        </w:rPr>
        <w:t>Investigators. Combined angiotensin inhibition for the treatment of diabetic nephropathy. N Engl J Med</w:t>
      </w:r>
      <w:r>
        <w:rPr>
          <w:spacing w:val="-43"/>
          <w:w w:val="105"/>
          <w:sz w:val="27"/>
        </w:rPr>
        <w:t> </w:t>
      </w:r>
      <w:r>
        <w:rPr>
          <w:w w:val="105"/>
          <w:sz w:val="27"/>
        </w:rPr>
        <w:t>2013;369:1892–1903.</w:t>
      </w:r>
    </w:p>
    <w:p>
      <w:pPr>
        <w:pStyle w:val="ListParagraph"/>
        <w:numPr>
          <w:ilvl w:val="0"/>
          <w:numId w:val="12"/>
        </w:numPr>
        <w:tabs>
          <w:tab w:pos="681" w:val="left" w:leader="none"/>
        </w:tabs>
        <w:spacing w:line="256" w:lineRule="auto" w:before="2" w:after="0"/>
        <w:ind w:left="680" w:right="129" w:hanging="571"/>
        <w:jc w:val="both"/>
        <w:rPr>
          <w:sz w:val="27"/>
        </w:rPr>
      </w:pPr>
      <w:r>
        <w:rPr>
          <w:spacing w:val="-5"/>
          <w:w w:val="105"/>
          <w:sz w:val="27"/>
        </w:rPr>
        <w:t>Yusuf </w:t>
      </w:r>
      <w:r>
        <w:rPr>
          <w:w w:val="105"/>
          <w:sz w:val="27"/>
        </w:rPr>
        <w:t>S, </w:t>
      </w:r>
      <w:r>
        <w:rPr>
          <w:spacing w:val="-6"/>
          <w:w w:val="105"/>
          <w:sz w:val="27"/>
        </w:rPr>
        <w:t>Teo </w:t>
      </w:r>
      <w:r>
        <w:rPr>
          <w:w w:val="105"/>
          <w:sz w:val="27"/>
        </w:rPr>
        <w:t>KK, Pogue J, et al. </w:t>
      </w:r>
      <w:r>
        <w:rPr>
          <w:spacing w:val="-4"/>
          <w:w w:val="105"/>
          <w:sz w:val="27"/>
        </w:rPr>
        <w:t>ONTARGET </w:t>
      </w:r>
      <w:r>
        <w:rPr>
          <w:w w:val="105"/>
          <w:sz w:val="27"/>
        </w:rPr>
        <w:t>Investigators, Telmisartan, ramipril, or both in patients at high risk for</w:t>
      </w:r>
      <w:r>
        <w:rPr>
          <w:spacing w:val="-19"/>
          <w:w w:val="105"/>
          <w:sz w:val="27"/>
        </w:rPr>
        <w:t> </w:t>
      </w:r>
      <w:r>
        <w:rPr>
          <w:w w:val="105"/>
          <w:sz w:val="27"/>
        </w:rPr>
        <w:t>vascular events. N Engl J Med</w:t>
      </w:r>
      <w:r>
        <w:rPr>
          <w:spacing w:val="-35"/>
          <w:w w:val="105"/>
          <w:sz w:val="27"/>
        </w:rPr>
        <w:t> </w:t>
      </w:r>
      <w:r>
        <w:rPr>
          <w:w w:val="105"/>
          <w:sz w:val="27"/>
        </w:rPr>
        <w:t>2008;358:1547–1559.</w:t>
      </w:r>
    </w:p>
    <w:p>
      <w:pPr>
        <w:pStyle w:val="ListParagraph"/>
        <w:numPr>
          <w:ilvl w:val="0"/>
          <w:numId w:val="12"/>
        </w:numPr>
        <w:tabs>
          <w:tab w:pos="681" w:val="left" w:leader="none"/>
        </w:tabs>
        <w:spacing w:line="256" w:lineRule="auto" w:before="1" w:after="0"/>
        <w:ind w:left="680" w:right="130" w:hanging="571"/>
        <w:jc w:val="both"/>
        <w:rPr>
          <w:sz w:val="27"/>
        </w:rPr>
      </w:pPr>
      <w:r>
        <w:rPr>
          <w:sz w:val="27"/>
        </w:rPr>
        <w:t>Thomopoulos C, Parati G, Zanchetti A. Effects of blood pressure lowering on outcome incidence in hypertension: 4. Effects of various classes of antihypertensive drugs — overview and meta- analyses. J Hypertens</w:t>
      </w:r>
      <w:r>
        <w:rPr>
          <w:spacing w:val="4"/>
          <w:sz w:val="27"/>
        </w:rPr>
        <w:t> </w:t>
      </w:r>
      <w:r>
        <w:rPr>
          <w:sz w:val="27"/>
        </w:rPr>
        <w:t>2015;33:195–211.</w:t>
      </w:r>
    </w:p>
    <w:p>
      <w:pPr>
        <w:pStyle w:val="ListParagraph"/>
        <w:numPr>
          <w:ilvl w:val="0"/>
          <w:numId w:val="12"/>
        </w:numPr>
        <w:tabs>
          <w:tab w:pos="681" w:val="left" w:leader="none"/>
        </w:tabs>
        <w:spacing w:line="256" w:lineRule="auto" w:before="1" w:after="0"/>
        <w:ind w:left="680" w:right="130" w:hanging="571"/>
        <w:jc w:val="both"/>
        <w:rPr>
          <w:sz w:val="27"/>
        </w:rPr>
      </w:pPr>
      <w:r>
        <w:rPr>
          <w:sz w:val="27"/>
        </w:rPr>
        <w:t>Corrao G, Zambon A, Parodi A, et al. Discontinuation of and changes in drug therapy for hypertension among newly-treated patients: a population-based study in Italy. J Hypertens 2008;26:819–824.</w:t>
      </w:r>
    </w:p>
    <w:p>
      <w:pPr>
        <w:pStyle w:val="ListParagraph"/>
        <w:numPr>
          <w:ilvl w:val="0"/>
          <w:numId w:val="12"/>
        </w:numPr>
        <w:tabs>
          <w:tab w:pos="681" w:val="left" w:leader="none"/>
        </w:tabs>
        <w:spacing w:line="256" w:lineRule="auto" w:before="2" w:after="0"/>
        <w:ind w:left="680" w:right="131" w:hanging="571"/>
        <w:jc w:val="both"/>
        <w:rPr>
          <w:sz w:val="27"/>
        </w:rPr>
      </w:pPr>
      <w:r>
        <w:rPr>
          <w:sz w:val="27"/>
        </w:rPr>
        <w:t>Brown MJ, Williams B, Morant </w:t>
      </w:r>
      <w:r>
        <w:rPr>
          <w:spacing w:val="-8"/>
          <w:sz w:val="27"/>
        </w:rPr>
        <w:t>SV, </w:t>
      </w:r>
      <w:r>
        <w:rPr>
          <w:sz w:val="27"/>
        </w:rPr>
        <w:t>et al. Effect of amiloride, or amiloride plus hydrochlorothiazide, versus hydro- chlorothiazide on</w:t>
      </w:r>
      <w:r>
        <w:rPr>
          <w:spacing w:val="25"/>
          <w:sz w:val="27"/>
        </w:rPr>
        <w:t> </w:t>
      </w:r>
      <w:r>
        <w:rPr>
          <w:sz w:val="27"/>
        </w:rPr>
        <w:t>glucose</w:t>
      </w:r>
      <w:r>
        <w:rPr>
          <w:spacing w:val="26"/>
          <w:sz w:val="27"/>
        </w:rPr>
        <w:t> </w:t>
      </w:r>
      <w:r>
        <w:rPr>
          <w:sz w:val="27"/>
        </w:rPr>
        <w:t>tolerance</w:t>
      </w:r>
      <w:r>
        <w:rPr>
          <w:spacing w:val="26"/>
          <w:sz w:val="27"/>
        </w:rPr>
        <w:t> </w:t>
      </w:r>
      <w:r>
        <w:rPr>
          <w:sz w:val="27"/>
        </w:rPr>
        <w:t>and</w:t>
      </w:r>
      <w:r>
        <w:rPr>
          <w:spacing w:val="25"/>
          <w:sz w:val="27"/>
        </w:rPr>
        <w:t> </w:t>
      </w:r>
      <w:r>
        <w:rPr>
          <w:sz w:val="27"/>
        </w:rPr>
        <w:t>blood</w:t>
      </w:r>
      <w:r>
        <w:rPr>
          <w:spacing w:val="26"/>
          <w:sz w:val="27"/>
        </w:rPr>
        <w:t> </w:t>
      </w:r>
      <w:r>
        <w:rPr>
          <w:sz w:val="27"/>
        </w:rPr>
        <w:t>pressure</w:t>
      </w:r>
      <w:r>
        <w:rPr>
          <w:spacing w:val="26"/>
          <w:sz w:val="27"/>
        </w:rPr>
        <w:t> </w:t>
      </w:r>
      <w:r>
        <w:rPr>
          <w:spacing w:val="-9"/>
          <w:sz w:val="27"/>
        </w:rPr>
        <w:t>(PATHWAY-3):</w:t>
      </w:r>
      <w:r>
        <w:rPr>
          <w:spacing w:val="25"/>
          <w:sz w:val="27"/>
        </w:rPr>
        <w:t> </w:t>
      </w:r>
      <w:r>
        <w:rPr>
          <w:sz w:val="27"/>
        </w:rPr>
        <w:t>a</w:t>
      </w:r>
      <w:r>
        <w:rPr>
          <w:spacing w:val="26"/>
          <w:sz w:val="27"/>
        </w:rPr>
        <w:t> </w:t>
      </w:r>
      <w:r>
        <w:rPr>
          <w:sz w:val="27"/>
        </w:rPr>
        <w:t>parallel-</w:t>
      </w:r>
    </w:p>
    <w:p>
      <w:pPr>
        <w:spacing w:after="0" w:line="256" w:lineRule="auto"/>
        <w:jc w:val="both"/>
        <w:rPr>
          <w:sz w:val="27"/>
        </w:rPr>
        <w:sectPr>
          <w:pgSz w:w="11900" w:h="16840"/>
          <w:pgMar w:top="0" w:bottom="280" w:left="1420" w:right="1520"/>
        </w:sectPr>
      </w:pPr>
    </w:p>
    <w:p>
      <w:pPr>
        <w:pStyle w:val="BodyText"/>
        <w:spacing w:line="256" w:lineRule="auto" w:before="16"/>
        <w:ind w:right="136"/>
      </w:pPr>
      <w:r>
        <w:rPr>
          <w:w w:val="105"/>
        </w:rPr>
        <w:t>group, double-blind randomised phase 4 trial. Lancet Diabetes Endocrinol 2016;4:136–147.</w:t>
      </w:r>
    </w:p>
    <w:p>
      <w:pPr>
        <w:pStyle w:val="ListParagraph"/>
        <w:numPr>
          <w:ilvl w:val="0"/>
          <w:numId w:val="12"/>
        </w:numPr>
        <w:tabs>
          <w:tab w:pos="681" w:val="left" w:leader="none"/>
        </w:tabs>
        <w:spacing w:line="247" w:lineRule="auto" w:before="1" w:after="0"/>
        <w:ind w:left="680" w:right="135" w:hanging="571"/>
        <w:jc w:val="both"/>
        <w:rPr>
          <w:sz w:val="27"/>
        </w:rPr>
      </w:pPr>
      <w:r>
        <w:rPr>
          <w:sz w:val="27"/>
        </w:rPr>
        <w:t>Rimoldi SF et al. Efﬁcacy and safety of calcium channel blocker/diuretics combination therapy in hypertensive patients: </w:t>
      </w:r>
      <w:r>
        <w:rPr>
          <w:spacing w:val="-12"/>
          <w:sz w:val="27"/>
        </w:rPr>
        <w:t>a </w:t>
      </w:r>
      <w:r>
        <w:rPr>
          <w:sz w:val="27"/>
        </w:rPr>
        <w:t>meta</w:t>
      </w:r>
      <w:r>
        <w:rPr>
          <w:rFonts w:ascii="Lucida Sans Unicode" w:hAnsi="Lucida Sans Unicode"/>
          <w:sz w:val="27"/>
        </w:rPr>
        <w:t>‐</w:t>
      </w:r>
      <w:r>
        <w:rPr>
          <w:sz w:val="27"/>
        </w:rPr>
        <w:t>analysis. The Journal of Clinical Hypertension </w:t>
      </w:r>
      <w:r>
        <w:rPr>
          <w:spacing w:val="-7"/>
          <w:sz w:val="27"/>
        </w:rPr>
        <w:t>17.3 </w:t>
      </w:r>
      <w:r>
        <w:rPr>
          <w:sz w:val="27"/>
        </w:rPr>
        <w:t>(2015):193–199.</w:t>
      </w:r>
    </w:p>
    <w:p>
      <w:pPr>
        <w:pStyle w:val="ListParagraph"/>
        <w:numPr>
          <w:ilvl w:val="0"/>
          <w:numId w:val="12"/>
        </w:numPr>
        <w:tabs>
          <w:tab w:pos="681" w:val="left" w:leader="none"/>
        </w:tabs>
        <w:spacing w:line="256" w:lineRule="auto" w:before="8" w:after="0"/>
        <w:ind w:left="680" w:right="137" w:hanging="571"/>
        <w:jc w:val="both"/>
        <w:rPr>
          <w:sz w:val="27"/>
        </w:rPr>
      </w:pPr>
      <w:r>
        <w:rPr>
          <w:spacing w:val="-5"/>
          <w:w w:val="105"/>
          <w:sz w:val="27"/>
        </w:rPr>
        <w:t>Wald </w:t>
      </w:r>
      <w:r>
        <w:rPr>
          <w:w w:val="105"/>
          <w:sz w:val="27"/>
        </w:rPr>
        <w:t>DS et al. Combination therapy versus monotherapy in reducing</w:t>
      </w:r>
      <w:r>
        <w:rPr>
          <w:spacing w:val="-41"/>
          <w:w w:val="105"/>
          <w:sz w:val="27"/>
        </w:rPr>
        <w:t> </w:t>
      </w:r>
      <w:r>
        <w:rPr>
          <w:w w:val="105"/>
          <w:sz w:val="27"/>
        </w:rPr>
        <w:t>blood</w:t>
      </w:r>
      <w:r>
        <w:rPr>
          <w:spacing w:val="-41"/>
          <w:w w:val="105"/>
          <w:sz w:val="27"/>
        </w:rPr>
        <w:t> </w:t>
      </w:r>
      <w:r>
        <w:rPr>
          <w:w w:val="105"/>
          <w:sz w:val="27"/>
        </w:rPr>
        <w:t>pressure:</w:t>
      </w:r>
      <w:r>
        <w:rPr>
          <w:spacing w:val="-41"/>
          <w:w w:val="105"/>
          <w:sz w:val="27"/>
        </w:rPr>
        <w:t> </w:t>
      </w:r>
      <w:r>
        <w:rPr>
          <w:w w:val="105"/>
          <w:sz w:val="27"/>
        </w:rPr>
        <w:t>meta-analysis</w:t>
      </w:r>
      <w:r>
        <w:rPr>
          <w:spacing w:val="-41"/>
          <w:w w:val="105"/>
          <w:sz w:val="27"/>
        </w:rPr>
        <w:t> </w:t>
      </w:r>
      <w:r>
        <w:rPr>
          <w:w w:val="105"/>
          <w:sz w:val="27"/>
        </w:rPr>
        <w:t>on</w:t>
      </w:r>
      <w:r>
        <w:rPr>
          <w:spacing w:val="-41"/>
          <w:w w:val="105"/>
          <w:sz w:val="27"/>
        </w:rPr>
        <w:t> </w:t>
      </w:r>
      <w:r>
        <w:rPr>
          <w:w w:val="105"/>
          <w:sz w:val="27"/>
        </w:rPr>
        <w:t>11,000</w:t>
      </w:r>
      <w:r>
        <w:rPr>
          <w:spacing w:val="-41"/>
          <w:w w:val="105"/>
          <w:sz w:val="27"/>
        </w:rPr>
        <w:t> </w:t>
      </w:r>
      <w:r>
        <w:rPr>
          <w:w w:val="105"/>
          <w:sz w:val="27"/>
        </w:rPr>
        <w:t>participants</w:t>
      </w:r>
      <w:r>
        <w:rPr>
          <w:spacing w:val="-41"/>
          <w:w w:val="105"/>
          <w:sz w:val="27"/>
        </w:rPr>
        <w:t> </w:t>
      </w:r>
      <w:r>
        <w:rPr>
          <w:w w:val="105"/>
          <w:sz w:val="27"/>
        </w:rPr>
        <w:t>from 42</w:t>
      </w:r>
      <w:r>
        <w:rPr>
          <w:spacing w:val="-14"/>
          <w:w w:val="105"/>
          <w:sz w:val="27"/>
        </w:rPr>
        <w:t> </w:t>
      </w:r>
      <w:r>
        <w:rPr>
          <w:w w:val="105"/>
          <w:sz w:val="27"/>
        </w:rPr>
        <w:t>trials.</w:t>
      </w:r>
      <w:r>
        <w:rPr>
          <w:spacing w:val="-14"/>
          <w:w w:val="105"/>
          <w:sz w:val="27"/>
        </w:rPr>
        <w:t> </w:t>
      </w:r>
      <w:r>
        <w:rPr>
          <w:w w:val="105"/>
          <w:sz w:val="27"/>
        </w:rPr>
        <w:t>The</w:t>
      </w:r>
      <w:r>
        <w:rPr>
          <w:spacing w:val="-14"/>
          <w:w w:val="105"/>
          <w:sz w:val="27"/>
        </w:rPr>
        <w:t> </w:t>
      </w:r>
      <w:r>
        <w:rPr>
          <w:w w:val="105"/>
          <w:sz w:val="27"/>
        </w:rPr>
        <w:t>American</w:t>
      </w:r>
      <w:r>
        <w:rPr>
          <w:spacing w:val="-14"/>
          <w:w w:val="105"/>
          <w:sz w:val="27"/>
        </w:rPr>
        <w:t> </w:t>
      </w:r>
      <w:r>
        <w:rPr>
          <w:w w:val="105"/>
          <w:sz w:val="27"/>
        </w:rPr>
        <w:t>journal</w:t>
      </w:r>
      <w:r>
        <w:rPr>
          <w:spacing w:val="-14"/>
          <w:w w:val="105"/>
          <w:sz w:val="27"/>
        </w:rPr>
        <w:t> </w:t>
      </w:r>
      <w:r>
        <w:rPr>
          <w:w w:val="105"/>
          <w:sz w:val="27"/>
        </w:rPr>
        <w:t>of</w:t>
      </w:r>
      <w:r>
        <w:rPr>
          <w:spacing w:val="-14"/>
          <w:w w:val="105"/>
          <w:sz w:val="27"/>
        </w:rPr>
        <w:t> </w:t>
      </w:r>
      <w:r>
        <w:rPr>
          <w:w w:val="105"/>
          <w:sz w:val="27"/>
        </w:rPr>
        <w:t>medicine</w:t>
      </w:r>
      <w:r>
        <w:rPr>
          <w:spacing w:val="-14"/>
          <w:w w:val="105"/>
          <w:sz w:val="27"/>
        </w:rPr>
        <w:t> </w:t>
      </w:r>
      <w:r>
        <w:rPr>
          <w:w w:val="105"/>
          <w:sz w:val="27"/>
        </w:rPr>
        <w:t>122.3</w:t>
      </w:r>
      <w:r>
        <w:rPr>
          <w:spacing w:val="-13"/>
          <w:w w:val="105"/>
          <w:sz w:val="27"/>
        </w:rPr>
        <w:t> </w:t>
      </w:r>
      <w:r>
        <w:rPr>
          <w:w w:val="105"/>
          <w:sz w:val="27"/>
        </w:rPr>
        <w:t>(2009):290–300.</w:t>
      </w:r>
    </w:p>
    <w:p>
      <w:pPr>
        <w:pStyle w:val="ListParagraph"/>
        <w:numPr>
          <w:ilvl w:val="0"/>
          <w:numId w:val="12"/>
        </w:numPr>
        <w:tabs>
          <w:tab w:pos="681" w:val="left" w:leader="none"/>
        </w:tabs>
        <w:spacing w:line="256" w:lineRule="auto" w:before="1" w:after="0"/>
        <w:ind w:left="680" w:right="136" w:hanging="571"/>
        <w:jc w:val="both"/>
        <w:rPr>
          <w:sz w:val="27"/>
        </w:rPr>
      </w:pPr>
      <w:r>
        <w:rPr>
          <w:sz w:val="27"/>
        </w:rPr>
        <w:t>Kang Seng et al. A systematic review and meta-analysis of the efﬁcacy and safety of a ﬁxed, low-dose perindopril-indapamide combination as ﬁrst-line treatment of hypertension. Clinical therapeutics 26.2 (2004):</w:t>
      </w:r>
      <w:r>
        <w:rPr>
          <w:spacing w:val="3"/>
          <w:sz w:val="27"/>
        </w:rPr>
        <w:t> </w:t>
      </w:r>
      <w:r>
        <w:rPr>
          <w:sz w:val="27"/>
        </w:rPr>
        <w:t>257–270.</w:t>
      </w:r>
    </w:p>
    <w:p>
      <w:pPr>
        <w:pStyle w:val="ListParagraph"/>
        <w:numPr>
          <w:ilvl w:val="0"/>
          <w:numId w:val="12"/>
        </w:numPr>
        <w:tabs>
          <w:tab w:pos="681" w:val="left" w:leader="none"/>
        </w:tabs>
        <w:spacing w:line="256" w:lineRule="auto" w:before="2" w:after="0"/>
        <w:ind w:left="680" w:right="131" w:hanging="571"/>
        <w:jc w:val="both"/>
        <w:rPr>
          <w:sz w:val="27"/>
        </w:rPr>
      </w:pPr>
      <w:r>
        <w:rPr>
          <w:spacing w:val="-5"/>
          <w:sz w:val="27"/>
        </w:rPr>
        <w:t>Webb </w:t>
      </w:r>
      <w:r>
        <w:rPr>
          <w:sz w:val="27"/>
        </w:rPr>
        <w:t>AJS et al. Effects of antihypertensive-drug class on interindividual variation in blood pressure and risk of stroke: a systematic review and meta-analysis. The Lancet 375.9718 (2010): 906–915.</w:t>
      </w:r>
    </w:p>
    <w:p>
      <w:pPr>
        <w:pStyle w:val="ListParagraph"/>
        <w:numPr>
          <w:ilvl w:val="0"/>
          <w:numId w:val="12"/>
        </w:numPr>
        <w:tabs>
          <w:tab w:pos="681" w:val="left" w:leader="none"/>
        </w:tabs>
        <w:spacing w:line="256" w:lineRule="auto" w:before="1" w:after="0"/>
        <w:ind w:left="680" w:right="129" w:hanging="571"/>
        <w:jc w:val="both"/>
        <w:rPr>
          <w:sz w:val="27"/>
        </w:rPr>
      </w:pPr>
      <w:r>
        <w:rPr>
          <w:sz w:val="27"/>
        </w:rPr>
        <w:t>Чазова И. Е., Мычка В. Б. Новые возможности в лечении больных с метаболическим синдромом: </w:t>
      </w:r>
      <w:r>
        <w:rPr>
          <w:spacing w:val="-4"/>
          <w:sz w:val="27"/>
        </w:rPr>
        <w:t>результаты </w:t>
      </w:r>
      <w:r>
        <w:rPr>
          <w:sz w:val="27"/>
        </w:rPr>
        <w:t>исследования ALMAZ, Системные гипертензии</w:t>
      </w:r>
      <w:r>
        <w:rPr>
          <w:spacing w:val="29"/>
          <w:sz w:val="27"/>
        </w:rPr>
        <w:t> </w:t>
      </w:r>
      <w:r>
        <w:rPr>
          <w:spacing w:val="-3"/>
          <w:sz w:val="27"/>
        </w:rPr>
        <w:t>2006;2:14–17.</w:t>
      </w:r>
    </w:p>
    <w:p>
      <w:pPr>
        <w:pStyle w:val="ListParagraph"/>
        <w:numPr>
          <w:ilvl w:val="0"/>
          <w:numId w:val="12"/>
        </w:numPr>
        <w:tabs>
          <w:tab w:pos="681" w:val="left" w:leader="none"/>
        </w:tabs>
        <w:spacing w:line="256" w:lineRule="auto" w:before="2" w:after="0"/>
        <w:ind w:left="680" w:right="129" w:hanging="571"/>
        <w:jc w:val="both"/>
        <w:rPr>
          <w:sz w:val="27"/>
        </w:rPr>
      </w:pPr>
      <w:r>
        <w:rPr>
          <w:w w:val="105"/>
          <w:sz w:val="27"/>
        </w:rPr>
        <w:t>Schlaich</w:t>
      </w:r>
      <w:r>
        <w:rPr>
          <w:spacing w:val="-19"/>
          <w:w w:val="105"/>
          <w:sz w:val="27"/>
        </w:rPr>
        <w:t> </w:t>
      </w:r>
      <w:r>
        <w:rPr>
          <w:spacing w:val="-12"/>
          <w:w w:val="105"/>
          <w:sz w:val="27"/>
        </w:rPr>
        <w:t>MP.</w:t>
      </w:r>
      <w:r>
        <w:rPr>
          <w:spacing w:val="-18"/>
          <w:w w:val="105"/>
          <w:sz w:val="27"/>
        </w:rPr>
        <w:t> </w:t>
      </w:r>
      <w:r>
        <w:rPr>
          <w:w w:val="105"/>
          <w:sz w:val="27"/>
        </w:rPr>
        <w:t>Improved</w:t>
      </w:r>
      <w:r>
        <w:rPr>
          <w:spacing w:val="-18"/>
          <w:w w:val="105"/>
          <w:sz w:val="27"/>
        </w:rPr>
        <w:t> </w:t>
      </w:r>
      <w:r>
        <w:rPr>
          <w:w w:val="105"/>
          <w:sz w:val="27"/>
        </w:rPr>
        <w:t>hypertension</w:t>
      </w:r>
      <w:r>
        <w:rPr>
          <w:spacing w:val="-18"/>
          <w:w w:val="105"/>
          <w:sz w:val="27"/>
        </w:rPr>
        <w:t> </w:t>
      </w:r>
      <w:r>
        <w:rPr>
          <w:w w:val="105"/>
          <w:sz w:val="27"/>
        </w:rPr>
        <w:t>control</w:t>
      </w:r>
      <w:r>
        <w:rPr>
          <w:spacing w:val="-18"/>
          <w:w w:val="105"/>
          <w:sz w:val="27"/>
        </w:rPr>
        <w:t> </w:t>
      </w:r>
      <w:r>
        <w:rPr>
          <w:w w:val="105"/>
          <w:sz w:val="27"/>
        </w:rPr>
        <w:t>with</w:t>
      </w:r>
      <w:r>
        <w:rPr>
          <w:spacing w:val="-18"/>
          <w:w w:val="105"/>
          <w:sz w:val="27"/>
        </w:rPr>
        <w:t> </w:t>
      </w:r>
      <w:r>
        <w:rPr>
          <w:w w:val="105"/>
          <w:sz w:val="27"/>
        </w:rPr>
        <w:t>the</w:t>
      </w:r>
      <w:r>
        <w:rPr>
          <w:spacing w:val="-18"/>
          <w:w w:val="105"/>
          <w:sz w:val="27"/>
        </w:rPr>
        <w:t> </w:t>
      </w:r>
      <w:r>
        <w:rPr>
          <w:w w:val="105"/>
          <w:sz w:val="27"/>
        </w:rPr>
        <w:t>imidazoline agonist moxonidine in a multinational metabolic syndrome population: principal results of the MERSY study. International journal of hypertension 2013</w:t>
      </w:r>
      <w:r>
        <w:rPr>
          <w:spacing w:val="-27"/>
          <w:w w:val="105"/>
          <w:sz w:val="27"/>
        </w:rPr>
        <w:t> </w:t>
      </w:r>
      <w:r>
        <w:rPr>
          <w:w w:val="105"/>
          <w:sz w:val="27"/>
        </w:rPr>
        <w:t>(2013).</w:t>
      </w:r>
    </w:p>
    <w:p>
      <w:pPr>
        <w:pStyle w:val="ListParagraph"/>
        <w:numPr>
          <w:ilvl w:val="0"/>
          <w:numId w:val="12"/>
        </w:numPr>
        <w:tabs>
          <w:tab w:pos="681" w:val="left" w:leader="none"/>
        </w:tabs>
        <w:spacing w:line="256" w:lineRule="auto" w:before="1" w:after="0"/>
        <w:ind w:left="680" w:right="130" w:hanging="571"/>
        <w:jc w:val="both"/>
        <w:rPr>
          <w:sz w:val="27"/>
        </w:rPr>
      </w:pPr>
      <w:r>
        <w:rPr>
          <w:sz w:val="27"/>
        </w:rPr>
        <w:t>Rayner B. Selective imidazoline agonist moxonidine plus the </w:t>
      </w:r>
      <w:r>
        <w:rPr>
          <w:spacing w:val="-5"/>
          <w:sz w:val="27"/>
        </w:rPr>
        <w:t>ACE </w:t>
      </w:r>
      <w:r>
        <w:rPr>
          <w:sz w:val="27"/>
        </w:rPr>
        <w:t>inhibitor ramipril in hypertensive patients with impaired insulin sensitivity: partners in a successful MARRIAGE? Current medical research and opinion 20.3 (2004):</w:t>
      </w:r>
      <w:r>
        <w:rPr>
          <w:spacing w:val="10"/>
          <w:sz w:val="27"/>
        </w:rPr>
        <w:t> </w:t>
      </w:r>
      <w:r>
        <w:rPr>
          <w:spacing w:val="-4"/>
          <w:sz w:val="27"/>
        </w:rPr>
        <w:t>359–367.</w:t>
      </w:r>
    </w:p>
    <w:p>
      <w:pPr>
        <w:pStyle w:val="ListParagraph"/>
        <w:numPr>
          <w:ilvl w:val="0"/>
          <w:numId w:val="12"/>
        </w:numPr>
        <w:tabs>
          <w:tab w:pos="681" w:val="left" w:leader="none"/>
        </w:tabs>
        <w:spacing w:line="256" w:lineRule="auto" w:before="2" w:after="0"/>
        <w:ind w:left="680" w:right="131" w:hanging="571"/>
        <w:jc w:val="both"/>
        <w:rPr>
          <w:sz w:val="27"/>
        </w:rPr>
      </w:pPr>
      <w:r>
        <w:rPr>
          <w:w w:val="105"/>
          <w:sz w:val="27"/>
        </w:rPr>
        <w:t>Bhatt</w:t>
      </w:r>
      <w:r>
        <w:rPr>
          <w:spacing w:val="-41"/>
          <w:w w:val="105"/>
          <w:sz w:val="27"/>
        </w:rPr>
        <w:t> </w:t>
      </w:r>
      <w:r>
        <w:rPr>
          <w:w w:val="105"/>
          <w:sz w:val="27"/>
        </w:rPr>
        <w:t>DL,</w:t>
      </w:r>
      <w:r>
        <w:rPr>
          <w:spacing w:val="-40"/>
          <w:w w:val="105"/>
          <w:sz w:val="27"/>
        </w:rPr>
        <w:t> </w:t>
      </w:r>
      <w:r>
        <w:rPr>
          <w:w w:val="105"/>
          <w:sz w:val="27"/>
        </w:rPr>
        <w:t>Kandzari</w:t>
      </w:r>
      <w:r>
        <w:rPr>
          <w:spacing w:val="-41"/>
          <w:w w:val="105"/>
          <w:sz w:val="27"/>
        </w:rPr>
        <w:t> </w:t>
      </w:r>
      <w:r>
        <w:rPr>
          <w:w w:val="105"/>
          <w:sz w:val="27"/>
        </w:rPr>
        <w:t>DE,</w:t>
      </w:r>
      <w:r>
        <w:rPr>
          <w:spacing w:val="-40"/>
          <w:w w:val="105"/>
          <w:sz w:val="27"/>
        </w:rPr>
        <w:t> </w:t>
      </w:r>
      <w:r>
        <w:rPr>
          <w:w w:val="105"/>
          <w:sz w:val="27"/>
        </w:rPr>
        <w:t>O’Neill</w:t>
      </w:r>
      <w:r>
        <w:rPr>
          <w:spacing w:val="-41"/>
          <w:w w:val="105"/>
          <w:sz w:val="27"/>
        </w:rPr>
        <w:t> </w:t>
      </w:r>
      <w:r>
        <w:rPr>
          <w:spacing w:val="-6"/>
          <w:w w:val="105"/>
          <w:sz w:val="27"/>
        </w:rPr>
        <w:t>WW,</w:t>
      </w:r>
      <w:r>
        <w:rPr>
          <w:spacing w:val="-40"/>
          <w:w w:val="105"/>
          <w:sz w:val="27"/>
        </w:rPr>
        <w:t> </w:t>
      </w:r>
      <w:r>
        <w:rPr>
          <w:w w:val="105"/>
          <w:sz w:val="27"/>
        </w:rPr>
        <w:t>et</w:t>
      </w:r>
      <w:r>
        <w:rPr>
          <w:spacing w:val="-41"/>
          <w:w w:val="105"/>
          <w:sz w:val="27"/>
        </w:rPr>
        <w:t> </w:t>
      </w:r>
      <w:r>
        <w:rPr>
          <w:w w:val="105"/>
          <w:sz w:val="27"/>
        </w:rPr>
        <w:t>al.</w:t>
      </w:r>
      <w:r>
        <w:rPr>
          <w:spacing w:val="-40"/>
          <w:w w:val="105"/>
          <w:sz w:val="27"/>
        </w:rPr>
        <w:t> </w:t>
      </w:r>
      <w:r>
        <w:rPr>
          <w:w w:val="105"/>
          <w:sz w:val="27"/>
        </w:rPr>
        <w:t>for</w:t>
      </w:r>
      <w:r>
        <w:rPr>
          <w:spacing w:val="-41"/>
          <w:w w:val="105"/>
          <w:sz w:val="27"/>
        </w:rPr>
        <w:t> </w:t>
      </w:r>
      <w:r>
        <w:rPr>
          <w:w w:val="105"/>
          <w:sz w:val="27"/>
        </w:rPr>
        <w:t>the</w:t>
      </w:r>
      <w:r>
        <w:rPr>
          <w:spacing w:val="-40"/>
          <w:w w:val="105"/>
          <w:sz w:val="27"/>
        </w:rPr>
        <w:t> </w:t>
      </w:r>
      <w:r>
        <w:rPr>
          <w:w w:val="105"/>
          <w:sz w:val="27"/>
        </w:rPr>
        <w:t>Symplicity</w:t>
      </w:r>
      <w:r>
        <w:rPr>
          <w:spacing w:val="-41"/>
          <w:w w:val="105"/>
          <w:sz w:val="27"/>
        </w:rPr>
        <w:t> </w:t>
      </w:r>
      <w:r>
        <w:rPr>
          <w:w w:val="105"/>
          <w:sz w:val="27"/>
        </w:rPr>
        <w:t>HTN-3 Investigators. A controlled trial of renal denervation for resistant hypertension. N Engl J Med</w:t>
      </w:r>
      <w:r>
        <w:rPr>
          <w:spacing w:val="-40"/>
          <w:w w:val="105"/>
          <w:sz w:val="27"/>
        </w:rPr>
        <w:t> </w:t>
      </w:r>
      <w:r>
        <w:rPr>
          <w:w w:val="105"/>
          <w:sz w:val="27"/>
        </w:rPr>
        <w:t>2014;370:1393–1401.</w:t>
      </w:r>
    </w:p>
    <w:p>
      <w:pPr>
        <w:pStyle w:val="ListParagraph"/>
        <w:numPr>
          <w:ilvl w:val="0"/>
          <w:numId w:val="12"/>
        </w:numPr>
        <w:tabs>
          <w:tab w:pos="681" w:val="left" w:leader="none"/>
        </w:tabs>
        <w:spacing w:line="256" w:lineRule="auto" w:before="1" w:after="0"/>
        <w:ind w:left="680" w:right="133" w:hanging="571"/>
        <w:jc w:val="both"/>
        <w:rPr>
          <w:sz w:val="27"/>
        </w:rPr>
      </w:pPr>
      <w:r>
        <w:rPr>
          <w:w w:val="105"/>
          <w:sz w:val="27"/>
        </w:rPr>
        <w:t>Mathiassen ON, </w:t>
      </w:r>
      <w:r>
        <w:rPr>
          <w:spacing w:val="-6"/>
          <w:w w:val="105"/>
          <w:sz w:val="27"/>
        </w:rPr>
        <w:t>Vase </w:t>
      </w:r>
      <w:r>
        <w:rPr>
          <w:w w:val="105"/>
          <w:sz w:val="27"/>
        </w:rPr>
        <w:t>H, Bech JN, et al. Renal denervation in treatment-resistant</w:t>
      </w:r>
      <w:r>
        <w:rPr>
          <w:spacing w:val="-37"/>
          <w:w w:val="105"/>
          <w:sz w:val="27"/>
        </w:rPr>
        <w:t> </w:t>
      </w:r>
      <w:r>
        <w:rPr>
          <w:w w:val="105"/>
          <w:sz w:val="27"/>
        </w:rPr>
        <w:t>essential</w:t>
      </w:r>
      <w:r>
        <w:rPr>
          <w:spacing w:val="-36"/>
          <w:w w:val="105"/>
          <w:sz w:val="27"/>
        </w:rPr>
        <w:t> </w:t>
      </w:r>
      <w:r>
        <w:rPr>
          <w:w w:val="105"/>
          <w:sz w:val="27"/>
        </w:rPr>
        <w:t>hypertension.</w:t>
      </w:r>
      <w:r>
        <w:rPr>
          <w:spacing w:val="-36"/>
          <w:w w:val="105"/>
          <w:sz w:val="27"/>
        </w:rPr>
        <w:t> </w:t>
      </w:r>
      <w:r>
        <w:rPr>
          <w:w w:val="105"/>
          <w:sz w:val="27"/>
        </w:rPr>
        <w:t>A</w:t>
      </w:r>
      <w:r>
        <w:rPr>
          <w:spacing w:val="-36"/>
          <w:w w:val="105"/>
          <w:sz w:val="27"/>
        </w:rPr>
        <w:t> </w:t>
      </w:r>
      <w:r>
        <w:rPr>
          <w:w w:val="105"/>
          <w:sz w:val="27"/>
        </w:rPr>
        <w:t>randomized,</w:t>
      </w:r>
      <w:r>
        <w:rPr>
          <w:spacing w:val="-36"/>
          <w:w w:val="105"/>
          <w:sz w:val="27"/>
        </w:rPr>
        <w:t> </w:t>
      </w:r>
      <w:r>
        <w:rPr>
          <w:w w:val="105"/>
          <w:sz w:val="27"/>
        </w:rPr>
        <w:t>SHAM- controlled, double-blinded 24-h blood pressure-based trial. </w:t>
      </w:r>
      <w:r>
        <w:rPr>
          <w:spacing w:val="-13"/>
          <w:w w:val="105"/>
          <w:sz w:val="27"/>
        </w:rPr>
        <w:t>J </w:t>
      </w:r>
      <w:r>
        <w:rPr>
          <w:w w:val="105"/>
          <w:sz w:val="27"/>
        </w:rPr>
        <w:t>Hypertens</w:t>
      </w:r>
      <w:r>
        <w:rPr>
          <w:spacing w:val="-6"/>
          <w:w w:val="105"/>
          <w:sz w:val="27"/>
        </w:rPr>
        <w:t> </w:t>
      </w:r>
      <w:r>
        <w:rPr>
          <w:w w:val="105"/>
          <w:sz w:val="27"/>
        </w:rPr>
        <w:t>2016;34:1639–1647.</w:t>
      </w:r>
    </w:p>
    <w:p>
      <w:pPr>
        <w:pStyle w:val="ListParagraph"/>
        <w:numPr>
          <w:ilvl w:val="0"/>
          <w:numId w:val="12"/>
        </w:numPr>
        <w:tabs>
          <w:tab w:pos="681" w:val="left" w:leader="none"/>
        </w:tabs>
        <w:spacing w:line="256" w:lineRule="auto" w:before="2" w:after="0"/>
        <w:ind w:left="680" w:right="128" w:hanging="571"/>
        <w:jc w:val="both"/>
        <w:rPr>
          <w:sz w:val="27"/>
        </w:rPr>
      </w:pPr>
      <w:r>
        <w:rPr>
          <w:w w:val="105"/>
          <w:sz w:val="27"/>
        </w:rPr>
        <w:t>DiBona GF. Physiology in perspective: the wisdom of the </w:t>
      </w:r>
      <w:r>
        <w:rPr>
          <w:spacing w:val="-3"/>
          <w:w w:val="105"/>
          <w:sz w:val="27"/>
        </w:rPr>
        <w:t>body. </w:t>
      </w:r>
      <w:r>
        <w:rPr>
          <w:w w:val="105"/>
          <w:sz w:val="27"/>
        </w:rPr>
        <w:t>Neural control . of the </w:t>
      </w:r>
      <w:r>
        <w:rPr>
          <w:spacing w:val="-3"/>
          <w:w w:val="105"/>
          <w:sz w:val="27"/>
        </w:rPr>
        <w:t>kidney. </w:t>
      </w:r>
      <w:r>
        <w:rPr>
          <w:w w:val="105"/>
          <w:sz w:val="27"/>
        </w:rPr>
        <w:t>Am J Physiol Regul Integr Comp Physiol</w:t>
      </w:r>
      <w:r>
        <w:rPr>
          <w:spacing w:val="-6"/>
          <w:w w:val="105"/>
          <w:sz w:val="27"/>
        </w:rPr>
        <w:t> </w:t>
      </w:r>
      <w:r>
        <w:rPr>
          <w:w w:val="105"/>
          <w:sz w:val="27"/>
        </w:rPr>
        <w:t>2005;289:R633–R641.</w:t>
      </w:r>
    </w:p>
    <w:p>
      <w:pPr>
        <w:pStyle w:val="ListParagraph"/>
        <w:numPr>
          <w:ilvl w:val="0"/>
          <w:numId w:val="12"/>
        </w:numPr>
        <w:tabs>
          <w:tab w:pos="681" w:val="left" w:leader="none"/>
        </w:tabs>
        <w:spacing w:line="256" w:lineRule="auto" w:before="1" w:after="0"/>
        <w:ind w:left="680" w:right="132" w:hanging="571"/>
        <w:jc w:val="both"/>
        <w:rPr>
          <w:sz w:val="27"/>
        </w:rPr>
      </w:pPr>
      <w:r>
        <w:rPr>
          <w:sz w:val="27"/>
        </w:rPr>
        <w:t>Mahfoud F, Bohm M, Azizi M et al. Proceedings from the European Clinical Consensus Conference for Renal Denervation: considerations on future clinical trial design. Eur Heart J 2015;36:2219–2227.</w:t>
      </w:r>
    </w:p>
    <w:p>
      <w:pPr>
        <w:spacing w:after="0" w:line="256" w:lineRule="auto"/>
        <w:jc w:val="both"/>
        <w:rPr>
          <w:sz w:val="27"/>
        </w:rPr>
        <w:sectPr>
          <w:pgSz w:w="11900" w:h="16840"/>
          <w:pgMar w:top="0" w:bottom="280" w:left="1420" w:right="1520"/>
        </w:sectPr>
      </w:pPr>
    </w:p>
    <w:p>
      <w:pPr>
        <w:pStyle w:val="ListParagraph"/>
        <w:numPr>
          <w:ilvl w:val="0"/>
          <w:numId w:val="12"/>
        </w:numPr>
        <w:tabs>
          <w:tab w:pos="681" w:val="left" w:leader="none"/>
        </w:tabs>
        <w:spacing w:line="256" w:lineRule="auto" w:before="16" w:after="0"/>
        <w:ind w:left="680" w:right="130" w:hanging="571"/>
        <w:jc w:val="both"/>
        <w:rPr>
          <w:sz w:val="27"/>
        </w:rPr>
      </w:pPr>
      <w:r>
        <w:rPr>
          <w:sz w:val="27"/>
        </w:rPr>
        <w:t>Narkiewicz K, Ratcliffe LE, Hart EC, et al. Unilateral carotid body resection in resistant hypertension: a safety and feasibility trial. </w:t>
      </w:r>
      <w:r>
        <w:rPr>
          <w:spacing w:val="-6"/>
          <w:sz w:val="27"/>
        </w:rPr>
        <w:t>JACC </w:t>
      </w:r>
      <w:r>
        <w:rPr>
          <w:sz w:val="27"/>
        </w:rPr>
        <w:t>Basic Transl Sci</w:t>
      </w:r>
      <w:r>
        <w:rPr>
          <w:spacing w:val="8"/>
          <w:sz w:val="27"/>
        </w:rPr>
        <w:t> </w:t>
      </w:r>
      <w:r>
        <w:rPr>
          <w:sz w:val="27"/>
        </w:rPr>
        <w:t>2016;1:313–324.</w:t>
      </w:r>
    </w:p>
    <w:p>
      <w:pPr>
        <w:pStyle w:val="ListParagraph"/>
        <w:numPr>
          <w:ilvl w:val="0"/>
          <w:numId w:val="12"/>
        </w:numPr>
        <w:tabs>
          <w:tab w:pos="681" w:val="left" w:leader="none"/>
        </w:tabs>
        <w:spacing w:line="256" w:lineRule="auto" w:before="2" w:after="0"/>
        <w:ind w:left="680" w:right="129" w:hanging="571"/>
        <w:jc w:val="both"/>
        <w:rPr>
          <w:sz w:val="27"/>
        </w:rPr>
      </w:pPr>
      <w:r>
        <w:rPr>
          <w:sz w:val="27"/>
        </w:rPr>
        <w:t>Bohm M, Mahfoud F, Ukena C et al. GSR Investigators. First report of the Global SYMPLICITY Registry on the effect of renal artery denervation in patients with uncontrolled hyper- tension. Hypertension 2015;65:766–774.</w:t>
      </w:r>
    </w:p>
    <w:p>
      <w:pPr>
        <w:pStyle w:val="ListParagraph"/>
        <w:numPr>
          <w:ilvl w:val="0"/>
          <w:numId w:val="12"/>
        </w:numPr>
        <w:tabs>
          <w:tab w:pos="681" w:val="left" w:leader="none"/>
        </w:tabs>
        <w:spacing w:line="256" w:lineRule="auto" w:before="1" w:after="0"/>
        <w:ind w:left="680" w:right="135" w:hanging="571"/>
        <w:jc w:val="both"/>
        <w:rPr>
          <w:sz w:val="27"/>
        </w:rPr>
      </w:pPr>
      <w:r>
        <w:rPr>
          <w:sz w:val="27"/>
        </w:rPr>
        <w:t>Ng FL, Saxena M, Mahfoud F, et al. Device-based therapy for hypertension. Curr Hypertens Rep</w:t>
      </w:r>
      <w:r>
        <w:rPr>
          <w:spacing w:val="-2"/>
          <w:sz w:val="27"/>
        </w:rPr>
        <w:t> </w:t>
      </w:r>
      <w:r>
        <w:rPr>
          <w:sz w:val="27"/>
        </w:rPr>
        <w:t>2016;18:61.</w:t>
      </w:r>
    </w:p>
    <w:p>
      <w:pPr>
        <w:pStyle w:val="ListParagraph"/>
        <w:numPr>
          <w:ilvl w:val="0"/>
          <w:numId w:val="12"/>
        </w:numPr>
        <w:tabs>
          <w:tab w:pos="681" w:val="left" w:leader="none"/>
        </w:tabs>
        <w:spacing w:line="256" w:lineRule="auto" w:before="1" w:after="0"/>
        <w:ind w:left="680" w:right="131" w:hanging="571"/>
        <w:jc w:val="both"/>
        <w:rPr>
          <w:sz w:val="27"/>
        </w:rPr>
      </w:pPr>
      <w:r>
        <w:rPr>
          <w:sz w:val="27"/>
        </w:rPr>
        <w:t>Burchell AE, Lobo </w:t>
      </w:r>
      <w:r>
        <w:rPr>
          <w:spacing w:val="-3"/>
          <w:sz w:val="27"/>
        </w:rPr>
        <w:t>MD, </w:t>
      </w:r>
      <w:r>
        <w:rPr>
          <w:sz w:val="27"/>
        </w:rPr>
        <w:t>Sulke N, et al. Arteriovenous anastomosis:</w:t>
      </w:r>
      <w:r>
        <w:rPr>
          <w:spacing w:val="-18"/>
          <w:sz w:val="27"/>
        </w:rPr>
        <w:t> </w:t>
      </w:r>
      <w:r>
        <w:rPr>
          <w:sz w:val="27"/>
        </w:rPr>
        <w:t>is this</w:t>
      </w:r>
      <w:r>
        <w:rPr>
          <w:spacing w:val="18"/>
          <w:sz w:val="27"/>
        </w:rPr>
        <w:t> </w:t>
      </w:r>
      <w:r>
        <w:rPr>
          <w:sz w:val="27"/>
        </w:rPr>
        <w:t>the</w:t>
      </w:r>
      <w:r>
        <w:rPr>
          <w:spacing w:val="18"/>
          <w:sz w:val="27"/>
        </w:rPr>
        <w:t> </w:t>
      </w:r>
      <w:r>
        <w:rPr>
          <w:sz w:val="27"/>
        </w:rPr>
        <w:t>way</w:t>
      </w:r>
      <w:r>
        <w:rPr>
          <w:spacing w:val="19"/>
          <w:sz w:val="27"/>
        </w:rPr>
        <w:t> </w:t>
      </w:r>
      <w:r>
        <w:rPr>
          <w:sz w:val="27"/>
        </w:rPr>
        <w:t>to</w:t>
      </w:r>
      <w:r>
        <w:rPr>
          <w:spacing w:val="18"/>
          <w:sz w:val="27"/>
        </w:rPr>
        <w:t> </w:t>
      </w:r>
      <w:r>
        <w:rPr>
          <w:sz w:val="27"/>
        </w:rPr>
        <w:t>control</w:t>
      </w:r>
      <w:r>
        <w:rPr>
          <w:spacing w:val="19"/>
          <w:sz w:val="27"/>
        </w:rPr>
        <w:t> </w:t>
      </w:r>
      <w:r>
        <w:rPr>
          <w:sz w:val="27"/>
        </w:rPr>
        <w:t>hypertension?</w:t>
      </w:r>
      <w:r>
        <w:rPr>
          <w:spacing w:val="18"/>
          <w:sz w:val="27"/>
        </w:rPr>
        <w:t> </w:t>
      </w:r>
      <w:r>
        <w:rPr>
          <w:sz w:val="27"/>
        </w:rPr>
        <w:t>Hypertension</w:t>
      </w:r>
      <w:r>
        <w:rPr>
          <w:spacing w:val="19"/>
          <w:sz w:val="27"/>
        </w:rPr>
        <w:t> </w:t>
      </w:r>
      <w:r>
        <w:rPr>
          <w:sz w:val="27"/>
        </w:rPr>
        <w:t>2014;64:6–12.</w:t>
      </w:r>
    </w:p>
    <w:p>
      <w:pPr>
        <w:pStyle w:val="ListParagraph"/>
        <w:numPr>
          <w:ilvl w:val="0"/>
          <w:numId w:val="12"/>
        </w:numPr>
        <w:tabs>
          <w:tab w:pos="681" w:val="left" w:leader="none"/>
        </w:tabs>
        <w:spacing w:line="256" w:lineRule="auto" w:before="1" w:after="0"/>
        <w:ind w:left="680" w:right="132" w:hanging="571"/>
        <w:jc w:val="both"/>
        <w:rPr>
          <w:rFonts w:ascii="Times New Roman" w:hAnsi="Times New Roman"/>
          <w:sz w:val="27"/>
        </w:rPr>
      </w:pPr>
      <w:r>
        <w:rPr>
          <w:sz w:val="27"/>
        </w:rPr>
        <w:t>Kario K. et al. Comparative Effects of an Angiotensin II Receptor Blocker (ARB)/Diuretic vs. ARB/Calcium-Channel Blocker Combination on Uncontrolled Nocturnal Hypertension Evaluated </w:t>
      </w:r>
      <w:r>
        <w:rPr>
          <w:spacing w:val="-3"/>
          <w:sz w:val="27"/>
        </w:rPr>
        <w:t>by </w:t>
      </w:r>
      <w:r>
        <w:rPr>
          <w:sz w:val="27"/>
        </w:rPr>
        <w:t>Information and Communication Technology-Based Nocturnal Home Blood Pressure Monitoring</w:t>
      </w:r>
      <w:r>
        <w:rPr>
          <w:rFonts w:ascii="Times New Roman" w:hAnsi="Times New Roman"/>
          <w:sz w:val="27"/>
        </w:rPr>
        <w:t>―</w:t>
      </w:r>
      <w:r>
        <w:rPr>
          <w:sz w:val="27"/>
        </w:rPr>
        <w:t>The NOCTURNE</w:t>
      </w:r>
      <w:r>
        <w:rPr>
          <w:spacing w:val="17"/>
          <w:sz w:val="27"/>
        </w:rPr>
        <w:t> </w:t>
      </w:r>
      <w:r>
        <w:rPr>
          <w:sz w:val="27"/>
        </w:rPr>
        <w:t>Study</w:t>
      </w:r>
      <w:r>
        <w:rPr>
          <w:rFonts w:ascii="Times New Roman" w:hAnsi="Times New Roman"/>
          <w:sz w:val="27"/>
        </w:rPr>
        <w:t>―</w:t>
      </w:r>
    </w:p>
    <w:p>
      <w:pPr>
        <w:pStyle w:val="BodyText"/>
        <w:spacing w:before="2"/>
      </w:pPr>
      <w:r>
        <w:rPr>
          <w:w w:val="110"/>
        </w:rPr>
        <w:t>//Circulation Journal. – 2017. – Т. 81. – №. 7. – С. 948-957.</w:t>
      </w:r>
    </w:p>
    <w:p>
      <w:pPr>
        <w:pStyle w:val="ListParagraph"/>
        <w:numPr>
          <w:ilvl w:val="0"/>
          <w:numId w:val="12"/>
        </w:numPr>
        <w:tabs>
          <w:tab w:pos="681" w:val="left" w:leader="none"/>
        </w:tabs>
        <w:spacing w:line="256" w:lineRule="auto" w:before="26" w:after="0"/>
        <w:ind w:left="680" w:right="129" w:hanging="571"/>
        <w:jc w:val="both"/>
        <w:rPr>
          <w:sz w:val="27"/>
        </w:rPr>
      </w:pPr>
      <w:r>
        <w:rPr>
          <w:spacing w:val="-3"/>
          <w:sz w:val="27"/>
        </w:rPr>
        <w:t>Tsai WC, </w:t>
      </w:r>
      <w:r>
        <w:rPr>
          <w:spacing w:val="-9"/>
          <w:sz w:val="27"/>
        </w:rPr>
        <w:t>Wu </w:t>
      </w:r>
      <w:r>
        <w:rPr>
          <w:spacing w:val="-8"/>
          <w:sz w:val="27"/>
        </w:rPr>
        <w:t>HY, </w:t>
      </w:r>
      <w:r>
        <w:rPr>
          <w:spacing w:val="-3"/>
          <w:sz w:val="27"/>
        </w:rPr>
        <w:t>Peng </w:t>
      </w:r>
      <w:r>
        <w:rPr>
          <w:sz w:val="27"/>
        </w:rPr>
        <w:t>YS, et al. Association of intensive blood pressure control and kidney disease progression in nondiabetic patients with chronic kidney disease: a systematic review and meta-analysis. JAMA Intern Med</w:t>
      </w:r>
      <w:r>
        <w:rPr>
          <w:spacing w:val="13"/>
          <w:sz w:val="27"/>
        </w:rPr>
        <w:t> </w:t>
      </w:r>
      <w:r>
        <w:rPr>
          <w:sz w:val="27"/>
        </w:rPr>
        <w:t>2017;177:792–799.</w:t>
      </w:r>
    </w:p>
    <w:p>
      <w:pPr>
        <w:pStyle w:val="ListParagraph"/>
        <w:numPr>
          <w:ilvl w:val="0"/>
          <w:numId w:val="12"/>
        </w:numPr>
        <w:tabs>
          <w:tab w:pos="681" w:val="left" w:leader="none"/>
        </w:tabs>
        <w:spacing w:line="256" w:lineRule="auto" w:before="1" w:after="0"/>
        <w:ind w:left="680" w:right="129" w:hanging="571"/>
        <w:jc w:val="both"/>
        <w:rPr>
          <w:sz w:val="27"/>
        </w:rPr>
      </w:pPr>
      <w:r>
        <w:rPr>
          <w:sz w:val="27"/>
        </w:rPr>
        <w:t>Jafar TH, Stark PC, Schmid CH, et al. AIPRD Study Group. Progression of chronic kid- ney disease: the role of blood pressure control, proteinuria, and angiotensin- converting enzyme  inhibition: a patient-level meta-analysis. Ann Intern Med 2003;139:244–252.</w:t>
      </w:r>
    </w:p>
    <w:p>
      <w:pPr>
        <w:pStyle w:val="ListParagraph"/>
        <w:numPr>
          <w:ilvl w:val="0"/>
          <w:numId w:val="12"/>
        </w:numPr>
        <w:tabs>
          <w:tab w:pos="681" w:val="left" w:leader="none"/>
        </w:tabs>
        <w:spacing w:line="256" w:lineRule="auto" w:before="2" w:after="0"/>
        <w:ind w:left="680" w:right="134" w:hanging="571"/>
        <w:jc w:val="both"/>
        <w:rPr>
          <w:sz w:val="27"/>
        </w:rPr>
      </w:pPr>
      <w:r>
        <w:rPr>
          <w:sz w:val="27"/>
        </w:rPr>
        <w:t>Sim JJ, Shi J, </w:t>
      </w:r>
      <w:r>
        <w:rPr>
          <w:spacing w:val="-4"/>
          <w:sz w:val="27"/>
        </w:rPr>
        <w:t>Kovesdy </w:t>
      </w:r>
      <w:r>
        <w:rPr>
          <w:spacing w:val="-12"/>
          <w:sz w:val="27"/>
        </w:rPr>
        <w:t>CP, </w:t>
      </w:r>
      <w:r>
        <w:rPr>
          <w:sz w:val="27"/>
        </w:rPr>
        <w:t>et al. Impact of achieved blood pressures on mortality risk and end-stage renal disease among a large,  diverse hypertension population. J Am Coll Cardiol 2014;64:588– </w:t>
      </w:r>
      <w:r>
        <w:rPr>
          <w:spacing w:val="-7"/>
          <w:sz w:val="27"/>
        </w:rPr>
        <w:t>597.</w:t>
      </w:r>
    </w:p>
    <w:p>
      <w:pPr>
        <w:pStyle w:val="ListParagraph"/>
        <w:numPr>
          <w:ilvl w:val="0"/>
          <w:numId w:val="12"/>
        </w:numPr>
        <w:tabs>
          <w:tab w:pos="681" w:val="left" w:leader="none"/>
        </w:tabs>
        <w:spacing w:line="256" w:lineRule="auto" w:before="2" w:after="0"/>
        <w:ind w:left="680" w:right="128" w:hanging="571"/>
        <w:jc w:val="both"/>
        <w:rPr>
          <w:sz w:val="27"/>
        </w:rPr>
      </w:pPr>
      <w:r>
        <w:rPr>
          <w:sz w:val="27"/>
        </w:rPr>
        <w:t>Bakris GL, Saraﬁdis </w:t>
      </w:r>
      <w:r>
        <w:rPr>
          <w:spacing w:val="-7"/>
          <w:sz w:val="27"/>
        </w:rPr>
        <w:t>PA, </w:t>
      </w:r>
      <w:r>
        <w:rPr>
          <w:spacing w:val="-5"/>
          <w:sz w:val="27"/>
        </w:rPr>
        <w:t>Weir </w:t>
      </w:r>
      <w:r>
        <w:rPr>
          <w:sz w:val="27"/>
        </w:rPr>
        <w:t>MR, et al. </w:t>
      </w:r>
      <w:r>
        <w:rPr>
          <w:spacing w:val="-3"/>
          <w:sz w:val="27"/>
        </w:rPr>
        <w:t>ACCOMPLISH </w:t>
      </w:r>
      <w:r>
        <w:rPr>
          <w:sz w:val="27"/>
        </w:rPr>
        <w:t>Trial Investigators. Renal outcomes with different ﬁxed-dose combination therapies in patients with hypertension at high risk for cardiovascular events </w:t>
      </w:r>
      <w:r>
        <w:rPr>
          <w:spacing w:val="-3"/>
          <w:sz w:val="27"/>
        </w:rPr>
        <w:t>(ACCOMPLISH): </w:t>
      </w:r>
      <w:r>
        <w:rPr>
          <w:sz w:val="27"/>
        </w:rPr>
        <w:t>a prespeciﬁed secondary analysis of a randomised controlled trial. Lancet 2010;375:1173– 1181.</w:t>
      </w:r>
    </w:p>
    <w:p>
      <w:pPr>
        <w:pStyle w:val="ListParagraph"/>
        <w:numPr>
          <w:ilvl w:val="0"/>
          <w:numId w:val="12"/>
        </w:numPr>
        <w:tabs>
          <w:tab w:pos="681" w:val="left" w:leader="none"/>
        </w:tabs>
        <w:spacing w:line="256" w:lineRule="auto" w:before="2" w:after="0"/>
        <w:ind w:left="680" w:right="131" w:hanging="571"/>
        <w:jc w:val="both"/>
        <w:rPr>
          <w:sz w:val="27"/>
        </w:rPr>
      </w:pPr>
      <w:r>
        <w:rPr>
          <w:sz w:val="27"/>
        </w:rPr>
        <w:t>Xie X, </w:t>
      </w:r>
      <w:r>
        <w:rPr>
          <w:spacing w:val="-3"/>
          <w:sz w:val="27"/>
        </w:rPr>
        <w:t>Atkins </w:t>
      </w:r>
      <w:r>
        <w:rPr>
          <w:sz w:val="27"/>
        </w:rPr>
        <w:t>E, </w:t>
      </w:r>
      <w:r>
        <w:rPr>
          <w:spacing w:val="-7"/>
          <w:sz w:val="27"/>
        </w:rPr>
        <w:t>Lv </w:t>
      </w:r>
      <w:r>
        <w:rPr>
          <w:sz w:val="27"/>
        </w:rPr>
        <w:t>J et al. Effects of intensive blood pressure lowering on cardio- vascular and renal outcomes: updated systematic review and meta-analysis. Lancet</w:t>
      </w:r>
      <w:r>
        <w:rPr>
          <w:spacing w:val="21"/>
          <w:sz w:val="27"/>
        </w:rPr>
        <w:t> </w:t>
      </w:r>
      <w:r>
        <w:rPr>
          <w:sz w:val="27"/>
        </w:rPr>
        <w:t>2016;387:435–443.</w:t>
      </w:r>
    </w:p>
    <w:p>
      <w:pPr>
        <w:pStyle w:val="ListParagraph"/>
        <w:numPr>
          <w:ilvl w:val="0"/>
          <w:numId w:val="12"/>
        </w:numPr>
        <w:tabs>
          <w:tab w:pos="681" w:val="left" w:leader="none"/>
        </w:tabs>
        <w:spacing w:line="256" w:lineRule="auto" w:before="2" w:after="0"/>
        <w:ind w:left="680" w:right="134" w:hanging="571"/>
        <w:jc w:val="both"/>
        <w:rPr>
          <w:sz w:val="27"/>
        </w:rPr>
      </w:pPr>
      <w:r>
        <w:rPr>
          <w:sz w:val="27"/>
        </w:rPr>
        <w:t>Law MR, Morris JK, </w:t>
      </w:r>
      <w:r>
        <w:rPr>
          <w:spacing w:val="-5"/>
          <w:sz w:val="27"/>
        </w:rPr>
        <w:t>Wald </w:t>
      </w:r>
      <w:r>
        <w:rPr>
          <w:sz w:val="27"/>
        </w:rPr>
        <w:t>NJ. Use of blood pressure lowering drugs in the prevention of cardiovascular disease: meta-analysis of 147 randomised trials in the context of expectations from prospective epidemiological studies. BMJ</w:t>
      </w:r>
      <w:r>
        <w:rPr>
          <w:spacing w:val="3"/>
          <w:sz w:val="27"/>
        </w:rPr>
        <w:t> </w:t>
      </w:r>
      <w:r>
        <w:rPr>
          <w:sz w:val="27"/>
        </w:rPr>
        <w:t>2009;338:b1665.</w:t>
      </w:r>
    </w:p>
    <w:p>
      <w:pPr>
        <w:spacing w:after="0" w:line="256" w:lineRule="auto"/>
        <w:jc w:val="both"/>
        <w:rPr>
          <w:sz w:val="27"/>
        </w:rPr>
        <w:sectPr>
          <w:pgSz w:w="11900" w:h="16840"/>
          <w:pgMar w:top="0" w:bottom="0" w:left="1420" w:right="1520"/>
        </w:sectPr>
      </w:pPr>
    </w:p>
    <w:p>
      <w:pPr>
        <w:pStyle w:val="ListParagraph"/>
        <w:numPr>
          <w:ilvl w:val="0"/>
          <w:numId w:val="12"/>
        </w:numPr>
        <w:tabs>
          <w:tab w:pos="681" w:val="left" w:leader="none"/>
        </w:tabs>
        <w:spacing w:line="256" w:lineRule="auto" w:before="16" w:after="0"/>
        <w:ind w:left="680" w:right="130" w:hanging="571"/>
        <w:jc w:val="both"/>
        <w:rPr>
          <w:sz w:val="27"/>
        </w:rPr>
      </w:pPr>
      <w:r>
        <w:rPr>
          <w:sz w:val="27"/>
        </w:rPr>
        <w:t>Ponikowski</w:t>
      </w:r>
      <w:r>
        <w:rPr>
          <w:spacing w:val="-11"/>
          <w:sz w:val="27"/>
        </w:rPr>
        <w:t> </w:t>
      </w:r>
      <w:r>
        <w:rPr>
          <w:spacing w:val="-17"/>
          <w:sz w:val="27"/>
        </w:rPr>
        <w:t>P,</w:t>
      </w:r>
      <w:r>
        <w:rPr>
          <w:spacing w:val="-10"/>
          <w:sz w:val="27"/>
        </w:rPr>
        <w:t> </w:t>
      </w:r>
      <w:r>
        <w:rPr>
          <w:spacing w:val="-5"/>
          <w:sz w:val="27"/>
        </w:rPr>
        <w:t>Voors</w:t>
      </w:r>
      <w:r>
        <w:rPr>
          <w:spacing w:val="-10"/>
          <w:sz w:val="27"/>
        </w:rPr>
        <w:t> </w:t>
      </w:r>
      <w:r>
        <w:rPr>
          <w:sz w:val="27"/>
        </w:rPr>
        <w:t>AA,</w:t>
      </w:r>
      <w:r>
        <w:rPr>
          <w:spacing w:val="-10"/>
          <w:sz w:val="27"/>
        </w:rPr>
        <w:t> </w:t>
      </w:r>
      <w:r>
        <w:rPr>
          <w:sz w:val="27"/>
        </w:rPr>
        <w:t>Anker</w:t>
      </w:r>
      <w:r>
        <w:rPr>
          <w:spacing w:val="-11"/>
          <w:sz w:val="27"/>
        </w:rPr>
        <w:t> </w:t>
      </w:r>
      <w:r>
        <w:rPr>
          <w:sz w:val="27"/>
        </w:rPr>
        <w:t>SD</w:t>
      </w:r>
      <w:r>
        <w:rPr>
          <w:spacing w:val="-10"/>
          <w:sz w:val="27"/>
        </w:rPr>
        <w:t> </w:t>
      </w:r>
      <w:r>
        <w:rPr>
          <w:sz w:val="27"/>
        </w:rPr>
        <w:t>et</w:t>
      </w:r>
      <w:r>
        <w:rPr>
          <w:spacing w:val="-10"/>
          <w:sz w:val="27"/>
        </w:rPr>
        <w:t> </w:t>
      </w:r>
      <w:r>
        <w:rPr>
          <w:sz w:val="27"/>
        </w:rPr>
        <w:t>al.</w:t>
      </w:r>
      <w:r>
        <w:rPr>
          <w:spacing w:val="-10"/>
          <w:sz w:val="27"/>
        </w:rPr>
        <w:t> </w:t>
      </w:r>
      <w:r>
        <w:rPr>
          <w:sz w:val="27"/>
        </w:rPr>
        <w:t>2016</w:t>
      </w:r>
      <w:r>
        <w:rPr>
          <w:spacing w:val="-11"/>
          <w:sz w:val="27"/>
        </w:rPr>
        <w:t> </w:t>
      </w:r>
      <w:r>
        <w:rPr>
          <w:sz w:val="27"/>
        </w:rPr>
        <w:t>ESC</w:t>
      </w:r>
      <w:r>
        <w:rPr>
          <w:spacing w:val="-10"/>
          <w:sz w:val="27"/>
        </w:rPr>
        <w:t> </w:t>
      </w:r>
      <w:r>
        <w:rPr>
          <w:sz w:val="27"/>
        </w:rPr>
        <w:t>Guidelines</w:t>
      </w:r>
      <w:r>
        <w:rPr>
          <w:spacing w:val="-10"/>
          <w:sz w:val="27"/>
        </w:rPr>
        <w:t> </w:t>
      </w:r>
      <w:r>
        <w:rPr>
          <w:sz w:val="27"/>
        </w:rPr>
        <w:t>for</w:t>
      </w:r>
      <w:r>
        <w:rPr>
          <w:spacing w:val="-10"/>
          <w:sz w:val="27"/>
        </w:rPr>
        <w:t> </w:t>
      </w:r>
      <w:r>
        <w:rPr>
          <w:sz w:val="27"/>
        </w:rPr>
        <w:t>the diagnosis and treatment of acute and chronic heart failure: the </w:t>
      </w:r>
      <w:r>
        <w:rPr>
          <w:spacing w:val="-6"/>
          <w:sz w:val="27"/>
        </w:rPr>
        <w:t>Task </w:t>
      </w:r>
      <w:r>
        <w:rPr>
          <w:sz w:val="27"/>
        </w:rPr>
        <w:t>Force for the diagno- sis and treatment of acute and chronic heart failure</w:t>
      </w:r>
      <w:r>
        <w:rPr>
          <w:spacing w:val="-8"/>
          <w:sz w:val="27"/>
        </w:rPr>
        <w:t> </w:t>
      </w:r>
      <w:r>
        <w:rPr>
          <w:sz w:val="27"/>
        </w:rPr>
        <w:t>of</w:t>
      </w:r>
      <w:r>
        <w:rPr>
          <w:spacing w:val="-7"/>
          <w:sz w:val="27"/>
        </w:rPr>
        <w:t> </w:t>
      </w:r>
      <w:r>
        <w:rPr>
          <w:sz w:val="27"/>
        </w:rPr>
        <w:t>the</w:t>
      </w:r>
      <w:r>
        <w:rPr>
          <w:spacing w:val="-8"/>
          <w:sz w:val="27"/>
        </w:rPr>
        <w:t> </w:t>
      </w:r>
      <w:r>
        <w:rPr>
          <w:sz w:val="27"/>
        </w:rPr>
        <w:t>European</w:t>
      </w:r>
      <w:r>
        <w:rPr>
          <w:spacing w:val="-7"/>
          <w:sz w:val="27"/>
        </w:rPr>
        <w:t> </w:t>
      </w:r>
      <w:r>
        <w:rPr>
          <w:sz w:val="27"/>
        </w:rPr>
        <w:t>Society</w:t>
      </w:r>
      <w:r>
        <w:rPr>
          <w:spacing w:val="-7"/>
          <w:sz w:val="27"/>
        </w:rPr>
        <w:t> </w:t>
      </w:r>
      <w:r>
        <w:rPr>
          <w:sz w:val="27"/>
        </w:rPr>
        <w:t>of</w:t>
      </w:r>
      <w:r>
        <w:rPr>
          <w:spacing w:val="-8"/>
          <w:sz w:val="27"/>
        </w:rPr>
        <w:t> </w:t>
      </w:r>
      <w:r>
        <w:rPr>
          <w:sz w:val="27"/>
        </w:rPr>
        <w:t>Cardiology</w:t>
      </w:r>
      <w:r>
        <w:rPr>
          <w:spacing w:val="-7"/>
          <w:sz w:val="27"/>
        </w:rPr>
        <w:t> </w:t>
      </w:r>
      <w:r>
        <w:rPr>
          <w:sz w:val="27"/>
        </w:rPr>
        <w:t>(ESC).</w:t>
      </w:r>
      <w:r>
        <w:rPr>
          <w:spacing w:val="-7"/>
          <w:sz w:val="27"/>
        </w:rPr>
        <w:t> </w:t>
      </w:r>
      <w:r>
        <w:rPr>
          <w:sz w:val="27"/>
        </w:rPr>
        <w:t>Developed</w:t>
      </w:r>
      <w:r>
        <w:rPr>
          <w:spacing w:val="-8"/>
          <w:sz w:val="27"/>
        </w:rPr>
        <w:t> </w:t>
      </w:r>
      <w:r>
        <w:rPr>
          <w:sz w:val="27"/>
        </w:rPr>
        <w:t>with the special contribution of the Heart Failure Association </w:t>
      </w:r>
      <w:r>
        <w:rPr>
          <w:spacing w:val="-4"/>
          <w:sz w:val="27"/>
        </w:rPr>
        <w:t>(HFA) </w:t>
      </w:r>
      <w:r>
        <w:rPr>
          <w:sz w:val="27"/>
        </w:rPr>
        <w:t>of the ESC. Eur Heart J</w:t>
      </w:r>
      <w:r>
        <w:rPr>
          <w:spacing w:val="7"/>
          <w:sz w:val="27"/>
        </w:rPr>
        <w:t> </w:t>
      </w:r>
      <w:r>
        <w:rPr>
          <w:sz w:val="27"/>
        </w:rPr>
        <w:t>2016;37:2129–2200.</w:t>
      </w:r>
    </w:p>
    <w:p>
      <w:pPr>
        <w:pStyle w:val="ListParagraph"/>
        <w:numPr>
          <w:ilvl w:val="0"/>
          <w:numId w:val="12"/>
        </w:numPr>
        <w:tabs>
          <w:tab w:pos="681" w:val="left" w:leader="none"/>
        </w:tabs>
        <w:spacing w:line="256" w:lineRule="auto" w:before="3" w:after="0"/>
        <w:ind w:left="680" w:right="131" w:hanging="571"/>
        <w:jc w:val="both"/>
        <w:rPr>
          <w:sz w:val="27"/>
        </w:rPr>
      </w:pPr>
      <w:r>
        <w:rPr>
          <w:w w:val="105"/>
          <w:sz w:val="27"/>
        </w:rPr>
        <w:t>Emdin </w:t>
      </w:r>
      <w:r>
        <w:rPr>
          <w:spacing w:val="-4"/>
          <w:w w:val="105"/>
          <w:sz w:val="27"/>
        </w:rPr>
        <w:t>CA </w:t>
      </w:r>
      <w:r>
        <w:rPr>
          <w:w w:val="105"/>
          <w:sz w:val="27"/>
        </w:rPr>
        <w:t>et al. Meta-analysis of large-scale randomized trials</w:t>
      </w:r>
      <w:r>
        <w:rPr>
          <w:spacing w:val="-15"/>
          <w:w w:val="105"/>
          <w:sz w:val="27"/>
        </w:rPr>
        <w:t> </w:t>
      </w:r>
      <w:r>
        <w:rPr>
          <w:w w:val="105"/>
          <w:sz w:val="27"/>
        </w:rPr>
        <w:t>to determine the effectiveness of inhibition of the renin-angiotensin aldosterone system in heart failure. The American journal of cardiology 116.1 (2015):</w:t>
      </w:r>
      <w:r>
        <w:rPr>
          <w:spacing w:val="-17"/>
          <w:w w:val="105"/>
          <w:sz w:val="27"/>
        </w:rPr>
        <w:t> </w:t>
      </w:r>
      <w:r>
        <w:rPr>
          <w:w w:val="105"/>
          <w:sz w:val="27"/>
        </w:rPr>
        <w:t>155–161.</w:t>
      </w:r>
    </w:p>
    <w:p>
      <w:pPr>
        <w:pStyle w:val="ListParagraph"/>
        <w:numPr>
          <w:ilvl w:val="0"/>
          <w:numId w:val="12"/>
        </w:numPr>
        <w:tabs>
          <w:tab w:pos="681" w:val="left" w:leader="none"/>
        </w:tabs>
        <w:spacing w:line="256" w:lineRule="auto" w:before="1" w:after="0"/>
        <w:ind w:left="680" w:right="129" w:hanging="571"/>
        <w:jc w:val="both"/>
        <w:rPr>
          <w:sz w:val="27"/>
        </w:rPr>
      </w:pPr>
      <w:r>
        <w:rPr>
          <w:sz w:val="27"/>
        </w:rPr>
        <w:t>Borlaug BA, Paulus WJ. Heart failure with preserved ejection fraction: pathophysiology, diagnosis, and treatment //Eur heart J 2010;32(6):670–679.</w:t>
      </w:r>
    </w:p>
    <w:p>
      <w:pPr>
        <w:pStyle w:val="ListParagraph"/>
        <w:numPr>
          <w:ilvl w:val="0"/>
          <w:numId w:val="12"/>
        </w:numPr>
        <w:tabs>
          <w:tab w:pos="681" w:val="left" w:leader="none"/>
        </w:tabs>
        <w:spacing w:line="256" w:lineRule="auto" w:before="2" w:after="0"/>
        <w:ind w:left="680" w:right="141" w:hanging="571"/>
        <w:jc w:val="both"/>
        <w:rPr>
          <w:sz w:val="27"/>
        </w:rPr>
      </w:pPr>
      <w:r>
        <w:rPr>
          <w:w w:val="105"/>
          <w:sz w:val="27"/>
        </w:rPr>
        <w:t>Nanayakkara S, Kaye DM. Management of heart failure </w:t>
      </w:r>
      <w:r>
        <w:rPr>
          <w:spacing w:val="-3"/>
          <w:w w:val="105"/>
          <w:sz w:val="27"/>
        </w:rPr>
        <w:t>with </w:t>
      </w:r>
      <w:r>
        <w:rPr>
          <w:w w:val="105"/>
          <w:sz w:val="27"/>
        </w:rPr>
        <w:t>preserved ejection fraction: a </w:t>
      </w:r>
      <w:r>
        <w:rPr>
          <w:spacing w:val="-3"/>
          <w:w w:val="105"/>
          <w:sz w:val="27"/>
        </w:rPr>
        <w:t>review. </w:t>
      </w:r>
      <w:r>
        <w:rPr>
          <w:w w:val="105"/>
          <w:sz w:val="27"/>
        </w:rPr>
        <w:t>Clinical therapeutics </w:t>
      </w:r>
      <w:r>
        <w:rPr>
          <w:spacing w:val="-6"/>
          <w:w w:val="105"/>
          <w:sz w:val="27"/>
        </w:rPr>
        <w:t>37.10 </w:t>
      </w:r>
      <w:r>
        <w:rPr>
          <w:w w:val="105"/>
          <w:sz w:val="27"/>
        </w:rPr>
        <w:t>(2015):</w:t>
      </w:r>
      <w:r>
        <w:rPr>
          <w:spacing w:val="-5"/>
          <w:w w:val="105"/>
          <w:sz w:val="27"/>
        </w:rPr>
        <w:t> </w:t>
      </w:r>
      <w:r>
        <w:rPr>
          <w:w w:val="105"/>
          <w:sz w:val="27"/>
        </w:rPr>
        <w:t>2186–2198.</w:t>
      </w:r>
    </w:p>
    <w:p>
      <w:pPr>
        <w:pStyle w:val="ListParagraph"/>
        <w:numPr>
          <w:ilvl w:val="0"/>
          <w:numId w:val="12"/>
        </w:numPr>
        <w:tabs>
          <w:tab w:pos="681" w:val="left" w:leader="none"/>
        </w:tabs>
        <w:spacing w:line="256" w:lineRule="auto" w:before="1" w:after="0"/>
        <w:ind w:left="680" w:right="133" w:hanging="571"/>
        <w:jc w:val="both"/>
        <w:rPr>
          <w:sz w:val="27"/>
        </w:rPr>
      </w:pPr>
      <w:r>
        <w:rPr>
          <w:w w:val="105"/>
          <w:sz w:val="27"/>
        </w:rPr>
        <w:t>Shah SJ et al. Phenotype-speciﬁc treatment of heart failure </w:t>
      </w:r>
      <w:r>
        <w:rPr>
          <w:spacing w:val="-3"/>
          <w:w w:val="105"/>
          <w:sz w:val="27"/>
        </w:rPr>
        <w:t>with </w:t>
      </w:r>
      <w:r>
        <w:rPr>
          <w:w w:val="105"/>
          <w:sz w:val="27"/>
        </w:rPr>
        <w:t>preserved ejection fraction: a multiorgan roadmap. Circulation 2016;134(1):73–90.</w:t>
      </w:r>
    </w:p>
    <w:p>
      <w:pPr>
        <w:pStyle w:val="ListParagraph"/>
        <w:numPr>
          <w:ilvl w:val="0"/>
          <w:numId w:val="12"/>
        </w:numPr>
        <w:tabs>
          <w:tab w:pos="681" w:val="left" w:leader="none"/>
        </w:tabs>
        <w:spacing w:line="256" w:lineRule="auto" w:before="1" w:after="0"/>
        <w:ind w:left="680" w:right="129" w:hanging="571"/>
        <w:jc w:val="both"/>
        <w:rPr>
          <w:sz w:val="27"/>
        </w:rPr>
      </w:pPr>
      <w:r>
        <w:rPr>
          <w:w w:val="105"/>
          <w:sz w:val="27"/>
        </w:rPr>
        <w:t>Shah</w:t>
      </w:r>
      <w:r>
        <w:rPr>
          <w:spacing w:val="-11"/>
          <w:w w:val="105"/>
          <w:sz w:val="27"/>
        </w:rPr>
        <w:t> </w:t>
      </w:r>
      <w:r>
        <w:rPr>
          <w:spacing w:val="-14"/>
          <w:w w:val="105"/>
          <w:sz w:val="27"/>
        </w:rPr>
        <w:t>RV,</w:t>
      </w:r>
      <w:r>
        <w:rPr>
          <w:spacing w:val="-11"/>
          <w:w w:val="105"/>
          <w:sz w:val="27"/>
        </w:rPr>
        <w:t> </w:t>
      </w:r>
      <w:r>
        <w:rPr>
          <w:w w:val="105"/>
          <w:sz w:val="27"/>
        </w:rPr>
        <w:t>Akshay</w:t>
      </w:r>
      <w:r>
        <w:rPr>
          <w:spacing w:val="-11"/>
          <w:w w:val="105"/>
          <w:sz w:val="27"/>
        </w:rPr>
        <w:t> </w:t>
      </w:r>
      <w:r>
        <w:rPr>
          <w:spacing w:val="-3"/>
          <w:w w:val="105"/>
          <w:sz w:val="27"/>
        </w:rPr>
        <w:t>SD,</w:t>
      </w:r>
      <w:r>
        <w:rPr>
          <w:spacing w:val="-11"/>
          <w:w w:val="105"/>
          <w:sz w:val="27"/>
        </w:rPr>
        <w:t> </w:t>
      </w:r>
      <w:r>
        <w:rPr>
          <w:w w:val="105"/>
          <w:sz w:val="27"/>
        </w:rPr>
        <w:t>Givertz</w:t>
      </w:r>
      <w:r>
        <w:rPr>
          <w:spacing w:val="-11"/>
          <w:w w:val="105"/>
          <w:sz w:val="27"/>
        </w:rPr>
        <w:t> </w:t>
      </w:r>
      <w:r>
        <w:rPr>
          <w:w w:val="105"/>
          <w:sz w:val="27"/>
        </w:rPr>
        <w:t>MM.</w:t>
      </w:r>
      <w:r>
        <w:rPr>
          <w:spacing w:val="-10"/>
          <w:w w:val="105"/>
          <w:sz w:val="27"/>
        </w:rPr>
        <w:t> </w:t>
      </w:r>
      <w:r>
        <w:rPr>
          <w:w w:val="105"/>
          <w:sz w:val="27"/>
        </w:rPr>
        <w:t>The</w:t>
      </w:r>
      <w:r>
        <w:rPr>
          <w:spacing w:val="-11"/>
          <w:w w:val="105"/>
          <w:sz w:val="27"/>
        </w:rPr>
        <w:t> </w:t>
      </w:r>
      <w:r>
        <w:rPr>
          <w:w w:val="105"/>
          <w:sz w:val="27"/>
        </w:rPr>
        <w:t>effect</w:t>
      </w:r>
      <w:r>
        <w:rPr>
          <w:spacing w:val="-11"/>
          <w:w w:val="105"/>
          <w:sz w:val="27"/>
        </w:rPr>
        <w:t> </w:t>
      </w:r>
      <w:r>
        <w:rPr>
          <w:w w:val="105"/>
          <w:sz w:val="27"/>
        </w:rPr>
        <w:t>of</w:t>
      </w:r>
      <w:r>
        <w:rPr>
          <w:spacing w:val="-11"/>
          <w:w w:val="105"/>
          <w:sz w:val="27"/>
        </w:rPr>
        <w:t> </w:t>
      </w:r>
      <w:r>
        <w:rPr>
          <w:w w:val="105"/>
          <w:sz w:val="27"/>
        </w:rPr>
        <w:t>renin-angiotensin system</w:t>
      </w:r>
      <w:r>
        <w:rPr>
          <w:spacing w:val="-9"/>
          <w:w w:val="105"/>
          <w:sz w:val="27"/>
        </w:rPr>
        <w:t> </w:t>
      </w:r>
      <w:r>
        <w:rPr>
          <w:w w:val="105"/>
          <w:sz w:val="27"/>
        </w:rPr>
        <w:t>inhibitors</w:t>
      </w:r>
      <w:r>
        <w:rPr>
          <w:spacing w:val="-8"/>
          <w:w w:val="105"/>
          <w:sz w:val="27"/>
        </w:rPr>
        <w:t> </w:t>
      </w:r>
      <w:r>
        <w:rPr>
          <w:w w:val="105"/>
          <w:sz w:val="27"/>
        </w:rPr>
        <w:t>on</w:t>
      </w:r>
      <w:r>
        <w:rPr>
          <w:spacing w:val="-8"/>
          <w:w w:val="105"/>
          <w:sz w:val="27"/>
        </w:rPr>
        <w:t> </w:t>
      </w:r>
      <w:r>
        <w:rPr>
          <w:w w:val="105"/>
          <w:sz w:val="27"/>
        </w:rPr>
        <w:t>mortality</w:t>
      </w:r>
      <w:r>
        <w:rPr>
          <w:spacing w:val="-8"/>
          <w:w w:val="105"/>
          <w:sz w:val="27"/>
        </w:rPr>
        <w:t> </w:t>
      </w:r>
      <w:r>
        <w:rPr>
          <w:w w:val="105"/>
          <w:sz w:val="27"/>
        </w:rPr>
        <w:t>and</w:t>
      </w:r>
      <w:r>
        <w:rPr>
          <w:spacing w:val="-8"/>
          <w:w w:val="105"/>
          <w:sz w:val="27"/>
        </w:rPr>
        <w:t> </w:t>
      </w:r>
      <w:r>
        <w:rPr>
          <w:w w:val="105"/>
          <w:sz w:val="27"/>
        </w:rPr>
        <w:t>heart</w:t>
      </w:r>
      <w:r>
        <w:rPr>
          <w:spacing w:val="-8"/>
          <w:w w:val="105"/>
          <w:sz w:val="27"/>
        </w:rPr>
        <w:t> </w:t>
      </w:r>
      <w:r>
        <w:rPr>
          <w:w w:val="105"/>
          <w:sz w:val="27"/>
        </w:rPr>
        <w:t>failure</w:t>
      </w:r>
      <w:r>
        <w:rPr>
          <w:spacing w:val="-8"/>
          <w:w w:val="105"/>
          <w:sz w:val="27"/>
        </w:rPr>
        <w:t> </w:t>
      </w:r>
      <w:r>
        <w:rPr>
          <w:w w:val="105"/>
          <w:sz w:val="27"/>
        </w:rPr>
        <w:t>hospitalization</w:t>
      </w:r>
      <w:r>
        <w:rPr>
          <w:spacing w:val="-9"/>
          <w:w w:val="105"/>
          <w:sz w:val="27"/>
        </w:rPr>
        <w:t> </w:t>
      </w:r>
      <w:r>
        <w:rPr>
          <w:w w:val="105"/>
          <w:sz w:val="27"/>
        </w:rPr>
        <w:t>in patients with heart failure and preserved ejection fraction: a systematic</w:t>
      </w:r>
      <w:r>
        <w:rPr>
          <w:spacing w:val="-35"/>
          <w:w w:val="105"/>
          <w:sz w:val="27"/>
        </w:rPr>
        <w:t> </w:t>
      </w:r>
      <w:r>
        <w:rPr>
          <w:w w:val="105"/>
          <w:sz w:val="27"/>
        </w:rPr>
        <w:t>review</w:t>
      </w:r>
      <w:r>
        <w:rPr>
          <w:spacing w:val="-35"/>
          <w:w w:val="105"/>
          <w:sz w:val="27"/>
        </w:rPr>
        <w:t> </w:t>
      </w:r>
      <w:r>
        <w:rPr>
          <w:w w:val="105"/>
          <w:sz w:val="27"/>
        </w:rPr>
        <w:t>and</w:t>
      </w:r>
      <w:r>
        <w:rPr>
          <w:spacing w:val="-34"/>
          <w:w w:val="105"/>
          <w:sz w:val="27"/>
        </w:rPr>
        <w:t> </w:t>
      </w:r>
      <w:r>
        <w:rPr>
          <w:w w:val="105"/>
          <w:sz w:val="27"/>
        </w:rPr>
        <w:t>meta-analysis.</w:t>
      </w:r>
      <w:r>
        <w:rPr>
          <w:spacing w:val="-35"/>
          <w:w w:val="105"/>
          <w:sz w:val="27"/>
        </w:rPr>
        <w:t> </w:t>
      </w:r>
      <w:r>
        <w:rPr>
          <w:w w:val="105"/>
          <w:sz w:val="27"/>
        </w:rPr>
        <w:t>Journal</w:t>
      </w:r>
      <w:r>
        <w:rPr>
          <w:spacing w:val="-34"/>
          <w:w w:val="105"/>
          <w:sz w:val="27"/>
        </w:rPr>
        <w:t> </w:t>
      </w:r>
      <w:r>
        <w:rPr>
          <w:w w:val="105"/>
          <w:sz w:val="27"/>
        </w:rPr>
        <w:t>of</w:t>
      </w:r>
      <w:r>
        <w:rPr>
          <w:spacing w:val="-35"/>
          <w:w w:val="105"/>
          <w:sz w:val="27"/>
        </w:rPr>
        <w:t> </w:t>
      </w:r>
      <w:r>
        <w:rPr>
          <w:w w:val="105"/>
          <w:sz w:val="27"/>
        </w:rPr>
        <w:t>cardiac</w:t>
      </w:r>
      <w:r>
        <w:rPr>
          <w:spacing w:val="-35"/>
          <w:w w:val="105"/>
          <w:sz w:val="27"/>
        </w:rPr>
        <w:t> </w:t>
      </w:r>
      <w:r>
        <w:rPr>
          <w:w w:val="105"/>
          <w:sz w:val="27"/>
        </w:rPr>
        <w:t>failure</w:t>
      </w:r>
      <w:r>
        <w:rPr>
          <w:spacing w:val="-34"/>
          <w:w w:val="105"/>
          <w:sz w:val="27"/>
        </w:rPr>
        <w:t> </w:t>
      </w:r>
      <w:r>
        <w:rPr>
          <w:w w:val="105"/>
          <w:sz w:val="27"/>
        </w:rPr>
        <w:t>16.3 (2010):</w:t>
      </w:r>
      <w:r>
        <w:rPr>
          <w:spacing w:val="-5"/>
          <w:w w:val="105"/>
          <w:sz w:val="27"/>
        </w:rPr>
        <w:t> </w:t>
      </w:r>
      <w:r>
        <w:rPr>
          <w:spacing w:val="-4"/>
          <w:w w:val="105"/>
          <w:sz w:val="27"/>
        </w:rPr>
        <w:t>260–267.</w:t>
      </w:r>
    </w:p>
    <w:p>
      <w:pPr>
        <w:pStyle w:val="ListParagraph"/>
        <w:numPr>
          <w:ilvl w:val="0"/>
          <w:numId w:val="12"/>
        </w:numPr>
        <w:tabs>
          <w:tab w:pos="681" w:val="left" w:leader="none"/>
        </w:tabs>
        <w:spacing w:line="256" w:lineRule="auto" w:before="2" w:after="0"/>
        <w:ind w:left="680" w:right="138" w:hanging="571"/>
        <w:jc w:val="both"/>
        <w:rPr>
          <w:sz w:val="27"/>
        </w:rPr>
      </w:pPr>
      <w:r>
        <w:rPr>
          <w:sz w:val="27"/>
        </w:rPr>
        <w:t>Soliman EZ et al. Effect of intensive blood pressure lowering on left ventricular hypertrophy in patients with hypertension: SPRINT (Systolic Blood Pressure Intervention Trial). Circulation 2017:136(5):440–450.</w:t>
      </w:r>
    </w:p>
    <w:p>
      <w:pPr>
        <w:pStyle w:val="ListParagraph"/>
        <w:numPr>
          <w:ilvl w:val="0"/>
          <w:numId w:val="12"/>
        </w:numPr>
        <w:tabs>
          <w:tab w:pos="681" w:val="left" w:leader="none"/>
        </w:tabs>
        <w:spacing w:line="256" w:lineRule="auto" w:before="2" w:after="0"/>
        <w:ind w:left="680" w:right="128" w:hanging="571"/>
        <w:jc w:val="both"/>
        <w:rPr>
          <w:sz w:val="27"/>
        </w:rPr>
      </w:pPr>
      <w:r>
        <w:rPr>
          <w:sz w:val="27"/>
        </w:rPr>
        <w:t>Klingbeil AU et al. A meta-analysis of the effects of treatment on  left ventricular mass in essential hypertension. The American journal of medicine 115.1</w:t>
      </w:r>
      <w:r>
        <w:rPr>
          <w:spacing w:val="6"/>
          <w:sz w:val="27"/>
        </w:rPr>
        <w:t> </w:t>
      </w:r>
      <w:r>
        <w:rPr>
          <w:sz w:val="27"/>
        </w:rPr>
        <w:t>(2003):41–46.</w:t>
      </w:r>
    </w:p>
    <w:p>
      <w:pPr>
        <w:pStyle w:val="ListParagraph"/>
        <w:numPr>
          <w:ilvl w:val="0"/>
          <w:numId w:val="12"/>
        </w:numPr>
        <w:tabs>
          <w:tab w:pos="681" w:val="left" w:leader="none"/>
        </w:tabs>
        <w:spacing w:line="256" w:lineRule="auto" w:before="1" w:after="0"/>
        <w:ind w:left="680" w:right="134" w:hanging="571"/>
        <w:jc w:val="both"/>
        <w:rPr>
          <w:sz w:val="27"/>
        </w:rPr>
      </w:pPr>
      <w:r>
        <w:rPr>
          <w:sz w:val="27"/>
        </w:rPr>
        <w:t>Dahlöf B, Kjell </w:t>
      </w:r>
      <w:r>
        <w:rPr>
          <w:spacing w:val="-17"/>
          <w:sz w:val="27"/>
        </w:rPr>
        <w:t>P, </w:t>
      </w:r>
      <w:r>
        <w:rPr>
          <w:sz w:val="27"/>
        </w:rPr>
        <w:t>Hansson L. Reversal of left ventricular hypertrophy in hypertensive patients: a metaanalysis of 109 treatment studies. 1992. </w:t>
      </w:r>
      <w:r>
        <w:rPr>
          <w:spacing w:val="-17"/>
          <w:sz w:val="27"/>
        </w:rPr>
        <w:t>P.</w:t>
      </w:r>
      <w:r>
        <w:rPr>
          <w:spacing w:val="4"/>
          <w:sz w:val="27"/>
        </w:rPr>
        <w:t> </w:t>
      </w:r>
      <w:r>
        <w:rPr>
          <w:sz w:val="27"/>
        </w:rPr>
        <w:t>95–110.</w:t>
      </w:r>
    </w:p>
    <w:p>
      <w:pPr>
        <w:pStyle w:val="ListParagraph"/>
        <w:numPr>
          <w:ilvl w:val="0"/>
          <w:numId w:val="12"/>
        </w:numPr>
        <w:tabs>
          <w:tab w:pos="681" w:val="left" w:leader="none"/>
        </w:tabs>
        <w:spacing w:line="256" w:lineRule="auto" w:before="1" w:after="0"/>
        <w:ind w:left="680" w:right="129" w:hanging="571"/>
        <w:jc w:val="both"/>
        <w:rPr>
          <w:sz w:val="27"/>
        </w:rPr>
      </w:pPr>
      <w:r>
        <w:rPr>
          <w:sz w:val="27"/>
        </w:rPr>
        <w:t>Lip GYH, Coca A, Kahan T et al. Hypertension and cardiac arrhythmias: a consensus document from the European Heart Rhythm Association (EHRA) and ESC Council on. Hypertension, endorsed </w:t>
      </w:r>
      <w:r>
        <w:rPr>
          <w:spacing w:val="-3"/>
          <w:sz w:val="27"/>
        </w:rPr>
        <w:t>by </w:t>
      </w:r>
      <w:r>
        <w:rPr>
          <w:sz w:val="27"/>
        </w:rPr>
        <w:t>the Heart Rhythm Society (HRS), Asia-Paciﬁc Heart. Rhythm Society (APHRS) and Sociedad Latinoamericana de Estimulacion. Cardiaca y Electroﬁsiologia (SOLEACE). Europace 2017;19:891–911.</w:t>
      </w:r>
    </w:p>
    <w:p>
      <w:pPr>
        <w:pStyle w:val="ListParagraph"/>
        <w:numPr>
          <w:ilvl w:val="0"/>
          <w:numId w:val="12"/>
        </w:numPr>
        <w:tabs>
          <w:tab w:pos="681" w:val="left" w:leader="none"/>
        </w:tabs>
        <w:spacing w:line="256" w:lineRule="auto" w:before="3" w:after="0"/>
        <w:ind w:left="680" w:right="136" w:hanging="571"/>
        <w:jc w:val="both"/>
        <w:rPr>
          <w:sz w:val="27"/>
        </w:rPr>
      </w:pPr>
      <w:r>
        <w:rPr>
          <w:sz w:val="27"/>
        </w:rPr>
        <w:t>Kirchhof </w:t>
      </w:r>
      <w:r>
        <w:rPr>
          <w:spacing w:val="-17"/>
          <w:sz w:val="27"/>
        </w:rPr>
        <w:t>P, </w:t>
      </w:r>
      <w:r>
        <w:rPr>
          <w:sz w:val="27"/>
        </w:rPr>
        <w:t>Benussi S, </w:t>
      </w:r>
      <w:r>
        <w:rPr>
          <w:spacing w:val="-3"/>
          <w:sz w:val="27"/>
        </w:rPr>
        <w:t>Kotecha </w:t>
      </w:r>
      <w:r>
        <w:rPr>
          <w:sz w:val="27"/>
        </w:rPr>
        <w:t>D et al 2016 ESC Guidelines for the management</w:t>
      </w:r>
      <w:r>
        <w:rPr>
          <w:spacing w:val="52"/>
          <w:sz w:val="27"/>
        </w:rPr>
        <w:t> </w:t>
      </w:r>
      <w:r>
        <w:rPr>
          <w:sz w:val="27"/>
        </w:rPr>
        <w:t>of</w:t>
      </w:r>
      <w:r>
        <w:rPr>
          <w:spacing w:val="52"/>
          <w:sz w:val="27"/>
        </w:rPr>
        <w:t> </w:t>
      </w:r>
      <w:r>
        <w:rPr>
          <w:sz w:val="27"/>
        </w:rPr>
        <w:t>atrial</w:t>
      </w:r>
      <w:r>
        <w:rPr>
          <w:spacing w:val="52"/>
          <w:sz w:val="27"/>
        </w:rPr>
        <w:t> </w:t>
      </w:r>
      <w:r>
        <w:rPr>
          <w:sz w:val="27"/>
        </w:rPr>
        <w:t>ﬁbrillation</w:t>
      </w:r>
      <w:r>
        <w:rPr>
          <w:spacing w:val="52"/>
          <w:sz w:val="27"/>
        </w:rPr>
        <w:t> </w:t>
      </w:r>
      <w:r>
        <w:rPr>
          <w:sz w:val="27"/>
        </w:rPr>
        <w:t>developed</w:t>
      </w:r>
      <w:r>
        <w:rPr>
          <w:spacing w:val="52"/>
          <w:sz w:val="27"/>
        </w:rPr>
        <w:t> </w:t>
      </w:r>
      <w:r>
        <w:rPr>
          <w:sz w:val="27"/>
        </w:rPr>
        <w:t>in</w:t>
      </w:r>
      <w:r>
        <w:rPr>
          <w:spacing w:val="52"/>
          <w:sz w:val="27"/>
        </w:rPr>
        <w:t> </w:t>
      </w:r>
      <w:r>
        <w:rPr>
          <w:sz w:val="27"/>
        </w:rPr>
        <w:t>collaboration</w:t>
      </w:r>
      <w:r>
        <w:rPr>
          <w:spacing w:val="52"/>
          <w:sz w:val="27"/>
        </w:rPr>
        <w:t> </w:t>
      </w:r>
      <w:r>
        <w:rPr>
          <w:sz w:val="27"/>
        </w:rPr>
        <w:t>with</w:t>
      </w:r>
    </w:p>
    <w:p>
      <w:pPr>
        <w:spacing w:after="0" w:line="256" w:lineRule="auto"/>
        <w:jc w:val="both"/>
        <w:rPr>
          <w:sz w:val="27"/>
        </w:rPr>
        <w:sectPr>
          <w:pgSz w:w="11900" w:h="16840"/>
          <w:pgMar w:top="0" w:bottom="0" w:left="1420" w:right="1520"/>
        </w:sectPr>
      </w:pPr>
    </w:p>
    <w:p>
      <w:pPr>
        <w:pStyle w:val="BodyText"/>
        <w:spacing w:before="16"/>
      </w:pPr>
      <w:r>
        <w:rPr>
          <w:w w:val="105"/>
        </w:rPr>
        <w:t>EACTS Eur Heart J. 2016 Oct 7;37(38):2893–2962.</w:t>
      </w:r>
    </w:p>
    <w:p>
      <w:pPr>
        <w:pStyle w:val="ListParagraph"/>
        <w:numPr>
          <w:ilvl w:val="0"/>
          <w:numId w:val="12"/>
        </w:numPr>
        <w:tabs>
          <w:tab w:pos="681" w:val="left" w:leader="none"/>
        </w:tabs>
        <w:spacing w:line="256" w:lineRule="auto" w:before="26" w:after="0"/>
        <w:ind w:left="680" w:right="129" w:hanging="571"/>
        <w:jc w:val="both"/>
        <w:rPr>
          <w:sz w:val="27"/>
        </w:rPr>
      </w:pPr>
      <w:r>
        <w:rPr>
          <w:w w:val="105"/>
          <w:sz w:val="27"/>
        </w:rPr>
        <w:t>Hart</w:t>
      </w:r>
      <w:r>
        <w:rPr>
          <w:spacing w:val="-23"/>
          <w:w w:val="105"/>
          <w:sz w:val="27"/>
        </w:rPr>
        <w:t> </w:t>
      </w:r>
      <w:r>
        <w:rPr>
          <w:spacing w:val="-5"/>
          <w:w w:val="105"/>
          <w:sz w:val="27"/>
        </w:rPr>
        <w:t>RG</w:t>
      </w:r>
      <w:r>
        <w:rPr>
          <w:spacing w:val="-23"/>
          <w:w w:val="105"/>
          <w:sz w:val="27"/>
        </w:rPr>
        <w:t> </w:t>
      </w:r>
      <w:r>
        <w:rPr>
          <w:w w:val="105"/>
          <w:sz w:val="27"/>
        </w:rPr>
        <w:t>et</w:t>
      </w:r>
      <w:r>
        <w:rPr>
          <w:spacing w:val="-23"/>
          <w:w w:val="105"/>
          <w:sz w:val="27"/>
        </w:rPr>
        <w:t> </w:t>
      </w:r>
      <w:r>
        <w:rPr>
          <w:w w:val="105"/>
          <w:sz w:val="27"/>
        </w:rPr>
        <w:t>al.</w:t>
      </w:r>
      <w:r>
        <w:rPr>
          <w:spacing w:val="-22"/>
          <w:w w:val="105"/>
          <w:sz w:val="27"/>
        </w:rPr>
        <w:t> </w:t>
      </w:r>
      <w:r>
        <w:rPr>
          <w:w w:val="105"/>
          <w:sz w:val="27"/>
        </w:rPr>
        <w:t>Antithrombotic</w:t>
      </w:r>
      <w:r>
        <w:rPr>
          <w:spacing w:val="-23"/>
          <w:w w:val="105"/>
          <w:sz w:val="27"/>
        </w:rPr>
        <w:t> </w:t>
      </w:r>
      <w:r>
        <w:rPr>
          <w:w w:val="105"/>
          <w:sz w:val="27"/>
        </w:rPr>
        <w:t>therapy</w:t>
      </w:r>
      <w:r>
        <w:rPr>
          <w:spacing w:val="-23"/>
          <w:w w:val="105"/>
          <w:sz w:val="27"/>
        </w:rPr>
        <w:t> </w:t>
      </w:r>
      <w:r>
        <w:rPr>
          <w:w w:val="105"/>
          <w:sz w:val="27"/>
        </w:rPr>
        <w:t>to</w:t>
      </w:r>
      <w:r>
        <w:rPr>
          <w:spacing w:val="-22"/>
          <w:w w:val="105"/>
          <w:sz w:val="27"/>
        </w:rPr>
        <w:t> </w:t>
      </w:r>
      <w:r>
        <w:rPr>
          <w:w w:val="105"/>
          <w:sz w:val="27"/>
        </w:rPr>
        <w:t>prevent</w:t>
      </w:r>
      <w:r>
        <w:rPr>
          <w:spacing w:val="-23"/>
          <w:w w:val="105"/>
          <w:sz w:val="27"/>
        </w:rPr>
        <w:t> </w:t>
      </w:r>
      <w:r>
        <w:rPr>
          <w:w w:val="105"/>
          <w:sz w:val="27"/>
        </w:rPr>
        <w:t>stroke</w:t>
      </w:r>
      <w:r>
        <w:rPr>
          <w:spacing w:val="-23"/>
          <w:w w:val="105"/>
          <w:sz w:val="27"/>
        </w:rPr>
        <w:t> </w:t>
      </w:r>
      <w:r>
        <w:rPr>
          <w:w w:val="105"/>
          <w:sz w:val="27"/>
        </w:rPr>
        <w:t>in</w:t>
      </w:r>
      <w:r>
        <w:rPr>
          <w:spacing w:val="-22"/>
          <w:w w:val="105"/>
          <w:sz w:val="27"/>
        </w:rPr>
        <w:t> </w:t>
      </w:r>
      <w:r>
        <w:rPr>
          <w:w w:val="105"/>
          <w:sz w:val="27"/>
        </w:rPr>
        <w:t>patients with atrial ﬁbrillation: a meta-analysis. Annals of internal medicine 131 (1999):492–501; 536,</w:t>
      </w:r>
      <w:r>
        <w:rPr>
          <w:spacing w:val="-17"/>
          <w:w w:val="105"/>
          <w:sz w:val="27"/>
        </w:rPr>
        <w:t> </w:t>
      </w:r>
      <w:r>
        <w:rPr>
          <w:w w:val="105"/>
          <w:sz w:val="27"/>
        </w:rPr>
        <w:t>556.</w:t>
      </w:r>
    </w:p>
    <w:p>
      <w:pPr>
        <w:pStyle w:val="ListParagraph"/>
        <w:numPr>
          <w:ilvl w:val="0"/>
          <w:numId w:val="12"/>
        </w:numPr>
        <w:tabs>
          <w:tab w:pos="681" w:val="left" w:leader="none"/>
          <w:tab w:pos="3340" w:val="left" w:leader="none"/>
          <w:tab w:pos="6219" w:val="left" w:leader="none"/>
        </w:tabs>
        <w:spacing w:line="256" w:lineRule="auto" w:before="1" w:after="0"/>
        <w:ind w:left="680" w:right="133" w:hanging="571"/>
        <w:jc w:val="both"/>
        <w:rPr>
          <w:sz w:val="27"/>
        </w:rPr>
      </w:pPr>
      <w:r>
        <w:rPr>
          <w:sz w:val="27"/>
        </w:rPr>
        <w:t>Фибрилляция и трепетание предсердий у взрослых. Клинические рекомендации. Всероссийское научное общество специалистов</w:t>
        <w:tab/>
        <w:t>поклинической</w:t>
        <w:tab/>
      </w:r>
      <w:r>
        <w:rPr>
          <w:spacing w:val="-3"/>
          <w:sz w:val="27"/>
        </w:rPr>
        <w:t>электрофизиологии, </w:t>
      </w:r>
      <w:r>
        <w:rPr>
          <w:sz w:val="27"/>
        </w:rPr>
        <w:t>аритмологии</w:t>
      </w:r>
      <w:r>
        <w:rPr>
          <w:spacing w:val="-12"/>
          <w:sz w:val="27"/>
        </w:rPr>
        <w:t> </w:t>
      </w:r>
      <w:r>
        <w:rPr>
          <w:sz w:val="27"/>
        </w:rPr>
        <w:t>и</w:t>
      </w:r>
      <w:r>
        <w:rPr>
          <w:spacing w:val="-11"/>
          <w:sz w:val="27"/>
        </w:rPr>
        <w:t> </w:t>
      </w:r>
      <w:r>
        <w:rPr>
          <w:sz w:val="27"/>
        </w:rPr>
        <w:t>электростимуляции.</w:t>
      </w:r>
      <w:r>
        <w:rPr>
          <w:spacing w:val="-11"/>
          <w:sz w:val="27"/>
        </w:rPr>
        <w:t> </w:t>
      </w:r>
      <w:r>
        <w:rPr>
          <w:sz w:val="27"/>
        </w:rPr>
        <w:t>Общество</w:t>
      </w:r>
      <w:r>
        <w:rPr>
          <w:spacing w:val="-11"/>
          <w:sz w:val="27"/>
        </w:rPr>
        <w:t> </w:t>
      </w:r>
      <w:r>
        <w:rPr>
          <w:sz w:val="27"/>
        </w:rPr>
        <w:t>специалистов</w:t>
      </w:r>
      <w:r>
        <w:rPr>
          <w:spacing w:val="-11"/>
          <w:sz w:val="27"/>
        </w:rPr>
        <w:t> </w:t>
      </w:r>
      <w:r>
        <w:rPr>
          <w:sz w:val="27"/>
        </w:rPr>
        <w:t>по неотложной кардиологии.</w:t>
      </w:r>
      <w:r>
        <w:rPr>
          <w:spacing w:val="-5"/>
          <w:sz w:val="27"/>
        </w:rPr>
        <w:t> </w:t>
      </w:r>
      <w:r>
        <w:rPr>
          <w:sz w:val="27"/>
        </w:rPr>
        <w:t>2016.</w:t>
      </w:r>
    </w:p>
    <w:p>
      <w:pPr>
        <w:pStyle w:val="ListParagraph"/>
        <w:numPr>
          <w:ilvl w:val="0"/>
          <w:numId w:val="12"/>
        </w:numPr>
        <w:tabs>
          <w:tab w:pos="681" w:val="left" w:leader="none"/>
        </w:tabs>
        <w:spacing w:line="256" w:lineRule="auto" w:before="2" w:after="0"/>
        <w:ind w:left="680" w:right="129" w:hanging="571"/>
        <w:jc w:val="both"/>
        <w:rPr>
          <w:sz w:val="27"/>
        </w:rPr>
      </w:pPr>
      <w:r>
        <w:rPr>
          <w:sz w:val="27"/>
        </w:rPr>
        <w:t>Arima H, Chalmers J, </w:t>
      </w:r>
      <w:r>
        <w:rPr>
          <w:spacing w:val="-3"/>
          <w:sz w:val="27"/>
        </w:rPr>
        <w:t>Woodward </w:t>
      </w:r>
      <w:r>
        <w:rPr>
          <w:sz w:val="27"/>
        </w:rPr>
        <w:t>M, et al. PROGRESS Collaborative Group. Lower target blood pressures are safe and effective for the prevention of recurrent stroke: the PROGRESS trial. J Hypertens 2006;24:1201–1208.</w:t>
      </w:r>
    </w:p>
    <w:p>
      <w:pPr>
        <w:pStyle w:val="ListParagraph"/>
        <w:numPr>
          <w:ilvl w:val="0"/>
          <w:numId w:val="12"/>
        </w:numPr>
        <w:tabs>
          <w:tab w:pos="681" w:val="left" w:leader="none"/>
        </w:tabs>
        <w:spacing w:line="256" w:lineRule="auto" w:before="2" w:after="0"/>
        <w:ind w:left="680" w:right="130" w:hanging="571"/>
        <w:jc w:val="both"/>
        <w:rPr>
          <w:sz w:val="27"/>
        </w:rPr>
      </w:pPr>
      <w:r>
        <w:rPr>
          <w:w w:val="105"/>
          <w:sz w:val="27"/>
        </w:rPr>
        <w:t>Rodriguez-Luna </w:t>
      </w:r>
      <w:r>
        <w:rPr>
          <w:spacing w:val="-4"/>
          <w:w w:val="105"/>
          <w:sz w:val="27"/>
        </w:rPr>
        <w:t>D, </w:t>
      </w:r>
      <w:r>
        <w:rPr>
          <w:w w:val="105"/>
          <w:sz w:val="27"/>
        </w:rPr>
        <w:t>Pineiro S, Rubiera M, et al. Impact of blood pressure changes and courseon hematoma growth in acute intracerebral hemorrhage. Eur J</w:t>
      </w:r>
      <w:r>
        <w:rPr>
          <w:spacing w:val="-52"/>
          <w:w w:val="105"/>
          <w:sz w:val="27"/>
        </w:rPr>
        <w:t> </w:t>
      </w:r>
      <w:r>
        <w:rPr>
          <w:w w:val="105"/>
          <w:sz w:val="27"/>
        </w:rPr>
        <w:t>Neurol.2013;20:1277–1283.</w:t>
      </w:r>
    </w:p>
    <w:p>
      <w:pPr>
        <w:pStyle w:val="ListParagraph"/>
        <w:numPr>
          <w:ilvl w:val="0"/>
          <w:numId w:val="12"/>
        </w:numPr>
        <w:tabs>
          <w:tab w:pos="681" w:val="left" w:leader="none"/>
        </w:tabs>
        <w:spacing w:line="256" w:lineRule="auto" w:before="1" w:after="0"/>
        <w:ind w:left="680" w:right="130" w:hanging="571"/>
        <w:jc w:val="both"/>
        <w:rPr>
          <w:sz w:val="27"/>
        </w:rPr>
      </w:pPr>
      <w:r>
        <w:rPr>
          <w:sz w:val="27"/>
        </w:rPr>
        <w:t>Sakamoto </w:t>
      </w:r>
      <w:r>
        <w:rPr>
          <w:spacing w:val="-12"/>
          <w:sz w:val="27"/>
        </w:rPr>
        <w:t>Y, </w:t>
      </w:r>
      <w:r>
        <w:rPr>
          <w:spacing w:val="-4"/>
          <w:sz w:val="27"/>
        </w:rPr>
        <w:t>Koga </w:t>
      </w:r>
      <w:r>
        <w:rPr>
          <w:sz w:val="27"/>
        </w:rPr>
        <w:t>M, </w:t>
      </w:r>
      <w:r>
        <w:rPr>
          <w:spacing w:val="-3"/>
          <w:sz w:val="27"/>
        </w:rPr>
        <w:t>Yamagami </w:t>
      </w:r>
      <w:r>
        <w:rPr>
          <w:sz w:val="27"/>
        </w:rPr>
        <w:t>H et al. Systolic blood pressure afterintravenous antihypertensive treatment and clinical </w:t>
      </w:r>
      <w:r>
        <w:rPr>
          <w:spacing w:val="-3"/>
          <w:sz w:val="27"/>
        </w:rPr>
        <w:t>outcomes </w:t>
      </w:r>
      <w:r>
        <w:rPr>
          <w:sz w:val="27"/>
        </w:rPr>
        <w:t>in hyperacute intracerebral hemorrhage: the stroke acute management with urgent risk-factorassessment and improvement intracerebral hemorrhage study.</w:t>
      </w:r>
      <w:r>
        <w:rPr>
          <w:spacing w:val="32"/>
          <w:sz w:val="27"/>
        </w:rPr>
        <w:t> </w:t>
      </w:r>
      <w:r>
        <w:rPr>
          <w:sz w:val="27"/>
        </w:rPr>
        <w:t>Stroke.2013;44:1846–1851.</w:t>
      </w:r>
    </w:p>
    <w:p>
      <w:pPr>
        <w:pStyle w:val="ListParagraph"/>
        <w:numPr>
          <w:ilvl w:val="0"/>
          <w:numId w:val="12"/>
        </w:numPr>
        <w:tabs>
          <w:tab w:pos="681" w:val="left" w:leader="none"/>
        </w:tabs>
        <w:spacing w:line="256" w:lineRule="auto" w:before="2" w:after="0"/>
        <w:ind w:left="680" w:right="138" w:hanging="571"/>
        <w:jc w:val="both"/>
        <w:rPr>
          <w:sz w:val="27"/>
        </w:rPr>
      </w:pPr>
      <w:r>
        <w:rPr>
          <w:sz w:val="27"/>
        </w:rPr>
        <w:t>Anderson CS, Heeley E, Huang </w:t>
      </w:r>
      <w:r>
        <w:rPr>
          <w:spacing w:val="-12"/>
          <w:sz w:val="27"/>
        </w:rPr>
        <w:t>Y, </w:t>
      </w:r>
      <w:r>
        <w:rPr>
          <w:sz w:val="27"/>
        </w:rPr>
        <w:t>et al. INTERACT2Investigators. Rapid blood-pressure lowering in patients with acute intracerebral hemorrhage. N Engl J Med</w:t>
      </w:r>
      <w:r>
        <w:rPr>
          <w:spacing w:val="9"/>
          <w:sz w:val="27"/>
        </w:rPr>
        <w:t> </w:t>
      </w:r>
      <w:r>
        <w:rPr>
          <w:sz w:val="27"/>
        </w:rPr>
        <w:t>2013;368:2355–2365.</w:t>
      </w:r>
    </w:p>
    <w:p>
      <w:pPr>
        <w:pStyle w:val="ListParagraph"/>
        <w:numPr>
          <w:ilvl w:val="0"/>
          <w:numId w:val="12"/>
        </w:numPr>
        <w:tabs>
          <w:tab w:pos="681" w:val="left" w:leader="none"/>
        </w:tabs>
        <w:spacing w:line="256" w:lineRule="auto" w:before="2" w:after="0"/>
        <w:ind w:left="680" w:right="139" w:hanging="571"/>
        <w:jc w:val="both"/>
        <w:rPr>
          <w:sz w:val="27"/>
        </w:rPr>
      </w:pPr>
      <w:r>
        <w:rPr>
          <w:sz w:val="27"/>
        </w:rPr>
        <w:t>Qureshi AI, Palesch </w:t>
      </w:r>
      <w:r>
        <w:rPr>
          <w:spacing w:val="-8"/>
          <w:sz w:val="27"/>
        </w:rPr>
        <w:t>YY, </w:t>
      </w:r>
      <w:r>
        <w:rPr>
          <w:sz w:val="27"/>
        </w:rPr>
        <w:t>Barsan </w:t>
      </w:r>
      <w:r>
        <w:rPr>
          <w:spacing w:val="-3"/>
          <w:sz w:val="27"/>
        </w:rPr>
        <w:t>WG, </w:t>
      </w:r>
      <w:r>
        <w:rPr>
          <w:sz w:val="27"/>
        </w:rPr>
        <w:t>et al. Intensive blood-pressure lowering in patients with acute cerebral hemorrhage. . N Engl J</w:t>
      </w:r>
      <w:r>
        <w:rPr>
          <w:spacing w:val="-28"/>
          <w:sz w:val="27"/>
        </w:rPr>
        <w:t> </w:t>
      </w:r>
      <w:r>
        <w:rPr>
          <w:sz w:val="27"/>
        </w:rPr>
        <w:t>Med 2016;375:1033–1043.</w:t>
      </w:r>
    </w:p>
    <w:p>
      <w:pPr>
        <w:pStyle w:val="ListParagraph"/>
        <w:numPr>
          <w:ilvl w:val="0"/>
          <w:numId w:val="12"/>
        </w:numPr>
        <w:tabs>
          <w:tab w:pos="681" w:val="left" w:leader="none"/>
        </w:tabs>
        <w:spacing w:line="256" w:lineRule="auto" w:before="1" w:after="0"/>
        <w:ind w:left="680" w:right="130" w:hanging="571"/>
        <w:jc w:val="both"/>
        <w:rPr>
          <w:sz w:val="27"/>
        </w:rPr>
      </w:pPr>
      <w:r>
        <w:rPr>
          <w:sz w:val="27"/>
        </w:rPr>
        <w:t>Tsivgoulis G, Katsanos AH, Butcher KS et al. Intensive blood pressure reduction in acute intracerebral hemorrhage: a meta- analysis. Neurology</w:t>
      </w:r>
      <w:r>
        <w:rPr>
          <w:spacing w:val="2"/>
          <w:sz w:val="27"/>
        </w:rPr>
        <w:t> </w:t>
      </w:r>
      <w:r>
        <w:rPr>
          <w:sz w:val="27"/>
        </w:rPr>
        <w:t>2014;83:1523–1529.</w:t>
      </w:r>
    </w:p>
    <w:p>
      <w:pPr>
        <w:pStyle w:val="ListParagraph"/>
        <w:numPr>
          <w:ilvl w:val="0"/>
          <w:numId w:val="12"/>
        </w:numPr>
        <w:tabs>
          <w:tab w:pos="681" w:val="left" w:leader="none"/>
        </w:tabs>
        <w:spacing w:line="256" w:lineRule="auto" w:before="1" w:after="0"/>
        <w:ind w:left="680" w:right="134" w:hanging="571"/>
        <w:jc w:val="both"/>
        <w:rPr>
          <w:sz w:val="27"/>
        </w:rPr>
      </w:pPr>
      <w:r>
        <w:rPr>
          <w:spacing w:val="-7"/>
          <w:w w:val="105"/>
          <w:sz w:val="27"/>
        </w:rPr>
        <w:t>T.</w:t>
      </w:r>
      <w:r>
        <w:rPr>
          <w:spacing w:val="-22"/>
          <w:w w:val="105"/>
          <w:sz w:val="27"/>
        </w:rPr>
        <w:t> </w:t>
      </w:r>
      <w:r>
        <w:rPr>
          <w:w w:val="105"/>
          <w:sz w:val="27"/>
        </w:rPr>
        <w:t>Steiner</w:t>
      </w:r>
      <w:r>
        <w:rPr>
          <w:spacing w:val="-22"/>
          <w:w w:val="105"/>
          <w:sz w:val="27"/>
        </w:rPr>
        <w:t> </w:t>
      </w:r>
      <w:r>
        <w:rPr>
          <w:w w:val="105"/>
          <w:sz w:val="27"/>
        </w:rPr>
        <w:t>et</w:t>
      </w:r>
      <w:r>
        <w:rPr>
          <w:spacing w:val="-22"/>
          <w:w w:val="105"/>
          <w:sz w:val="27"/>
        </w:rPr>
        <w:t> </w:t>
      </w:r>
      <w:r>
        <w:rPr>
          <w:w w:val="105"/>
          <w:sz w:val="27"/>
        </w:rPr>
        <w:t>al.</w:t>
      </w:r>
      <w:r>
        <w:rPr>
          <w:spacing w:val="-21"/>
          <w:w w:val="105"/>
          <w:sz w:val="27"/>
        </w:rPr>
        <w:t> </w:t>
      </w:r>
      <w:r>
        <w:rPr>
          <w:w w:val="105"/>
          <w:sz w:val="27"/>
        </w:rPr>
        <w:t>European</w:t>
      </w:r>
      <w:r>
        <w:rPr>
          <w:spacing w:val="-22"/>
          <w:w w:val="105"/>
          <w:sz w:val="27"/>
        </w:rPr>
        <w:t> </w:t>
      </w:r>
      <w:r>
        <w:rPr>
          <w:w w:val="105"/>
          <w:sz w:val="27"/>
        </w:rPr>
        <w:t>Stroke</w:t>
      </w:r>
      <w:r>
        <w:rPr>
          <w:spacing w:val="-22"/>
          <w:w w:val="105"/>
          <w:sz w:val="27"/>
        </w:rPr>
        <w:t> </w:t>
      </w:r>
      <w:r>
        <w:rPr>
          <w:w w:val="105"/>
          <w:sz w:val="27"/>
        </w:rPr>
        <w:t>Organisation</w:t>
      </w:r>
      <w:r>
        <w:rPr>
          <w:spacing w:val="-21"/>
          <w:w w:val="105"/>
          <w:sz w:val="27"/>
        </w:rPr>
        <w:t> </w:t>
      </w:r>
      <w:r>
        <w:rPr>
          <w:w w:val="105"/>
          <w:sz w:val="27"/>
        </w:rPr>
        <w:t>(ESO)</w:t>
      </w:r>
      <w:r>
        <w:rPr>
          <w:spacing w:val="-22"/>
          <w:w w:val="105"/>
          <w:sz w:val="27"/>
        </w:rPr>
        <w:t> </w:t>
      </w:r>
      <w:r>
        <w:rPr>
          <w:w w:val="105"/>
          <w:sz w:val="27"/>
        </w:rPr>
        <w:t>guidelines</w:t>
      </w:r>
      <w:r>
        <w:rPr>
          <w:spacing w:val="-22"/>
          <w:w w:val="105"/>
          <w:sz w:val="27"/>
        </w:rPr>
        <w:t> </w:t>
      </w:r>
      <w:r>
        <w:rPr>
          <w:w w:val="105"/>
          <w:sz w:val="27"/>
        </w:rPr>
        <w:t>for the management of spontaneous intracerebral hemorrhage. International</w:t>
      </w:r>
      <w:r>
        <w:rPr>
          <w:spacing w:val="-13"/>
          <w:w w:val="105"/>
          <w:sz w:val="27"/>
        </w:rPr>
        <w:t> </w:t>
      </w:r>
      <w:r>
        <w:rPr>
          <w:w w:val="105"/>
          <w:sz w:val="27"/>
        </w:rPr>
        <w:t>Journal</w:t>
      </w:r>
      <w:r>
        <w:rPr>
          <w:spacing w:val="-13"/>
          <w:w w:val="105"/>
          <w:sz w:val="27"/>
        </w:rPr>
        <w:t> </w:t>
      </w:r>
      <w:r>
        <w:rPr>
          <w:w w:val="105"/>
          <w:sz w:val="27"/>
        </w:rPr>
        <w:t>of</w:t>
      </w:r>
      <w:r>
        <w:rPr>
          <w:spacing w:val="-13"/>
          <w:w w:val="105"/>
          <w:sz w:val="27"/>
        </w:rPr>
        <w:t> </w:t>
      </w:r>
      <w:r>
        <w:rPr>
          <w:w w:val="105"/>
          <w:sz w:val="27"/>
        </w:rPr>
        <w:t>Stroke,</w:t>
      </w:r>
      <w:r>
        <w:rPr>
          <w:spacing w:val="-13"/>
          <w:w w:val="105"/>
          <w:sz w:val="27"/>
        </w:rPr>
        <w:t> </w:t>
      </w:r>
      <w:r>
        <w:rPr>
          <w:spacing w:val="-7"/>
          <w:w w:val="105"/>
          <w:sz w:val="27"/>
        </w:rPr>
        <w:t>Vol.</w:t>
      </w:r>
      <w:r>
        <w:rPr>
          <w:spacing w:val="-13"/>
          <w:w w:val="105"/>
          <w:sz w:val="27"/>
        </w:rPr>
        <w:t> </w:t>
      </w:r>
      <w:r>
        <w:rPr>
          <w:w w:val="105"/>
          <w:sz w:val="27"/>
        </w:rPr>
        <w:t>9,</w:t>
      </w:r>
      <w:r>
        <w:rPr>
          <w:spacing w:val="-13"/>
          <w:w w:val="105"/>
          <w:sz w:val="27"/>
        </w:rPr>
        <w:t> </w:t>
      </w:r>
      <w:r>
        <w:rPr>
          <w:w w:val="105"/>
          <w:sz w:val="27"/>
        </w:rPr>
        <w:t>October</w:t>
      </w:r>
      <w:r>
        <w:rPr>
          <w:spacing w:val="-13"/>
          <w:w w:val="105"/>
          <w:sz w:val="27"/>
        </w:rPr>
        <w:t> </w:t>
      </w:r>
      <w:r>
        <w:rPr>
          <w:w w:val="105"/>
          <w:sz w:val="27"/>
        </w:rPr>
        <w:t>2014,</w:t>
      </w:r>
      <w:r>
        <w:rPr>
          <w:spacing w:val="-13"/>
          <w:w w:val="105"/>
          <w:sz w:val="27"/>
        </w:rPr>
        <w:t> </w:t>
      </w:r>
      <w:r>
        <w:rPr>
          <w:w w:val="105"/>
          <w:sz w:val="27"/>
        </w:rPr>
        <w:t>p.</w:t>
      </w:r>
      <w:r>
        <w:rPr>
          <w:spacing w:val="-13"/>
          <w:w w:val="105"/>
          <w:sz w:val="27"/>
        </w:rPr>
        <w:t> </w:t>
      </w:r>
      <w:r>
        <w:rPr>
          <w:w w:val="105"/>
          <w:sz w:val="27"/>
        </w:rPr>
        <w:t>840–855.</w:t>
      </w:r>
    </w:p>
    <w:p>
      <w:pPr>
        <w:pStyle w:val="ListParagraph"/>
        <w:numPr>
          <w:ilvl w:val="0"/>
          <w:numId w:val="12"/>
        </w:numPr>
        <w:tabs>
          <w:tab w:pos="681" w:val="left" w:leader="none"/>
          <w:tab w:pos="3129" w:val="left" w:leader="none"/>
          <w:tab w:pos="4946" w:val="left" w:leader="none"/>
          <w:tab w:pos="8355" w:val="left" w:leader="none"/>
        </w:tabs>
        <w:spacing w:line="256" w:lineRule="auto" w:before="1" w:after="0"/>
        <w:ind w:left="680" w:right="129" w:hanging="571"/>
        <w:jc w:val="both"/>
        <w:rPr>
          <w:sz w:val="27"/>
        </w:rPr>
      </w:pPr>
      <w:r>
        <w:rPr>
          <w:w w:val="105"/>
          <w:sz w:val="27"/>
        </w:rPr>
        <w:t>Hemphill et al. Guidelines for the Management of Spontaneous </w:t>
      </w:r>
      <w:r>
        <w:rPr>
          <w:sz w:val="27"/>
        </w:rPr>
        <w:t>Intracerebral Hemorrhage. A Guideline for Healthcare</w:t>
      </w:r>
      <w:r>
        <w:rPr>
          <w:spacing w:val="-17"/>
          <w:sz w:val="27"/>
        </w:rPr>
        <w:t> </w:t>
      </w:r>
      <w:r>
        <w:rPr>
          <w:sz w:val="27"/>
        </w:rPr>
        <w:t>Professionals </w:t>
      </w:r>
      <w:r>
        <w:rPr>
          <w:w w:val="105"/>
          <w:sz w:val="27"/>
        </w:rPr>
        <w:t>From the American Heart Association/American Stroke Association.</w:t>
        <w:tab/>
        <w:t>Stroke.</w:t>
        <w:tab/>
        <w:t>2015;46:2032–2060.</w:t>
        <w:tab/>
      </w:r>
      <w:r>
        <w:rPr>
          <w:spacing w:val="-5"/>
          <w:w w:val="105"/>
          <w:sz w:val="27"/>
        </w:rPr>
        <w:t>doi: </w:t>
      </w:r>
      <w:r>
        <w:rPr>
          <w:w w:val="105"/>
          <w:sz w:val="27"/>
        </w:rPr>
        <w:t>10.1161/STR.0000000000000069].</w:t>
      </w:r>
    </w:p>
    <w:p>
      <w:pPr>
        <w:pStyle w:val="ListParagraph"/>
        <w:numPr>
          <w:ilvl w:val="0"/>
          <w:numId w:val="12"/>
        </w:numPr>
        <w:tabs>
          <w:tab w:pos="681" w:val="left" w:leader="none"/>
        </w:tabs>
        <w:spacing w:line="256" w:lineRule="auto" w:before="2" w:after="0"/>
        <w:ind w:left="680" w:right="134" w:hanging="571"/>
        <w:jc w:val="both"/>
        <w:rPr>
          <w:sz w:val="27"/>
        </w:rPr>
      </w:pPr>
      <w:r>
        <w:rPr>
          <w:spacing w:val="-3"/>
          <w:sz w:val="27"/>
        </w:rPr>
        <w:t>Powers </w:t>
      </w:r>
      <w:r>
        <w:rPr>
          <w:sz w:val="27"/>
        </w:rPr>
        <w:t>WJ et al. 2018 Guidelines for the Early Management of Patients With Acute Ischemic Stroke. A Guideline for Healthcare Professionals From the American Heart Association/American Stroke Association. Stroke 2018; 49 (3):</w:t>
      </w:r>
      <w:r>
        <w:rPr>
          <w:spacing w:val="25"/>
          <w:sz w:val="27"/>
        </w:rPr>
        <w:t> </w:t>
      </w:r>
      <w:r>
        <w:rPr>
          <w:sz w:val="27"/>
        </w:rPr>
        <w:t>e46–e138.</w:t>
      </w:r>
    </w:p>
    <w:p>
      <w:pPr>
        <w:spacing w:after="0" w:line="256" w:lineRule="auto"/>
        <w:jc w:val="both"/>
        <w:rPr>
          <w:sz w:val="27"/>
        </w:rPr>
        <w:sectPr>
          <w:pgSz w:w="11900" w:h="16840"/>
          <w:pgMar w:top="0" w:bottom="280" w:left="1420" w:right="1520"/>
        </w:sectPr>
      </w:pPr>
    </w:p>
    <w:p>
      <w:pPr>
        <w:pStyle w:val="ListParagraph"/>
        <w:numPr>
          <w:ilvl w:val="0"/>
          <w:numId w:val="12"/>
        </w:numPr>
        <w:tabs>
          <w:tab w:pos="681" w:val="left" w:leader="none"/>
        </w:tabs>
        <w:spacing w:line="256" w:lineRule="auto" w:before="16" w:after="0"/>
        <w:ind w:left="680" w:right="128" w:hanging="571"/>
        <w:jc w:val="both"/>
        <w:rPr>
          <w:sz w:val="27"/>
        </w:rPr>
      </w:pPr>
      <w:r>
        <w:rPr>
          <w:w w:val="105"/>
          <w:sz w:val="27"/>
        </w:rPr>
        <w:t>Lee</w:t>
      </w:r>
      <w:r>
        <w:rPr>
          <w:spacing w:val="-45"/>
          <w:w w:val="105"/>
          <w:sz w:val="27"/>
        </w:rPr>
        <w:t> </w:t>
      </w:r>
      <w:r>
        <w:rPr>
          <w:w w:val="105"/>
          <w:sz w:val="27"/>
        </w:rPr>
        <w:t>M,</w:t>
      </w:r>
      <w:r>
        <w:rPr>
          <w:spacing w:val="-44"/>
          <w:w w:val="105"/>
          <w:sz w:val="27"/>
        </w:rPr>
        <w:t> </w:t>
      </w:r>
      <w:r>
        <w:rPr>
          <w:w w:val="105"/>
          <w:sz w:val="27"/>
        </w:rPr>
        <w:t>Ovbiagele</w:t>
      </w:r>
      <w:r>
        <w:rPr>
          <w:spacing w:val="-45"/>
          <w:w w:val="105"/>
          <w:sz w:val="27"/>
        </w:rPr>
        <w:t> </w:t>
      </w:r>
      <w:r>
        <w:rPr>
          <w:w w:val="105"/>
          <w:sz w:val="27"/>
        </w:rPr>
        <w:t>B,</w:t>
      </w:r>
      <w:r>
        <w:rPr>
          <w:spacing w:val="-44"/>
          <w:w w:val="105"/>
          <w:sz w:val="27"/>
        </w:rPr>
        <w:t> </w:t>
      </w:r>
      <w:r>
        <w:rPr>
          <w:w w:val="105"/>
          <w:sz w:val="27"/>
        </w:rPr>
        <w:t>Hong</w:t>
      </w:r>
      <w:r>
        <w:rPr>
          <w:spacing w:val="-45"/>
          <w:w w:val="105"/>
          <w:sz w:val="27"/>
        </w:rPr>
        <w:t> </w:t>
      </w:r>
      <w:r>
        <w:rPr>
          <w:w w:val="105"/>
          <w:sz w:val="27"/>
        </w:rPr>
        <w:t>KS,</w:t>
      </w:r>
      <w:r>
        <w:rPr>
          <w:spacing w:val="-44"/>
          <w:w w:val="105"/>
          <w:sz w:val="27"/>
        </w:rPr>
        <w:t> </w:t>
      </w:r>
      <w:r>
        <w:rPr>
          <w:w w:val="105"/>
          <w:sz w:val="27"/>
        </w:rPr>
        <w:t>et</w:t>
      </w:r>
      <w:r>
        <w:rPr>
          <w:spacing w:val="-45"/>
          <w:w w:val="105"/>
          <w:sz w:val="27"/>
        </w:rPr>
        <w:t> </w:t>
      </w:r>
      <w:r>
        <w:rPr>
          <w:w w:val="105"/>
          <w:sz w:val="27"/>
        </w:rPr>
        <w:t>al.</w:t>
      </w:r>
      <w:r>
        <w:rPr>
          <w:spacing w:val="-44"/>
          <w:w w:val="105"/>
          <w:sz w:val="27"/>
        </w:rPr>
        <w:t> </w:t>
      </w:r>
      <w:r>
        <w:rPr>
          <w:w w:val="105"/>
          <w:sz w:val="27"/>
        </w:rPr>
        <w:t>Effectof</w:t>
      </w:r>
      <w:r>
        <w:rPr>
          <w:spacing w:val="-45"/>
          <w:w w:val="105"/>
          <w:sz w:val="27"/>
        </w:rPr>
        <w:t> </w:t>
      </w:r>
      <w:r>
        <w:rPr>
          <w:w w:val="105"/>
          <w:sz w:val="27"/>
        </w:rPr>
        <w:t>blood</w:t>
      </w:r>
      <w:r>
        <w:rPr>
          <w:spacing w:val="-44"/>
          <w:w w:val="105"/>
          <w:sz w:val="27"/>
        </w:rPr>
        <w:t> </w:t>
      </w:r>
      <w:r>
        <w:rPr>
          <w:w w:val="105"/>
          <w:sz w:val="27"/>
        </w:rPr>
        <w:t>pressure</w:t>
      </w:r>
      <w:r>
        <w:rPr>
          <w:spacing w:val="-45"/>
          <w:w w:val="105"/>
          <w:sz w:val="27"/>
        </w:rPr>
        <w:t> </w:t>
      </w:r>
      <w:r>
        <w:rPr>
          <w:w w:val="105"/>
          <w:sz w:val="27"/>
        </w:rPr>
        <w:t>lowering in early ischemic stroke: meta-analysis.</w:t>
      </w:r>
      <w:r>
        <w:rPr>
          <w:spacing w:val="-32"/>
          <w:w w:val="105"/>
          <w:sz w:val="27"/>
        </w:rPr>
        <w:t> </w:t>
      </w:r>
      <w:r>
        <w:rPr>
          <w:w w:val="105"/>
          <w:sz w:val="27"/>
        </w:rPr>
        <w:t>Stroke.2015;46:1883–1889.</w:t>
      </w:r>
    </w:p>
    <w:p>
      <w:pPr>
        <w:pStyle w:val="BodyText"/>
        <w:spacing w:before="0"/>
        <w:ind w:left="0"/>
        <w:jc w:val="left"/>
        <w:rPr>
          <w:sz w:val="29"/>
        </w:rPr>
      </w:pPr>
    </w:p>
    <w:p>
      <w:pPr>
        <w:pStyle w:val="ListParagraph"/>
        <w:numPr>
          <w:ilvl w:val="0"/>
          <w:numId w:val="12"/>
        </w:numPr>
        <w:tabs>
          <w:tab w:pos="681" w:val="left" w:leader="none"/>
        </w:tabs>
        <w:spacing w:line="256" w:lineRule="auto" w:before="0" w:after="0"/>
        <w:ind w:left="680" w:right="130" w:hanging="571"/>
        <w:jc w:val="both"/>
        <w:rPr>
          <w:sz w:val="27"/>
        </w:rPr>
      </w:pPr>
      <w:r>
        <w:rPr>
          <w:sz w:val="27"/>
        </w:rPr>
        <w:t>Zhao R, Liu </w:t>
      </w:r>
      <w:r>
        <w:rPr>
          <w:spacing w:val="-3"/>
          <w:sz w:val="27"/>
        </w:rPr>
        <w:t>FD, </w:t>
      </w:r>
      <w:r>
        <w:rPr>
          <w:spacing w:val="-5"/>
          <w:sz w:val="27"/>
        </w:rPr>
        <w:t>Wang </w:t>
      </w:r>
      <w:r>
        <w:rPr>
          <w:sz w:val="27"/>
        </w:rPr>
        <w:t>S et al. Blood pressure reduction in the acute phase of an ischemic stroke does not improve short- or long-term dependency or mortality: a meta-analysis of current literature. Medicine(Baltimore). 2015;94:e896.</w:t>
      </w:r>
    </w:p>
    <w:p>
      <w:pPr>
        <w:pStyle w:val="ListParagraph"/>
        <w:numPr>
          <w:ilvl w:val="0"/>
          <w:numId w:val="12"/>
        </w:numPr>
        <w:tabs>
          <w:tab w:pos="681" w:val="left" w:leader="none"/>
        </w:tabs>
        <w:spacing w:line="256" w:lineRule="auto" w:before="2" w:after="0"/>
        <w:ind w:left="680" w:right="134" w:hanging="571"/>
        <w:jc w:val="both"/>
        <w:rPr>
          <w:sz w:val="27"/>
        </w:rPr>
      </w:pPr>
      <w:r>
        <w:rPr>
          <w:w w:val="105"/>
          <w:sz w:val="27"/>
        </w:rPr>
        <w:t>Ahmed N, </w:t>
      </w:r>
      <w:r>
        <w:rPr>
          <w:spacing w:val="-3"/>
          <w:w w:val="105"/>
          <w:sz w:val="27"/>
        </w:rPr>
        <w:t>Wahlgren </w:t>
      </w:r>
      <w:r>
        <w:rPr>
          <w:w w:val="105"/>
          <w:sz w:val="27"/>
        </w:rPr>
        <w:t>N, Brainin M, et al. Relationship of blood pressure,</w:t>
      </w:r>
      <w:r>
        <w:rPr>
          <w:spacing w:val="-41"/>
          <w:w w:val="105"/>
          <w:sz w:val="27"/>
        </w:rPr>
        <w:t> </w:t>
      </w:r>
      <w:r>
        <w:rPr>
          <w:w w:val="105"/>
          <w:sz w:val="27"/>
        </w:rPr>
        <w:t>antihypertensive</w:t>
      </w:r>
      <w:r>
        <w:rPr>
          <w:spacing w:val="-40"/>
          <w:w w:val="105"/>
          <w:sz w:val="27"/>
        </w:rPr>
        <w:t> </w:t>
      </w:r>
      <w:r>
        <w:rPr>
          <w:spacing w:val="-3"/>
          <w:w w:val="105"/>
          <w:sz w:val="27"/>
        </w:rPr>
        <w:t>therapy,</w:t>
      </w:r>
      <w:r>
        <w:rPr>
          <w:spacing w:val="-40"/>
          <w:w w:val="105"/>
          <w:sz w:val="27"/>
        </w:rPr>
        <w:t> </w:t>
      </w:r>
      <w:r>
        <w:rPr>
          <w:w w:val="105"/>
          <w:sz w:val="27"/>
        </w:rPr>
        <w:t>and</w:t>
      </w:r>
      <w:r>
        <w:rPr>
          <w:spacing w:val="-40"/>
          <w:w w:val="105"/>
          <w:sz w:val="27"/>
        </w:rPr>
        <w:t> </w:t>
      </w:r>
      <w:r>
        <w:rPr>
          <w:w w:val="105"/>
          <w:sz w:val="27"/>
        </w:rPr>
        <w:t>outcome</w:t>
      </w:r>
      <w:r>
        <w:rPr>
          <w:spacing w:val="-41"/>
          <w:w w:val="105"/>
          <w:sz w:val="27"/>
        </w:rPr>
        <w:t> </w:t>
      </w:r>
      <w:r>
        <w:rPr>
          <w:w w:val="105"/>
          <w:sz w:val="27"/>
        </w:rPr>
        <w:t>inischemic</w:t>
      </w:r>
      <w:r>
        <w:rPr>
          <w:spacing w:val="-40"/>
          <w:w w:val="105"/>
          <w:sz w:val="27"/>
        </w:rPr>
        <w:t> </w:t>
      </w:r>
      <w:r>
        <w:rPr>
          <w:w w:val="105"/>
          <w:sz w:val="27"/>
        </w:rPr>
        <w:t>stroke treated</w:t>
      </w:r>
      <w:r>
        <w:rPr>
          <w:spacing w:val="-37"/>
          <w:w w:val="105"/>
          <w:sz w:val="27"/>
        </w:rPr>
        <w:t> </w:t>
      </w:r>
      <w:r>
        <w:rPr>
          <w:w w:val="105"/>
          <w:sz w:val="27"/>
        </w:rPr>
        <w:t>with</w:t>
      </w:r>
      <w:r>
        <w:rPr>
          <w:spacing w:val="-36"/>
          <w:w w:val="105"/>
          <w:sz w:val="27"/>
        </w:rPr>
        <w:t> </w:t>
      </w:r>
      <w:r>
        <w:rPr>
          <w:w w:val="105"/>
          <w:sz w:val="27"/>
        </w:rPr>
        <w:t>intravenous</w:t>
      </w:r>
      <w:r>
        <w:rPr>
          <w:spacing w:val="-36"/>
          <w:w w:val="105"/>
          <w:sz w:val="27"/>
        </w:rPr>
        <w:t> </w:t>
      </w:r>
      <w:r>
        <w:rPr>
          <w:w w:val="105"/>
          <w:sz w:val="27"/>
        </w:rPr>
        <w:t>thrombolysis:</w:t>
      </w:r>
      <w:r>
        <w:rPr>
          <w:spacing w:val="-37"/>
          <w:w w:val="105"/>
          <w:sz w:val="27"/>
        </w:rPr>
        <w:t> </w:t>
      </w:r>
      <w:r>
        <w:rPr>
          <w:w w:val="105"/>
          <w:sz w:val="27"/>
        </w:rPr>
        <w:t>retrospective</w:t>
      </w:r>
      <w:r>
        <w:rPr>
          <w:spacing w:val="-36"/>
          <w:w w:val="105"/>
          <w:sz w:val="27"/>
        </w:rPr>
        <w:t> </w:t>
      </w:r>
      <w:r>
        <w:rPr>
          <w:w w:val="105"/>
          <w:sz w:val="27"/>
        </w:rPr>
        <w:t>analysis</w:t>
      </w:r>
      <w:r>
        <w:rPr>
          <w:spacing w:val="-36"/>
          <w:w w:val="105"/>
          <w:sz w:val="27"/>
        </w:rPr>
        <w:t> </w:t>
      </w:r>
      <w:r>
        <w:rPr>
          <w:w w:val="105"/>
          <w:sz w:val="27"/>
        </w:rPr>
        <w:t>from Safe Implementation of Thrombolysis in Stroke-International StrokeThrombolysis Register (SITS-ISTR). Stroke 2009;40:2442– 2449.</w:t>
      </w:r>
    </w:p>
    <w:p>
      <w:pPr>
        <w:pStyle w:val="ListParagraph"/>
        <w:numPr>
          <w:ilvl w:val="0"/>
          <w:numId w:val="12"/>
        </w:numPr>
        <w:tabs>
          <w:tab w:pos="681" w:val="left" w:leader="none"/>
        </w:tabs>
        <w:spacing w:line="256" w:lineRule="auto" w:before="2" w:after="0"/>
        <w:ind w:left="680" w:right="130" w:hanging="571"/>
        <w:jc w:val="both"/>
        <w:rPr>
          <w:sz w:val="27"/>
        </w:rPr>
      </w:pPr>
      <w:r>
        <w:rPr>
          <w:spacing w:val="-9"/>
          <w:sz w:val="27"/>
        </w:rPr>
        <w:t>WuW, </w:t>
      </w:r>
      <w:r>
        <w:rPr>
          <w:sz w:val="27"/>
        </w:rPr>
        <w:t>HuoX, ZhaoX, et al. Relationship between blood pressure</w:t>
      </w:r>
      <w:r>
        <w:rPr>
          <w:spacing w:val="-42"/>
          <w:sz w:val="27"/>
        </w:rPr>
        <w:t> </w:t>
      </w:r>
      <w:r>
        <w:rPr>
          <w:sz w:val="27"/>
        </w:rPr>
        <w:t>and outcomes in acute ischemic stroke patients administered </w:t>
      </w:r>
      <w:r>
        <w:rPr>
          <w:spacing w:val="-3"/>
          <w:sz w:val="27"/>
        </w:rPr>
        <w:t>lytic </w:t>
      </w:r>
      <w:r>
        <w:rPr>
          <w:sz w:val="27"/>
        </w:rPr>
        <w:t>medication</w:t>
      </w:r>
      <w:r>
        <w:rPr>
          <w:spacing w:val="17"/>
          <w:sz w:val="27"/>
        </w:rPr>
        <w:t> </w:t>
      </w:r>
      <w:r>
        <w:rPr>
          <w:sz w:val="27"/>
        </w:rPr>
        <w:t>in</w:t>
      </w:r>
      <w:r>
        <w:rPr>
          <w:spacing w:val="18"/>
          <w:sz w:val="27"/>
        </w:rPr>
        <w:t> </w:t>
      </w:r>
      <w:r>
        <w:rPr>
          <w:sz w:val="27"/>
        </w:rPr>
        <w:t>the</w:t>
      </w:r>
      <w:r>
        <w:rPr>
          <w:spacing w:val="17"/>
          <w:sz w:val="27"/>
        </w:rPr>
        <w:t> </w:t>
      </w:r>
      <w:r>
        <w:rPr>
          <w:sz w:val="27"/>
        </w:rPr>
        <w:t>TIMS-China</w:t>
      </w:r>
      <w:r>
        <w:rPr>
          <w:spacing w:val="18"/>
          <w:sz w:val="27"/>
        </w:rPr>
        <w:t> </w:t>
      </w:r>
      <w:r>
        <w:rPr>
          <w:sz w:val="27"/>
        </w:rPr>
        <w:t>Study.</w:t>
      </w:r>
      <w:r>
        <w:rPr>
          <w:spacing w:val="18"/>
          <w:sz w:val="27"/>
        </w:rPr>
        <w:t> </w:t>
      </w:r>
      <w:r>
        <w:rPr>
          <w:sz w:val="27"/>
        </w:rPr>
        <w:t>PLoS</w:t>
      </w:r>
      <w:r>
        <w:rPr>
          <w:spacing w:val="17"/>
          <w:sz w:val="27"/>
        </w:rPr>
        <w:t> </w:t>
      </w:r>
      <w:r>
        <w:rPr>
          <w:sz w:val="27"/>
        </w:rPr>
        <w:t>One</w:t>
      </w:r>
      <w:r>
        <w:rPr>
          <w:spacing w:val="18"/>
          <w:sz w:val="27"/>
        </w:rPr>
        <w:t> </w:t>
      </w:r>
      <w:r>
        <w:rPr>
          <w:sz w:val="27"/>
        </w:rPr>
        <w:t>2016;11:e0144260.</w:t>
      </w:r>
    </w:p>
    <w:p>
      <w:pPr>
        <w:pStyle w:val="ListParagraph"/>
        <w:numPr>
          <w:ilvl w:val="0"/>
          <w:numId w:val="12"/>
        </w:numPr>
        <w:tabs>
          <w:tab w:pos="681" w:val="left" w:leader="none"/>
        </w:tabs>
        <w:spacing w:line="256" w:lineRule="auto" w:before="1" w:after="0"/>
        <w:ind w:left="680" w:right="131" w:hanging="571"/>
        <w:jc w:val="both"/>
        <w:rPr>
          <w:sz w:val="27"/>
        </w:rPr>
      </w:pPr>
      <w:r>
        <w:rPr>
          <w:sz w:val="27"/>
        </w:rPr>
        <w:t>PROGRESS Collaborative Group. Randomised trial of a</w:t>
      </w:r>
      <w:r>
        <w:rPr>
          <w:spacing w:val="-30"/>
          <w:sz w:val="27"/>
        </w:rPr>
        <w:t> </w:t>
      </w:r>
      <w:r>
        <w:rPr>
          <w:sz w:val="27"/>
        </w:rPr>
        <w:t>perindopril- based blood-pressure-lowering regimen among 6105 individuals with  previous  stroke  or  transient   ischaemic   attack.   The   Lancet 358.9287</w:t>
      </w:r>
      <w:r>
        <w:rPr>
          <w:spacing w:val="4"/>
          <w:sz w:val="27"/>
        </w:rPr>
        <w:t> </w:t>
      </w:r>
      <w:r>
        <w:rPr>
          <w:sz w:val="27"/>
        </w:rPr>
        <w:t>(2001):1033–1041.</w:t>
      </w:r>
    </w:p>
    <w:p>
      <w:pPr>
        <w:pStyle w:val="ListParagraph"/>
        <w:numPr>
          <w:ilvl w:val="0"/>
          <w:numId w:val="12"/>
        </w:numPr>
        <w:tabs>
          <w:tab w:pos="681" w:val="left" w:leader="none"/>
        </w:tabs>
        <w:spacing w:line="256" w:lineRule="auto" w:before="2" w:after="0"/>
        <w:ind w:left="680" w:right="132" w:hanging="571"/>
        <w:jc w:val="both"/>
        <w:rPr>
          <w:sz w:val="27"/>
        </w:rPr>
      </w:pPr>
      <w:r>
        <w:rPr>
          <w:sz w:val="27"/>
        </w:rPr>
        <w:t>White</w:t>
      </w:r>
      <w:r>
        <w:rPr>
          <w:spacing w:val="-7"/>
          <w:sz w:val="27"/>
        </w:rPr>
        <w:t> </w:t>
      </w:r>
      <w:r>
        <w:rPr>
          <w:sz w:val="27"/>
        </w:rPr>
        <w:t>CL,</w:t>
      </w:r>
      <w:r>
        <w:rPr>
          <w:spacing w:val="-6"/>
          <w:sz w:val="27"/>
        </w:rPr>
        <w:t> </w:t>
      </w:r>
      <w:r>
        <w:rPr>
          <w:sz w:val="27"/>
        </w:rPr>
        <w:t>Szychowski</w:t>
      </w:r>
      <w:r>
        <w:rPr>
          <w:spacing w:val="-6"/>
          <w:sz w:val="27"/>
        </w:rPr>
        <w:t> </w:t>
      </w:r>
      <w:r>
        <w:rPr>
          <w:sz w:val="27"/>
        </w:rPr>
        <w:t>JM,</w:t>
      </w:r>
      <w:r>
        <w:rPr>
          <w:spacing w:val="-6"/>
          <w:sz w:val="27"/>
        </w:rPr>
        <w:t> </w:t>
      </w:r>
      <w:r>
        <w:rPr>
          <w:sz w:val="27"/>
        </w:rPr>
        <w:t>Pergola</w:t>
      </w:r>
      <w:r>
        <w:rPr>
          <w:spacing w:val="-6"/>
          <w:sz w:val="27"/>
        </w:rPr>
        <w:t> </w:t>
      </w:r>
      <w:r>
        <w:rPr>
          <w:sz w:val="27"/>
        </w:rPr>
        <w:t>PE</w:t>
      </w:r>
      <w:r>
        <w:rPr>
          <w:spacing w:val="-6"/>
          <w:sz w:val="27"/>
        </w:rPr>
        <w:t> </w:t>
      </w:r>
      <w:r>
        <w:rPr>
          <w:sz w:val="27"/>
        </w:rPr>
        <w:t>et</w:t>
      </w:r>
      <w:r>
        <w:rPr>
          <w:spacing w:val="-6"/>
          <w:sz w:val="27"/>
        </w:rPr>
        <w:t> </w:t>
      </w:r>
      <w:r>
        <w:rPr>
          <w:sz w:val="27"/>
        </w:rPr>
        <w:t>al.</w:t>
      </w:r>
      <w:r>
        <w:rPr>
          <w:spacing w:val="-6"/>
          <w:sz w:val="27"/>
        </w:rPr>
        <w:t> </w:t>
      </w:r>
      <w:r>
        <w:rPr>
          <w:sz w:val="27"/>
        </w:rPr>
        <w:t>Secondary</w:t>
      </w:r>
      <w:r>
        <w:rPr>
          <w:spacing w:val="-7"/>
          <w:sz w:val="27"/>
        </w:rPr>
        <w:t> </w:t>
      </w:r>
      <w:r>
        <w:rPr>
          <w:sz w:val="27"/>
        </w:rPr>
        <w:t>Prevention</w:t>
      </w:r>
      <w:r>
        <w:rPr>
          <w:spacing w:val="-6"/>
          <w:sz w:val="27"/>
        </w:rPr>
        <w:t> </w:t>
      </w:r>
      <w:r>
        <w:rPr>
          <w:sz w:val="27"/>
        </w:rPr>
        <w:t>of Small Subcortical Strokes Study Investigators. Can blood pressure be lowered safely in older adults with lacunar stroke? The Secondary Prevention of Small Subcortical Strokes study experience. J Am Geriatr Soc</w:t>
      </w:r>
      <w:r>
        <w:rPr>
          <w:spacing w:val="12"/>
          <w:sz w:val="27"/>
        </w:rPr>
        <w:t> </w:t>
      </w:r>
      <w:r>
        <w:rPr>
          <w:sz w:val="27"/>
        </w:rPr>
        <w:t>2015;63:722–729.</w:t>
      </w:r>
    </w:p>
    <w:p>
      <w:pPr>
        <w:pStyle w:val="ListParagraph"/>
        <w:numPr>
          <w:ilvl w:val="0"/>
          <w:numId w:val="12"/>
        </w:numPr>
        <w:tabs>
          <w:tab w:pos="681" w:val="left" w:leader="none"/>
        </w:tabs>
        <w:spacing w:line="256" w:lineRule="auto" w:before="2" w:after="0"/>
        <w:ind w:left="680" w:right="133" w:hanging="571"/>
        <w:jc w:val="both"/>
        <w:rPr>
          <w:sz w:val="27"/>
        </w:rPr>
      </w:pPr>
      <w:r>
        <w:rPr>
          <w:sz w:val="27"/>
        </w:rPr>
        <w:t>SPRINT Research Group. A randomized trial of intensive versus standard blood pressure control. New England Journal of Medicine 2015;373(22):2103–2116.</w:t>
      </w:r>
    </w:p>
    <w:p>
      <w:pPr>
        <w:pStyle w:val="ListParagraph"/>
        <w:numPr>
          <w:ilvl w:val="0"/>
          <w:numId w:val="12"/>
        </w:numPr>
        <w:tabs>
          <w:tab w:pos="681" w:val="left" w:leader="none"/>
        </w:tabs>
        <w:spacing w:line="256" w:lineRule="auto" w:before="1" w:after="0"/>
        <w:ind w:left="680" w:right="137" w:hanging="571"/>
        <w:jc w:val="both"/>
        <w:rPr>
          <w:sz w:val="27"/>
        </w:rPr>
      </w:pPr>
      <w:r>
        <w:rPr>
          <w:spacing w:val="-5"/>
          <w:w w:val="105"/>
          <w:sz w:val="27"/>
        </w:rPr>
        <w:t>Wang </w:t>
      </w:r>
      <w:r>
        <w:rPr>
          <w:w w:val="105"/>
          <w:sz w:val="27"/>
        </w:rPr>
        <w:t>Ji-Guang et al. Carotid intima-media thickness </w:t>
      </w:r>
      <w:r>
        <w:rPr>
          <w:spacing w:val="-4"/>
          <w:w w:val="105"/>
          <w:sz w:val="27"/>
        </w:rPr>
        <w:t>and </w:t>
      </w:r>
      <w:r>
        <w:rPr>
          <w:w w:val="105"/>
          <w:sz w:val="27"/>
        </w:rPr>
        <w:t>antihypertensive treatment: a meta-analysis of randomized controlled trials. Stroke </w:t>
      </w:r>
      <w:r>
        <w:rPr>
          <w:spacing w:val="-7"/>
          <w:w w:val="105"/>
          <w:sz w:val="27"/>
        </w:rPr>
        <w:t>37.7 </w:t>
      </w:r>
      <w:r>
        <w:rPr>
          <w:w w:val="105"/>
          <w:sz w:val="27"/>
        </w:rPr>
        <w:t>(2006):</w:t>
      </w:r>
      <w:r>
        <w:rPr>
          <w:spacing w:val="-21"/>
          <w:w w:val="105"/>
          <w:sz w:val="27"/>
        </w:rPr>
        <w:t> </w:t>
      </w:r>
      <w:r>
        <w:rPr>
          <w:w w:val="105"/>
          <w:sz w:val="27"/>
        </w:rPr>
        <w:t>1933–1940.</w:t>
      </w:r>
    </w:p>
    <w:p>
      <w:pPr>
        <w:pStyle w:val="ListParagraph"/>
        <w:numPr>
          <w:ilvl w:val="0"/>
          <w:numId w:val="12"/>
        </w:numPr>
        <w:tabs>
          <w:tab w:pos="681" w:val="left" w:leader="none"/>
        </w:tabs>
        <w:spacing w:line="256" w:lineRule="auto" w:before="1" w:after="0"/>
        <w:ind w:left="680" w:right="128" w:hanging="571"/>
        <w:jc w:val="both"/>
        <w:rPr>
          <w:sz w:val="27"/>
        </w:rPr>
      </w:pPr>
      <w:r>
        <w:rPr>
          <w:sz w:val="27"/>
        </w:rPr>
        <w:t>Lane </w:t>
      </w:r>
      <w:r>
        <w:rPr>
          <w:spacing w:val="-4"/>
          <w:sz w:val="27"/>
        </w:rPr>
        <w:t>D. </w:t>
      </w:r>
      <w:r>
        <w:rPr>
          <w:sz w:val="27"/>
        </w:rPr>
        <w:t>A., Lip G. </w:t>
      </w:r>
      <w:r>
        <w:rPr>
          <w:spacing w:val="-12"/>
          <w:sz w:val="27"/>
        </w:rPr>
        <w:t>Y. </w:t>
      </w:r>
      <w:r>
        <w:rPr>
          <w:sz w:val="27"/>
        </w:rPr>
        <w:t>H. Treatment of hypertension in peripheral arterial</w:t>
      </w:r>
      <w:r>
        <w:rPr>
          <w:spacing w:val="32"/>
          <w:sz w:val="27"/>
        </w:rPr>
        <w:t> </w:t>
      </w:r>
      <w:r>
        <w:rPr>
          <w:sz w:val="27"/>
        </w:rPr>
        <w:t>disease</w:t>
      </w:r>
      <w:r>
        <w:rPr>
          <w:spacing w:val="33"/>
          <w:sz w:val="27"/>
        </w:rPr>
        <w:t> </w:t>
      </w:r>
      <w:r>
        <w:rPr>
          <w:sz w:val="27"/>
        </w:rPr>
        <w:t>//Cochrane</w:t>
      </w:r>
      <w:r>
        <w:rPr>
          <w:spacing w:val="33"/>
          <w:sz w:val="27"/>
        </w:rPr>
        <w:t> </w:t>
      </w:r>
      <w:r>
        <w:rPr>
          <w:sz w:val="27"/>
        </w:rPr>
        <w:t>database</w:t>
      </w:r>
      <w:r>
        <w:rPr>
          <w:spacing w:val="33"/>
          <w:sz w:val="27"/>
        </w:rPr>
        <w:t> </w:t>
      </w:r>
      <w:r>
        <w:rPr>
          <w:sz w:val="27"/>
        </w:rPr>
        <w:t>of</w:t>
      </w:r>
      <w:r>
        <w:rPr>
          <w:spacing w:val="33"/>
          <w:sz w:val="27"/>
        </w:rPr>
        <w:t> </w:t>
      </w:r>
      <w:r>
        <w:rPr>
          <w:sz w:val="27"/>
        </w:rPr>
        <w:t>systematic</w:t>
      </w:r>
      <w:r>
        <w:rPr>
          <w:spacing w:val="33"/>
          <w:sz w:val="27"/>
        </w:rPr>
        <w:t> </w:t>
      </w:r>
      <w:r>
        <w:rPr>
          <w:sz w:val="27"/>
        </w:rPr>
        <w:t>reviews.</w:t>
      </w:r>
      <w:r>
        <w:rPr>
          <w:spacing w:val="33"/>
          <w:sz w:val="27"/>
        </w:rPr>
        <w:t> </w:t>
      </w:r>
      <w:r>
        <w:rPr>
          <w:sz w:val="27"/>
        </w:rPr>
        <w:t>–</w:t>
      </w:r>
      <w:r>
        <w:rPr>
          <w:spacing w:val="33"/>
          <w:sz w:val="27"/>
        </w:rPr>
        <w:t> </w:t>
      </w:r>
      <w:r>
        <w:rPr>
          <w:sz w:val="27"/>
        </w:rPr>
        <w:t>2013.</w:t>
      </w:r>
    </w:p>
    <w:p>
      <w:pPr>
        <w:pStyle w:val="BodyText"/>
      </w:pPr>
      <w:r>
        <w:rPr>
          <w:w w:val="115"/>
        </w:rPr>
        <w:t>– №. 12.</w:t>
      </w:r>
    </w:p>
    <w:p>
      <w:pPr>
        <w:pStyle w:val="ListParagraph"/>
        <w:numPr>
          <w:ilvl w:val="0"/>
          <w:numId w:val="12"/>
        </w:numPr>
        <w:tabs>
          <w:tab w:pos="681" w:val="left" w:leader="none"/>
        </w:tabs>
        <w:spacing w:line="256" w:lineRule="auto" w:before="26" w:after="0"/>
        <w:ind w:left="680" w:right="136" w:hanging="571"/>
        <w:jc w:val="both"/>
        <w:rPr>
          <w:sz w:val="27"/>
        </w:rPr>
      </w:pPr>
      <w:r>
        <w:rPr>
          <w:w w:val="105"/>
          <w:sz w:val="27"/>
        </w:rPr>
        <w:t>Vidal-Petiot E. et al. Cardiovascular event rates and mortality according to achieved systolic and diastolic blood pressure in patients with stable coronary artery disease: an international cohort study. The Lancet 2016;</w:t>
      </w:r>
      <w:r>
        <w:rPr>
          <w:spacing w:val="-32"/>
          <w:w w:val="105"/>
          <w:sz w:val="27"/>
        </w:rPr>
        <w:t> </w:t>
      </w:r>
      <w:r>
        <w:rPr>
          <w:w w:val="105"/>
          <w:sz w:val="27"/>
        </w:rPr>
        <w:t>388(10056):2142–2152.</w:t>
      </w:r>
    </w:p>
    <w:p>
      <w:pPr>
        <w:pStyle w:val="ListParagraph"/>
        <w:numPr>
          <w:ilvl w:val="0"/>
          <w:numId w:val="12"/>
        </w:numPr>
        <w:tabs>
          <w:tab w:pos="681" w:val="left" w:leader="none"/>
        </w:tabs>
        <w:spacing w:line="256" w:lineRule="auto" w:before="2" w:after="0"/>
        <w:ind w:left="680" w:right="128" w:hanging="571"/>
        <w:jc w:val="both"/>
        <w:rPr>
          <w:sz w:val="27"/>
        </w:rPr>
      </w:pPr>
      <w:r>
        <w:rPr>
          <w:sz w:val="27"/>
        </w:rPr>
        <w:t>Zanchetti A, Hennig M, Hollweck R et al. Baseline values but not treatment-induced changes incarotid intima-media thickness predict incident cardiovascular events in treatedhypertensive patients: ﬁndings in the European Lacidipine Study </w:t>
      </w:r>
      <w:r>
        <w:rPr>
          <w:spacing w:val="-7"/>
          <w:sz w:val="27"/>
        </w:rPr>
        <w:t>on </w:t>
      </w:r>
      <w:r>
        <w:rPr>
          <w:sz w:val="27"/>
        </w:rPr>
        <w:t>Atherosclerosis (ELSA). Circulation</w:t>
      </w:r>
      <w:r>
        <w:rPr>
          <w:spacing w:val="19"/>
          <w:sz w:val="27"/>
        </w:rPr>
        <w:t> </w:t>
      </w:r>
      <w:r>
        <w:rPr>
          <w:sz w:val="27"/>
        </w:rPr>
        <w:t>2009;120:1084–1090.</w:t>
      </w:r>
    </w:p>
    <w:p>
      <w:pPr>
        <w:spacing w:after="0" w:line="256" w:lineRule="auto"/>
        <w:jc w:val="both"/>
        <w:rPr>
          <w:sz w:val="27"/>
        </w:rPr>
        <w:sectPr>
          <w:pgSz w:w="11900" w:h="16840"/>
          <w:pgMar w:top="0" w:bottom="0" w:left="1420" w:right="1520"/>
        </w:sectPr>
      </w:pPr>
    </w:p>
    <w:p>
      <w:pPr>
        <w:pStyle w:val="ListParagraph"/>
        <w:numPr>
          <w:ilvl w:val="0"/>
          <w:numId w:val="12"/>
        </w:numPr>
        <w:tabs>
          <w:tab w:pos="681" w:val="left" w:leader="none"/>
        </w:tabs>
        <w:spacing w:line="256" w:lineRule="auto" w:before="16" w:after="0"/>
        <w:ind w:left="680" w:right="128" w:hanging="571"/>
        <w:jc w:val="both"/>
        <w:rPr>
          <w:sz w:val="27"/>
        </w:rPr>
      </w:pPr>
      <w:r>
        <w:rPr>
          <w:sz w:val="27"/>
        </w:rPr>
        <w:t>Zanchetti A, Crepaldi G, Bond MG, et al. PHYLLIS Investigators. Different effects of antihypertensive regimens based on fosinopril  or hydrochlorothiazide with or without lipid lowering </w:t>
      </w:r>
      <w:r>
        <w:rPr>
          <w:spacing w:val="-9"/>
          <w:sz w:val="27"/>
        </w:rPr>
        <w:t>by</w:t>
      </w:r>
      <w:r>
        <w:rPr>
          <w:spacing w:val="49"/>
          <w:sz w:val="27"/>
        </w:rPr>
        <w:t> </w:t>
      </w:r>
      <w:r>
        <w:rPr>
          <w:sz w:val="27"/>
        </w:rPr>
        <w:t>pravastatin on progression of asymptomatic  </w:t>
      </w:r>
      <w:r>
        <w:rPr>
          <w:spacing w:val="-3"/>
          <w:sz w:val="27"/>
        </w:rPr>
        <w:t>carotid  </w:t>
      </w:r>
      <w:r>
        <w:rPr>
          <w:sz w:val="27"/>
        </w:rPr>
        <w:t>atherosclerosis: principal results of PHYLLIS–a randomized double-blind trial. Stroke</w:t>
      </w:r>
      <w:r>
        <w:rPr>
          <w:spacing w:val="9"/>
          <w:sz w:val="27"/>
        </w:rPr>
        <w:t> </w:t>
      </w:r>
      <w:r>
        <w:rPr>
          <w:sz w:val="27"/>
        </w:rPr>
        <w:t>2004;35:2807–2812.</w:t>
      </w:r>
    </w:p>
    <w:p>
      <w:pPr>
        <w:pStyle w:val="ListParagraph"/>
        <w:numPr>
          <w:ilvl w:val="0"/>
          <w:numId w:val="12"/>
        </w:numPr>
        <w:tabs>
          <w:tab w:pos="681" w:val="left" w:leader="none"/>
        </w:tabs>
        <w:spacing w:line="256" w:lineRule="auto" w:before="3" w:after="0"/>
        <w:ind w:left="680" w:right="131" w:hanging="571"/>
        <w:jc w:val="both"/>
        <w:rPr>
          <w:sz w:val="27"/>
        </w:rPr>
      </w:pPr>
      <w:r>
        <w:rPr>
          <w:sz w:val="27"/>
        </w:rPr>
        <w:t>Myou S, Fujimura M, Kamio </w:t>
      </w:r>
      <w:r>
        <w:rPr>
          <w:spacing w:val="-12"/>
          <w:sz w:val="27"/>
        </w:rPr>
        <w:t>Y, </w:t>
      </w:r>
      <w:r>
        <w:rPr>
          <w:sz w:val="27"/>
        </w:rPr>
        <w:t>et al.Effect of losartan, a type 1 angiotensin II receptor antagonist, on bronchial hyperresponsiveness to methacholine in patients with bronchial asthma. Am J Respir Crit Care Med</w:t>
      </w:r>
      <w:r>
        <w:rPr>
          <w:spacing w:val="2"/>
          <w:sz w:val="27"/>
        </w:rPr>
        <w:t> </w:t>
      </w:r>
      <w:r>
        <w:rPr>
          <w:sz w:val="27"/>
        </w:rPr>
        <w:t>2000;162:40-4.</w:t>
      </w:r>
    </w:p>
    <w:p>
      <w:pPr>
        <w:pStyle w:val="ListParagraph"/>
        <w:numPr>
          <w:ilvl w:val="0"/>
          <w:numId w:val="12"/>
        </w:numPr>
        <w:tabs>
          <w:tab w:pos="681" w:val="left" w:leader="none"/>
        </w:tabs>
        <w:spacing w:line="256" w:lineRule="auto" w:before="1" w:after="0"/>
        <w:ind w:left="680" w:right="138" w:hanging="571"/>
        <w:jc w:val="both"/>
        <w:rPr>
          <w:sz w:val="27"/>
        </w:rPr>
      </w:pPr>
      <w:r>
        <w:rPr>
          <w:sz w:val="27"/>
        </w:rPr>
        <w:t>Chiu </w:t>
      </w:r>
      <w:r>
        <w:rPr>
          <w:spacing w:val="-10"/>
          <w:sz w:val="27"/>
        </w:rPr>
        <w:t>KY, </w:t>
      </w:r>
      <w:r>
        <w:rPr>
          <w:sz w:val="27"/>
        </w:rPr>
        <w:t>Li JG, Lin </w:t>
      </w:r>
      <w:r>
        <w:rPr>
          <w:spacing w:val="-12"/>
          <w:sz w:val="27"/>
        </w:rPr>
        <w:t>Y. </w:t>
      </w:r>
      <w:r>
        <w:rPr>
          <w:sz w:val="27"/>
        </w:rPr>
        <w:t>Calcium channel blockers for lung function improvement in asthma: A systematic review and meta-analysis. Ann Allergy Asthma Immunol</w:t>
      </w:r>
      <w:r>
        <w:rPr>
          <w:spacing w:val="13"/>
          <w:sz w:val="27"/>
        </w:rPr>
        <w:t> </w:t>
      </w:r>
      <w:r>
        <w:rPr>
          <w:sz w:val="27"/>
        </w:rPr>
        <w:t>2017;119(6):518-523.e3.</w:t>
      </w:r>
    </w:p>
    <w:p>
      <w:pPr>
        <w:pStyle w:val="ListParagraph"/>
        <w:numPr>
          <w:ilvl w:val="0"/>
          <w:numId w:val="12"/>
        </w:numPr>
        <w:tabs>
          <w:tab w:pos="681" w:val="left" w:leader="none"/>
        </w:tabs>
        <w:spacing w:line="256" w:lineRule="auto" w:before="2" w:after="0"/>
        <w:ind w:left="680" w:right="128" w:hanging="571"/>
        <w:jc w:val="both"/>
        <w:rPr>
          <w:sz w:val="27"/>
        </w:rPr>
      </w:pPr>
      <w:r>
        <w:rPr>
          <w:sz w:val="27"/>
        </w:rPr>
        <w:t>Caldeira </w:t>
      </w:r>
      <w:r>
        <w:rPr>
          <w:spacing w:val="-4"/>
          <w:sz w:val="27"/>
        </w:rPr>
        <w:t>D,</w:t>
      </w:r>
      <w:r>
        <w:rPr>
          <w:spacing w:val="59"/>
          <w:sz w:val="27"/>
        </w:rPr>
        <w:t> </w:t>
      </w:r>
      <w:r>
        <w:rPr>
          <w:sz w:val="27"/>
        </w:rPr>
        <w:t>David C, Sampaio C. Tolerability of angiotensin- receptor blockers in patients with intolerance to angiotensinconverting enzyme inhibitors: a systematic review and meta-analysis. Am J Cardiovasc Drugs</w:t>
      </w:r>
      <w:r>
        <w:rPr>
          <w:spacing w:val="5"/>
          <w:sz w:val="27"/>
        </w:rPr>
        <w:t> </w:t>
      </w:r>
      <w:r>
        <w:rPr>
          <w:sz w:val="27"/>
        </w:rPr>
        <w:t>2012;12:263-77.</w:t>
      </w:r>
    </w:p>
    <w:p>
      <w:pPr>
        <w:pStyle w:val="ListParagraph"/>
        <w:numPr>
          <w:ilvl w:val="0"/>
          <w:numId w:val="12"/>
        </w:numPr>
        <w:tabs>
          <w:tab w:pos="681" w:val="left" w:leader="none"/>
        </w:tabs>
        <w:spacing w:line="256" w:lineRule="auto" w:before="1" w:after="0"/>
        <w:ind w:left="680" w:right="131" w:hanging="571"/>
        <w:jc w:val="both"/>
        <w:rPr>
          <w:sz w:val="27"/>
        </w:rPr>
      </w:pPr>
      <w:r>
        <w:rPr>
          <w:w w:val="105"/>
          <w:sz w:val="27"/>
        </w:rPr>
        <w:t>Mortensen</w:t>
      </w:r>
      <w:r>
        <w:rPr>
          <w:spacing w:val="-38"/>
          <w:w w:val="105"/>
          <w:sz w:val="27"/>
        </w:rPr>
        <w:t> </w:t>
      </w:r>
      <w:r>
        <w:rPr>
          <w:w w:val="105"/>
          <w:sz w:val="27"/>
        </w:rPr>
        <w:t>EM,</w:t>
      </w:r>
      <w:r>
        <w:rPr>
          <w:spacing w:val="-37"/>
          <w:w w:val="105"/>
          <w:sz w:val="27"/>
        </w:rPr>
        <w:t> </w:t>
      </w:r>
      <w:r>
        <w:rPr>
          <w:w w:val="105"/>
          <w:sz w:val="27"/>
        </w:rPr>
        <w:t>Copeland</w:t>
      </w:r>
      <w:r>
        <w:rPr>
          <w:spacing w:val="-37"/>
          <w:w w:val="105"/>
          <w:sz w:val="27"/>
        </w:rPr>
        <w:t> </w:t>
      </w:r>
      <w:r>
        <w:rPr>
          <w:w w:val="105"/>
          <w:sz w:val="27"/>
        </w:rPr>
        <w:t>LA,</w:t>
      </w:r>
      <w:r>
        <w:rPr>
          <w:spacing w:val="-38"/>
          <w:w w:val="105"/>
          <w:sz w:val="27"/>
        </w:rPr>
        <w:t> </w:t>
      </w:r>
      <w:r>
        <w:rPr>
          <w:w w:val="105"/>
          <w:sz w:val="27"/>
        </w:rPr>
        <w:t>Pugh</w:t>
      </w:r>
      <w:r>
        <w:rPr>
          <w:spacing w:val="-37"/>
          <w:w w:val="105"/>
          <w:sz w:val="27"/>
        </w:rPr>
        <w:t> </w:t>
      </w:r>
      <w:r>
        <w:rPr>
          <w:spacing w:val="-6"/>
          <w:w w:val="105"/>
          <w:sz w:val="27"/>
        </w:rPr>
        <w:t>MJV,</w:t>
      </w:r>
      <w:r>
        <w:rPr>
          <w:spacing w:val="-37"/>
          <w:w w:val="105"/>
          <w:sz w:val="27"/>
        </w:rPr>
        <w:t> </w:t>
      </w:r>
      <w:r>
        <w:rPr>
          <w:w w:val="105"/>
          <w:sz w:val="27"/>
        </w:rPr>
        <w:t>et</w:t>
      </w:r>
      <w:r>
        <w:rPr>
          <w:spacing w:val="-38"/>
          <w:w w:val="105"/>
          <w:sz w:val="27"/>
        </w:rPr>
        <w:t> </w:t>
      </w:r>
      <w:r>
        <w:rPr>
          <w:w w:val="105"/>
          <w:sz w:val="27"/>
        </w:rPr>
        <w:t>al.</w:t>
      </w:r>
      <w:r>
        <w:rPr>
          <w:spacing w:val="-37"/>
          <w:w w:val="105"/>
          <w:sz w:val="27"/>
        </w:rPr>
        <w:t> </w:t>
      </w:r>
      <w:r>
        <w:rPr>
          <w:w w:val="105"/>
          <w:sz w:val="27"/>
        </w:rPr>
        <w:t>Impact</w:t>
      </w:r>
      <w:r>
        <w:rPr>
          <w:spacing w:val="-37"/>
          <w:w w:val="105"/>
          <w:sz w:val="27"/>
        </w:rPr>
        <w:t> </w:t>
      </w:r>
      <w:r>
        <w:rPr>
          <w:w w:val="105"/>
          <w:sz w:val="27"/>
        </w:rPr>
        <w:t>of</w:t>
      </w:r>
      <w:r>
        <w:rPr>
          <w:spacing w:val="-38"/>
          <w:w w:val="105"/>
          <w:sz w:val="27"/>
        </w:rPr>
        <w:t> </w:t>
      </w:r>
      <w:r>
        <w:rPr>
          <w:w w:val="105"/>
          <w:sz w:val="27"/>
        </w:rPr>
        <w:t>statins</w:t>
      </w:r>
      <w:r>
        <w:rPr>
          <w:spacing w:val="-37"/>
          <w:w w:val="105"/>
          <w:sz w:val="27"/>
        </w:rPr>
        <w:t> </w:t>
      </w:r>
      <w:r>
        <w:rPr>
          <w:w w:val="105"/>
          <w:sz w:val="27"/>
        </w:rPr>
        <w:t>and </w:t>
      </w:r>
      <w:r>
        <w:rPr>
          <w:spacing w:val="-5"/>
          <w:w w:val="105"/>
          <w:sz w:val="27"/>
        </w:rPr>
        <w:t>ACE</w:t>
      </w:r>
      <w:r>
        <w:rPr>
          <w:spacing w:val="-26"/>
          <w:w w:val="105"/>
          <w:sz w:val="27"/>
        </w:rPr>
        <w:t> </w:t>
      </w:r>
      <w:r>
        <w:rPr>
          <w:w w:val="105"/>
          <w:sz w:val="27"/>
        </w:rPr>
        <w:t>inhibitors</w:t>
      </w:r>
      <w:r>
        <w:rPr>
          <w:spacing w:val="-26"/>
          <w:w w:val="105"/>
          <w:sz w:val="27"/>
        </w:rPr>
        <w:t> </w:t>
      </w:r>
      <w:r>
        <w:rPr>
          <w:w w:val="105"/>
          <w:sz w:val="27"/>
        </w:rPr>
        <w:t>on</w:t>
      </w:r>
      <w:r>
        <w:rPr>
          <w:spacing w:val="-26"/>
          <w:w w:val="105"/>
          <w:sz w:val="27"/>
        </w:rPr>
        <w:t> </w:t>
      </w:r>
      <w:r>
        <w:rPr>
          <w:w w:val="105"/>
          <w:sz w:val="27"/>
        </w:rPr>
        <w:t>mortality</w:t>
      </w:r>
      <w:r>
        <w:rPr>
          <w:spacing w:val="-26"/>
          <w:w w:val="105"/>
          <w:sz w:val="27"/>
        </w:rPr>
        <w:t> </w:t>
      </w:r>
      <w:r>
        <w:rPr>
          <w:w w:val="105"/>
          <w:sz w:val="27"/>
        </w:rPr>
        <w:t>after</w:t>
      </w:r>
      <w:r>
        <w:rPr>
          <w:spacing w:val="-26"/>
          <w:w w:val="105"/>
          <w:sz w:val="27"/>
        </w:rPr>
        <w:t> </w:t>
      </w:r>
      <w:r>
        <w:rPr>
          <w:w w:val="105"/>
          <w:sz w:val="27"/>
        </w:rPr>
        <w:t>COPD</w:t>
      </w:r>
      <w:r>
        <w:rPr>
          <w:spacing w:val="-26"/>
          <w:w w:val="105"/>
          <w:sz w:val="27"/>
        </w:rPr>
        <w:t> </w:t>
      </w:r>
      <w:r>
        <w:rPr>
          <w:w w:val="105"/>
          <w:sz w:val="27"/>
        </w:rPr>
        <w:t>exacerbations.</w:t>
      </w:r>
      <w:r>
        <w:rPr>
          <w:spacing w:val="-26"/>
          <w:w w:val="105"/>
          <w:sz w:val="27"/>
        </w:rPr>
        <w:t> </w:t>
      </w:r>
      <w:r>
        <w:rPr>
          <w:w w:val="105"/>
          <w:sz w:val="27"/>
        </w:rPr>
        <w:t>Respir</w:t>
      </w:r>
      <w:r>
        <w:rPr>
          <w:spacing w:val="-25"/>
          <w:w w:val="105"/>
          <w:sz w:val="27"/>
        </w:rPr>
        <w:t> </w:t>
      </w:r>
      <w:r>
        <w:rPr>
          <w:w w:val="105"/>
          <w:sz w:val="27"/>
        </w:rPr>
        <w:t>Res. 2009;10:45.</w:t>
      </w:r>
    </w:p>
    <w:p>
      <w:pPr>
        <w:pStyle w:val="ListParagraph"/>
        <w:numPr>
          <w:ilvl w:val="0"/>
          <w:numId w:val="12"/>
        </w:numPr>
        <w:tabs>
          <w:tab w:pos="681" w:val="left" w:leader="none"/>
        </w:tabs>
        <w:spacing w:line="256" w:lineRule="auto" w:before="1" w:after="0"/>
        <w:ind w:left="680" w:right="139" w:hanging="571"/>
        <w:jc w:val="both"/>
        <w:rPr>
          <w:sz w:val="27"/>
        </w:rPr>
      </w:pPr>
      <w:r>
        <w:rPr>
          <w:sz w:val="27"/>
        </w:rPr>
        <w:t>Shrikrishna </w:t>
      </w:r>
      <w:r>
        <w:rPr>
          <w:spacing w:val="-4"/>
          <w:sz w:val="27"/>
        </w:rPr>
        <w:t>D, </w:t>
      </w:r>
      <w:r>
        <w:rPr>
          <w:sz w:val="27"/>
        </w:rPr>
        <w:t>Astin R, </w:t>
      </w:r>
      <w:r>
        <w:rPr>
          <w:spacing w:val="-4"/>
          <w:sz w:val="27"/>
        </w:rPr>
        <w:t>Kemp </w:t>
      </w:r>
      <w:r>
        <w:rPr>
          <w:sz w:val="27"/>
        </w:rPr>
        <w:t>PR, Hopkinson NS.</w:t>
      </w:r>
      <w:r>
        <w:rPr>
          <w:spacing w:val="-36"/>
          <w:sz w:val="27"/>
        </w:rPr>
        <w:t> </w:t>
      </w:r>
      <w:r>
        <w:rPr>
          <w:sz w:val="27"/>
        </w:rPr>
        <w:t>Renin-angiotensin </w:t>
      </w:r>
      <w:r>
        <w:rPr>
          <w:w w:val="105"/>
          <w:sz w:val="27"/>
        </w:rPr>
        <w:t>system blockade: a novel therapeutic approach in chronic obstructive pulmonary disease. Clin Sci (Lond) 2012;123(8):487– 498.</w:t>
      </w:r>
    </w:p>
    <w:p>
      <w:pPr>
        <w:pStyle w:val="ListParagraph"/>
        <w:numPr>
          <w:ilvl w:val="0"/>
          <w:numId w:val="12"/>
        </w:numPr>
        <w:tabs>
          <w:tab w:pos="681" w:val="left" w:leader="none"/>
        </w:tabs>
        <w:spacing w:line="256" w:lineRule="auto" w:before="2" w:after="0"/>
        <w:ind w:left="680" w:right="133" w:hanging="571"/>
        <w:jc w:val="both"/>
        <w:rPr>
          <w:sz w:val="27"/>
        </w:rPr>
      </w:pPr>
      <w:r>
        <w:rPr>
          <w:sz w:val="27"/>
        </w:rPr>
        <w:t>Tanaka H, </w:t>
      </w:r>
      <w:r>
        <w:rPr>
          <w:spacing w:val="-3"/>
          <w:sz w:val="27"/>
        </w:rPr>
        <w:t>Teramoto </w:t>
      </w:r>
      <w:r>
        <w:rPr>
          <w:sz w:val="27"/>
        </w:rPr>
        <w:t>S, Oashi K, et al. Effects of candesartan on cough and bronchial hyperresponsiveness in mildly to moderately hypertensive patients with symptomatic asthma. Circulation. 2001;104(3):281–285.</w:t>
      </w:r>
    </w:p>
    <w:p>
      <w:pPr>
        <w:pStyle w:val="ListParagraph"/>
        <w:numPr>
          <w:ilvl w:val="0"/>
          <w:numId w:val="12"/>
        </w:numPr>
        <w:tabs>
          <w:tab w:pos="681" w:val="left" w:leader="none"/>
        </w:tabs>
        <w:spacing w:line="256" w:lineRule="auto" w:before="2" w:after="0"/>
        <w:ind w:left="680" w:right="129" w:hanging="571"/>
        <w:jc w:val="both"/>
        <w:rPr>
          <w:sz w:val="27"/>
        </w:rPr>
      </w:pPr>
      <w:r>
        <w:rPr>
          <w:sz w:val="27"/>
        </w:rPr>
        <w:t>Сукмарова З. Н., Литвин А. Ю., Чазова И. Е., Рогоза А. Н. Эффективность комплексной медикаментозной и </w:t>
      </w:r>
      <w:r>
        <w:rPr>
          <w:spacing w:val="-5"/>
          <w:sz w:val="27"/>
        </w:rPr>
        <w:t>CPAP- </w:t>
      </w:r>
      <w:r>
        <w:rPr>
          <w:sz w:val="27"/>
        </w:rPr>
        <w:t>терапии у пациентов с артериальной гипертонией 2–3-й степени и тяжелой степенью синдрома обструктивного апноэ во время сна. ФГУ РКНПК Минздравсоцразвития РФ, Москва. Системные гипертензии, 2011:8(1),</w:t>
      </w:r>
      <w:r>
        <w:rPr>
          <w:spacing w:val="1"/>
          <w:sz w:val="27"/>
        </w:rPr>
        <w:t> </w:t>
      </w:r>
      <w:r>
        <w:rPr>
          <w:sz w:val="27"/>
        </w:rPr>
        <w:t>40.</w:t>
      </w:r>
    </w:p>
    <w:p>
      <w:pPr>
        <w:pStyle w:val="ListParagraph"/>
        <w:numPr>
          <w:ilvl w:val="0"/>
          <w:numId w:val="12"/>
        </w:numPr>
        <w:tabs>
          <w:tab w:pos="681" w:val="left" w:leader="none"/>
        </w:tabs>
        <w:spacing w:line="256" w:lineRule="auto" w:before="2" w:after="0"/>
        <w:ind w:left="680" w:right="129" w:hanging="571"/>
        <w:jc w:val="both"/>
        <w:rPr>
          <w:sz w:val="27"/>
        </w:rPr>
      </w:pPr>
      <w:r>
        <w:rPr>
          <w:sz w:val="27"/>
        </w:rPr>
        <w:t>Kristensen </w:t>
      </w:r>
      <w:r>
        <w:rPr>
          <w:spacing w:val="-3"/>
          <w:sz w:val="27"/>
        </w:rPr>
        <w:t>SD, </w:t>
      </w:r>
      <w:r>
        <w:rPr>
          <w:sz w:val="27"/>
        </w:rPr>
        <w:t>Knuuti J, Saraste A, et al. 2014 ESC/ESAGuidelines on non-cardiac surgery: cardiovascular assessment and management:The Joint </w:t>
      </w:r>
      <w:r>
        <w:rPr>
          <w:spacing w:val="-3"/>
          <w:sz w:val="27"/>
        </w:rPr>
        <w:t>Task </w:t>
      </w:r>
      <w:r>
        <w:rPr>
          <w:sz w:val="27"/>
        </w:rPr>
        <w:t>Force on non-cardiac surgery: cardiovascular assessment andmanagement of the European  Society of Cardiology (ESC) and the EuropeanSociety </w:t>
      </w:r>
      <w:r>
        <w:rPr>
          <w:spacing w:val="-7"/>
          <w:sz w:val="27"/>
        </w:rPr>
        <w:t>of </w:t>
      </w:r>
      <w:r>
        <w:rPr>
          <w:sz w:val="27"/>
        </w:rPr>
        <w:t>Anaesthesiology (ESA). Eur Heart J</w:t>
      </w:r>
      <w:r>
        <w:rPr>
          <w:spacing w:val="19"/>
          <w:sz w:val="27"/>
        </w:rPr>
        <w:t> </w:t>
      </w:r>
      <w:r>
        <w:rPr>
          <w:sz w:val="27"/>
        </w:rPr>
        <w:t>2014;35:2383–2431.</w:t>
      </w:r>
    </w:p>
    <w:p>
      <w:pPr>
        <w:pStyle w:val="ListParagraph"/>
        <w:numPr>
          <w:ilvl w:val="0"/>
          <w:numId w:val="12"/>
        </w:numPr>
        <w:tabs>
          <w:tab w:pos="681" w:val="left" w:leader="none"/>
        </w:tabs>
        <w:spacing w:line="256" w:lineRule="auto" w:before="3" w:after="0"/>
        <w:ind w:left="680" w:right="135" w:hanging="571"/>
        <w:jc w:val="both"/>
        <w:rPr>
          <w:sz w:val="27"/>
        </w:rPr>
      </w:pPr>
      <w:r>
        <w:rPr>
          <w:sz w:val="27"/>
        </w:rPr>
        <w:t>Futier E, Lefrant </w:t>
      </w:r>
      <w:r>
        <w:rPr>
          <w:spacing w:val="-8"/>
          <w:sz w:val="27"/>
        </w:rPr>
        <w:t>JY, </w:t>
      </w:r>
      <w:r>
        <w:rPr>
          <w:sz w:val="27"/>
        </w:rPr>
        <w:t>Guinot </w:t>
      </w:r>
      <w:r>
        <w:rPr>
          <w:spacing w:val="-3"/>
          <w:sz w:val="27"/>
        </w:rPr>
        <w:t>PG </w:t>
      </w:r>
      <w:r>
        <w:rPr>
          <w:sz w:val="27"/>
        </w:rPr>
        <w:t>et al. Effect of individualized vs standardblood pressure management strategies on</w:t>
      </w:r>
      <w:r>
        <w:rPr>
          <w:spacing w:val="41"/>
          <w:sz w:val="27"/>
        </w:rPr>
        <w:t> </w:t>
      </w:r>
      <w:r>
        <w:rPr>
          <w:sz w:val="27"/>
        </w:rPr>
        <w:t>postoperative</w:t>
      </w:r>
    </w:p>
    <w:p>
      <w:pPr>
        <w:spacing w:after="0" w:line="256" w:lineRule="auto"/>
        <w:jc w:val="both"/>
        <w:rPr>
          <w:sz w:val="27"/>
        </w:rPr>
        <w:sectPr>
          <w:pgSz w:w="11900" w:h="16840"/>
          <w:pgMar w:top="0" w:bottom="280" w:left="1420" w:right="1520"/>
        </w:sectPr>
      </w:pPr>
    </w:p>
    <w:p>
      <w:pPr>
        <w:pStyle w:val="BodyText"/>
        <w:spacing w:line="256" w:lineRule="auto" w:before="16"/>
        <w:ind w:right="140"/>
      </w:pPr>
      <w:r>
        <w:rPr/>
        <w:t>organ dysfunctionamong high-risk patients undergoing major surgery: a randomized clinical trial. JAMA 2017;318:1346–1357.</w:t>
      </w:r>
    </w:p>
    <w:p>
      <w:pPr>
        <w:pStyle w:val="ListParagraph"/>
        <w:numPr>
          <w:ilvl w:val="0"/>
          <w:numId w:val="12"/>
        </w:numPr>
        <w:tabs>
          <w:tab w:pos="681" w:val="left" w:leader="none"/>
        </w:tabs>
        <w:spacing w:line="256" w:lineRule="auto" w:before="1" w:after="0"/>
        <w:ind w:left="680" w:right="129" w:hanging="571"/>
        <w:jc w:val="both"/>
        <w:rPr>
          <w:sz w:val="27"/>
        </w:rPr>
      </w:pPr>
      <w:r>
        <w:rPr>
          <w:sz w:val="27"/>
        </w:rPr>
        <w:t>London MJ, Hur K, Schwartz GG, Henderson </w:t>
      </w:r>
      <w:r>
        <w:rPr>
          <w:spacing w:val="-3"/>
          <w:sz w:val="27"/>
        </w:rPr>
        <w:t>WG. </w:t>
      </w:r>
      <w:r>
        <w:rPr>
          <w:sz w:val="27"/>
        </w:rPr>
        <w:t>Association </w:t>
      </w:r>
      <w:r>
        <w:rPr>
          <w:spacing w:val="-6"/>
          <w:sz w:val="27"/>
        </w:rPr>
        <w:t>of </w:t>
      </w:r>
      <w:r>
        <w:rPr>
          <w:sz w:val="27"/>
        </w:rPr>
        <w:t>perioperative beta-blockade with mortality and cardiovascular morbidity following major non-cardiac surgery. JAMA 2013;309:1704–1713.</w:t>
      </w:r>
    </w:p>
    <w:p>
      <w:pPr>
        <w:pStyle w:val="ListParagraph"/>
        <w:numPr>
          <w:ilvl w:val="0"/>
          <w:numId w:val="12"/>
        </w:numPr>
        <w:tabs>
          <w:tab w:pos="681" w:val="left" w:leader="none"/>
        </w:tabs>
        <w:spacing w:line="256" w:lineRule="auto" w:before="2" w:after="0"/>
        <w:ind w:left="680" w:right="129" w:hanging="571"/>
        <w:jc w:val="both"/>
        <w:rPr>
          <w:sz w:val="27"/>
        </w:rPr>
      </w:pPr>
      <w:r>
        <w:rPr>
          <w:sz w:val="27"/>
        </w:rPr>
        <w:t>Andersson C, Merie C, Jorgensen M, et al. Association of </w:t>
      </w:r>
      <w:r>
        <w:rPr>
          <w:spacing w:val="-3"/>
          <w:sz w:val="27"/>
        </w:rPr>
        <w:t>beta- </w:t>
      </w:r>
      <w:r>
        <w:rPr>
          <w:sz w:val="27"/>
        </w:rPr>
        <w:t>blocker therapy with risks of adverse cardiovascular events and deaths in patients with ischemic heart disease undergoing noncardiac surgery: a Danish nationwidecohort study. JAMA Intern Med 2014;174:336–344.</w:t>
      </w:r>
    </w:p>
    <w:p>
      <w:pPr>
        <w:pStyle w:val="ListParagraph"/>
        <w:numPr>
          <w:ilvl w:val="0"/>
          <w:numId w:val="12"/>
        </w:numPr>
        <w:tabs>
          <w:tab w:pos="681" w:val="left" w:leader="none"/>
        </w:tabs>
        <w:spacing w:line="256" w:lineRule="auto" w:before="2" w:after="0"/>
        <w:ind w:left="680" w:right="129" w:hanging="571"/>
        <w:jc w:val="both"/>
        <w:rPr>
          <w:sz w:val="27"/>
        </w:rPr>
      </w:pPr>
      <w:r>
        <w:rPr>
          <w:sz w:val="27"/>
        </w:rPr>
        <w:t>Blessberger H, Kammler J, Domanovits H, et al. Perioperative beta- blockers for preventing surgery-related mortality and morbidity. Cochrane Database Syst </w:t>
      </w:r>
      <w:r>
        <w:rPr>
          <w:spacing w:val="-6"/>
          <w:sz w:val="27"/>
        </w:rPr>
        <w:t>Rev.</w:t>
      </w:r>
      <w:r>
        <w:rPr>
          <w:spacing w:val="2"/>
          <w:sz w:val="27"/>
        </w:rPr>
        <w:t> </w:t>
      </w:r>
      <w:r>
        <w:rPr>
          <w:sz w:val="27"/>
        </w:rPr>
        <w:t>2018;3:CD004476.</w:t>
      </w:r>
    </w:p>
    <w:p>
      <w:pPr>
        <w:pStyle w:val="ListParagraph"/>
        <w:numPr>
          <w:ilvl w:val="0"/>
          <w:numId w:val="12"/>
        </w:numPr>
        <w:tabs>
          <w:tab w:pos="681" w:val="left" w:leader="none"/>
        </w:tabs>
        <w:spacing w:line="256" w:lineRule="auto" w:before="1" w:after="0"/>
        <w:ind w:left="680" w:right="129" w:hanging="571"/>
        <w:jc w:val="both"/>
        <w:rPr>
          <w:sz w:val="27"/>
        </w:rPr>
      </w:pPr>
      <w:r>
        <w:rPr>
          <w:w w:val="105"/>
          <w:sz w:val="27"/>
        </w:rPr>
        <w:t>Lederballe</w:t>
      </w:r>
      <w:r>
        <w:rPr>
          <w:spacing w:val="-21"/>
          <w:w w:val="105"/>
          <w:sz w:val="27"/>
        </w:rPr>
        <w:t> </w:t>
      </w:r>
      <w:r>
        <w:rPr>
          <w:w w:val="105"/>
          <w:sz w:val="27"/>
        </w:rPr>
        <w:t>Pedersen</w:t>
      </w:r>
      <w:r>
        <w:rPr>
          <w:spacing w:val="-20"/>
          <w:w w:val="105"/>
          <w:sz w:val="27"/>
        </w:rPr>
        <w:t> </w:t>
      </w:r>
      <w:r>
        <w:rPr>
          <w:spacing w:val="-4"/>
          <w:w w:val="105"/>
          <w:sz w:val="27"/>
        </w:rPr>
        <w:t>O,</w:t>
      </w:r>
      <w:r>
        <w:rPr>
          <w:spacing w:val="-21"/>
          <w:w w:val="105"/>
          <w:sz w:val="27"/>
        </w:rPr>
        <w:t> </w:t>
      </w:r>
      <w:r>
        <w:rPr>
          <w:w w:val="105"/>
          <w:sz w:val="27"/>
        </w:rPr>
        <w:t>Mikkelsen</w:t>
      </w:r>
      <w:r>
        <w:rPr>
          <w:spacing w:val="-20"/>
          <w:w w:val="105"/>
          <w:sz w:val="27"/>
        </w:rPr>
        <w:t> </w:t>
      </w:r>
      <w:r>
        <w:rPr>
          <w:w w:val="105"/>
          <w:sz w:val="27"/>
        </w:rPr>
        <w:t>E,</w:t>
      </w:r>
      <w:r>
        <w:rPr>
          <w:spacing w:val="-20"/>
          <w:w w:val="105"/>
          <w:sz w:val="27"/>
        </w:rPr>
        <w:t> </w:t>
      </w:r>
      <w:r>
        <w:rPr>
          <w:w w:val="105"/>
          <w:sz w:val="27"/>
        </w:rPr>
        <w:t>Lanng</w:t>
      </w:r>
      <w:r>
        <w:rPr>
          <w:spacing w:val="-21"/>
          <w:w w:val="105"/>
          <w:sz w:val="27"/>
        </w:rPr>
        <w:t> </w:t>
      </w:r>
      <w:r>
        <w:rPr>
          <w:w w:val="105"/>
          <w:sz w:val="27"/>
        </w:rPr>
        <w:t>Nielsen</w:t>
      </w:r>
      <w:r>
        <w:rPr>
          <w:spacing w:val="-20"/>
          <w:w w:val="105"/>
          <w:sz w:val="27"/>
        </w:rPr>
        <w:t> </w:t>
      </w:r>
      <w:r>
        <w:rPr>
          <w:w w:val="105"/>
          <w:sz w:val="27"/>
        </w:rPr>
        <w:t>J,</w:t>
      </w:r>
      <w:r>
        <w:rPr>
          <w:spacing w:val="-20"/>
          <w:w w:val="105"/>
          <w:sz w:val="27"/>
        </w:rPr>
        <w:t> </w:t>
      </w:r>
      <w:r>
        <w:rPr>
          <w:w w:val="105"/>
          <w:sz w:val="27"/>
        </w:rPr>
        <w:t>Christensen NJ. Abrupt withdrawal of beta-blocking agents in patients with arterial hypertension. Effect on blood pressure, heart rate and plasma catecholamines and prolactin. Eur J Clin Pharmacol. 1979 Apr</w:t>
      </w:r>
      <w:r>
        <w:rPr>
          <w:spacing w:val="-6"/>
          <w:w w:val="105"/>
          <w:sz w:val="27"/>
        </w:rPr>
        <w:t> </w:t>
      </w:r>
      <w:r>
        <w:rPr>
          <w:w w:val="105"/>
          <w:sz w:val="27"/>
        </w:rPr>
        <w:t>17;15(3):215-7.</w:t>
      </w:r>
    </w:p>
    <w:p>
      <w:pPr>
        <w:pStyle w:val="ListParagraph"/>
        <w:numPr>
          <w:ilvl w:val="0"/>
          <w:numId w:val="12"/>
        </w:numPr>
        <w:tabs>
          <w:tab w:pos="681" w:val="left" w:leader="none"/>
        </w:tabs>
        <w:spacing w:line="256" w:lineRule="auto" w:before="2" w:after="0"/>
        <w:ind w:left="680" w:right="128" w:hanging="571"/>
        <w:jc w:val="both"/>
        <w:rPr>
          <w:sz w:val="27"/>
        </w:rPr>
      </w:pPr>
      <w:r>
        <w:rPr>
          <w:w w:val="105"/>
          <w:sz w:val="27"/>
        </w:rPr>
        <w:t>Gupta </w:t>
      </w:r>
      <w:r>
        <w:rPr>
          <w:spacing w:val="-17"/>
          <w:w w:val="105"/>
          <w:sz w:val="27"/>
        </w:rPr>
        <w:t>P, </w:t>
      </w:r>
      <w:r>
        <w:rPr>
          <w:w w:val="105"/>
          <w:sz w:val="27"/>
        </w:rPr>
        <w:t>Patel </w:t>
      </w:r>
      <w:r>
        <w:rPr>
          <w:spacing w:val="-17"/>
          <w:w w:val="105"/>
          <w:sz w:val="27"/>
        </w:rPr>
        <w:t>P, </w:t>
      </w:r>
      <w:r>
        <w:rPr>
          <w:w w:val="105"/>
          <w:sz w:val="27"/>
        </w:rPr>
        <w:t>Strauch B et al. Biochemical screening for nonadherence is associated with blood pressure reduction </w:t>
      </w:r>
      <w:r>
        <w:rPr>
          <w:spacing w:val="-4"/>
          <w:w w:val="105"/>
          <w:sz w:val="27"/>
        </w:rPr>
        <w:t>and </w:t>
      </w:r>
      <w:r>
        <w:rPr>
          <w:w w:val="105"/>
          <w:sz w:val="27"/>
        </w:rPr>
        <w:t>improvement</w:t>
      </w:r>
      <w:r>
        <w:rPr>
          <w:spacing w:val="-17"/>
          <w:w w:val="105"/>
          <w:sz w:val="27"/>
        </w:rPr>
        <w:t> </w:t>
      </w:r>
      <w:r>
        <w:rPr>
          <w:w w:val="105"/>
          <w:sz w:val="27"/>
        </w:rPr>
        <w:t>in</w:t>
      </w:r>
      <w:r>
        <w:rPr>
          <w:spacing w:val="-16"/>
          <w:w w:val="105"/>
          <w:sz w:val="27"/>
        </w:rPr>
        <w:t> </w:t>
      </w:r>
      <w:r>
        <w:rPr>
          <w:w w:val="105"/>
          <w:sz w:val="27"/>
        </w:rPr>
        <w:t>adherence.</w:t>
      </w:r>
      <w:r>
        <w:rPr>
          <w:spacing w:val="-16"/>
          <w:w w:val="105"/>
          <w:sz w:val="27"/>
        </w:rPr>
        <w:t> </w:t>
      </w:r>
      <w:r>
        <w:rPr>
          <w:w w:val="105"/>
          <w:sz w:val="27"/>
        </w:rPr>
        <w:t>Hypertension</w:t>
      </w:r>
      <w:r>
        <w:rPr>
          <w:spacing w:val="-16"/>
          <w:w w:val="105"/>
          <w:sz w:val="27"/>
        </w:rPr>
        <w:t> </w:t>
      </w:r>
      <w:r>
        <w:rPr>
          <w:w w:val="105"/>
          <w:sz w:val="27"/>
        </w:rPr>
        <w:t>2017;70:1042–1048.</w:t>
      </w:r>
    </w:p>
    <w:p>
      <w:pPr>
        <w:pStyle w:val="ListParagraph"/>
        <w:numPr>
          <w:ilvl w:val="0"/>
          <w:numId w:val="12"/>
        </w:numPr>
        <w:tabs>
          <w:tab w:pos="681" w:val="left" w:leader="none"/>
        </w:tabs>
        <w:spacing w:line="256" w:lineRule="auto" w:before="1" w:after="0"/>
        <w:ind w:left="680" w:right="139" w:hanging="571"/>
        <w:jc w:val="both"/>
        <w:rPr>
          <w:sz w:val="27"/>
        </w:rPr>
      </w:pPr>
      <w:r>
        <w:rPr>
          <w:sz w:val="27"/>
        </w:rPr>
        <w:t>Noubiap JJ, Nansseu JR, Nyaga UF et al. Global prevalence </w:t>
      </w:r>
      <w:r>
        <w:rPr>
          <w:spacing w:val="-6"/>
          <w:sz w:val="27"/>
        </w:rPr>
        <w:t>of </w:t>
      </w:r>
      <w:r>
        <w:rPr>
          <w:sz w:val="27"/>
        </w:rPr>
        <w:t>resistant hypertension: a meta-analysis of data from 3.2 million patients Heart</w:t>
      </w:r>
      <w:r>
        <w:rPr>
          <w:spacing w:val="2"/>
          <w:sz w:val="27"/>
        </w:rPr>
        <w:t> </w:t>
      </w:r>
      <w:r>
        <w:rPr>
          <w:sz w:val="27"/>
        </w:rPr>
        <w:t>2019;105:98–105.</w:t>
      </w:r>
    </w:p>
    <w:p>
      <w:pPr>
        <w:pStyle w:val="ListParagraph"/>
        <w:numPr>
          <w:ilvl w:val="0"/>
          <w:numId w:val="12"/>
        </w:numPr>
        <w:tabs>
          <w:tab w:pos="681" w:val="left" w:leader="none"/>
        </w:tabs>
        <w:spacing w:line="256" w:lineRule="auto" w:before="1" w:after="0"/>
        <w:ind w:left="680" w:right="131" w:hanging="571"/>
        <w:jc w:val="both"/>
        <w:rPr>
          <w:sz w:val="27"/>
        </w:rPr>
      </w:pPr>
      <w:r>
        <w:rPr>
          <w:w w:val="105"/>
          <w:sz w:val="27"/>
        </w:rPr>
        <w:t>Pimenta E, Gaddam KK, Oparil S, et al. Effects of dietary sodium reduction</w:t>
      </w:r>
      <w:r>
        <w:rPr>
          <w:spacing w:val="-41"/>
          <w:w w:val="105"/>
          <w:sz w:val="27"/>
        </w:rPr>
        <w:t> </w:t>
      </w:r>
      <w:r>
        <w:rPr>
          <w:w w:val="105"/>
          <w:sz w:val="27"/>
        </w:rPr>
        <w:t>on</w:t>
      </w:r>
      <w:r>
        <w:rPr>
          <w:spacing w:val="-41"/>
          <w:w w:val="105"/>
          <w:sz w:val="27"/>
        </w:rPr>
        <w:t> </w:t>
      </w:r>
      <w:r>
        <w:rPr>
          <w:w w:val="105"/>
          <w:sz w:val="27"/>
        </w:rPr>
        <w:t>blood</w:t>
      </w:r>
      <w:r>
        <w:rPr>
          <w:spacing w:val="-41"/>
          <w:w w:val="105"/>
          <w:sz w:val="27"/>
        </w:rPr>
        <w:t> </w:t>
      </w:r>
      <w:r>
        <w:rPr>
          <w:w w:val="105"/>
          <w:sz w:val="27"/>
        </w:rPr>
        <w:t>pressure</w:t>
      </w:r>
      <w:r>
        <w:rPr>
          <w:spacing w:val="-41"/>
          <w:w w:val="105"/>
          <w:sz w:val="27"/>
        </w:rPr>
        <w:t> </w:t>
      </w:r>
      <w:r>
        <w:rPr>
          <w:w w:val="105"/>
          <w:sz w:val="27"/>
        </w:rPr>
        <w:t>in</w:t>
      </w:r>
      <w:r>
        <w:rPr>
          <w:spacing w:val="-41"/>
          <w:w w:val="105"/>
          <w:sz w:val="27"/>
        </w:rPr>
        <w:t> </w:t>
      </w:r>
      <w:r>
        <w:rPr>
          <w:w w:val="105"/>
          <w:sz w:val="27"/>
        </w:rPr>
        <w:t>subjects</w:t>
      </w:r>
      <w:r>
        <w:rPr>
          <w:spacing w:val="-40"/>
          <w:w w:val="105"/>
          <w:sz w:val="27"/>
        </w:rPr>
        <w:t> </w:t>
      </w:r>
      <w:r>
        <w:rPr>
          <w:w w:val="105"/>
          <w:sz w:val="27"/>
        </w:rPr>
        <w:t>with</w:t>
      </w:r>
      <w:r>
        <w:rPr>
          <w:spacing w:val="-41"/>
          <w:w w:val="105"/>
          <w:sz w:val="27"/>
        </w:rPr>
        <w:t> </w:t>
      </w:r>
      <w:r>
        <w:rPr>
          <w:w w:val="105"/>
          <w:sz w:val="27"/>
        </w:rPr>
        <w:t>resistanthypertension: results</w:t>
      </w:r>
      <w:r>
        <w:rPr>
          <w:spacing w:val="-19"/>
          <w:w w:val="105"/>
          <w:sz w:val="27"/>
        </w:rPr>
        <w:t> </w:t>
      </w:r>
      <w:r>
        <w:rPr>
          <w:w w:val="105"/>
          <w:sz w:val="27"/>
        </w:rPr>
        <w:t>from</w:t>
      </w:r>
      <w:r>
        <w:rPr>
          <w:spacing w:val="-19"/>
          <w:w w:val="105"/>
          <w:sz w:val="27"/>
        </w:rPr>
        <w:t> </w:t>
      </w:r>
      <w:r>
        <w:rPr>
          <w:w w:val="105"/>
          <w:sz w:val="27"/>
        </w:rPr>
        <w:t>a</w:t>
      </w:r>
      <w:r>
        <w:rPr>
          <w:spacing w:val="-19"/>
          <w:w w:val="105"/>
          <w:sz w:val="27"/>
        </w:rPr>
        <w:t> </w:t>
      </w:r>
      <w:r>
        <w:rPr>
          <w:w w:val="105"/>
          <w:sz w:val="27"/>
        </w:rPr>
        <w:t>randomized</w:t>
      </w:r>
      <w:r>
        <w:rPr>
          <w:spacing w:val="-19"/>
          <w:w w:val="105"/>
          <w:sz w:val="27"/>
        </w:rPr>
        <w:t> </w:t>
      </w:r>
      <w:r>
        <w:rPr>
          <w:w w:val="105"/>
          <w:sz w:val="27"/>
        </w:rPr>
        <w:t>trial.</w:t>
      </w:r>
      <w:r>
        <w:rPr>
          <w:spacing w:val="-19"/>
          <w:w w:val="105"/>
          <w:sz w:val="27"/>
        </w:rPr>
        <w:t> </w:t>
      </w:r>
      <w:r>
        <w:rPr>
          <w:w w:val="105"/>
          <w:sz w:val="27"/>
        </w:rPr>
        <w:t>Hypertension</w:t>
      </w:r>
      <w:r>
        <w:rPr>
          <w:spacing w:val="-19"/>
          <w:w w:val="105"/>
          <w:sz w:val="27"/>
        </w:rPr>
        <w:t> </w:t>
      </w:r>
      <w:r>
        <w:rPr>
          <w:w w:val="105"/>
          <w:sz w:val="27"/>
        </w:rPr>
        <w:t>2009;54:475–481.</w:t>
      </w:r>
    </w:p>
    <w:p>
      <w:pPr>
        <w:pStyle w:val="ListParagraph"/>
        <w:numPr>
          <w:ilvl w:val="0"/>
          <w:numId w:val="12"/>
        </w:numPr>
        <w:tabs>
          <w:tab w:pos="681" w:val="left" w:leader="none"/>
        </w:tabs>
        <w:spacing w:line="256" w:lineRule="auto" w:before="2" w:after="0"/>
        <w:ind w:left="680" w:right="139" w:hanging="571"/>
        <w:jc w:val="both"/>
        <w:rPr>
          <w:sz w:val="27"/>
        </w:rPr>
      </w:pPr>
      <w:r>
        <w:rPr>
          <w:w w:val="105"/>
          <w:sz w:val="27"/>
        </w:rPr>
        <w:t>Liu L, Xu B, Ju </w:t>
      </w:r>
      <w:r>
        <w:rPr>
          <w:spacing w:val="-12"/>
          <w:w w:val="105"/>
          <w:sz w:val="27"/>
        </w:rPr>
        <w:t>Y. </w:t>
      </w:r>
      <w:r>
        <w:rPr>
          <w:w w:val="105"/>
          <w:sz w:val="27"/>
        </w:rPr>
        <w:t>Addition of spironolactone in patients with resistant hypertension: a meta-analysis of randomized </w:t>
      </w:r>
      <w:r>
        <w:rPr>
          <w:spacing w:val="-3"/>
          <w:w w:val="105"/>
          <w:sz w:val="27"/>
        </w:rPr>
        <w:t>controlled </w:t>
      </w:r>
      <w:r>
        <w:rPr>
          <w:w w:val="105"/>
          <w:sz w:val="27"/>
        </w:rPr>
        <w:t>trials. Clin Exp</w:t>
      </w:r>
      <w:r>
        <w:rPr>
          <w:spacing w:val="-22"/>
          <w:w w:val="105"/>
          <w:sz w:val="27"/>
        </w:rPr>
        <w:t> </w:t>
      </w:r>
      <w:r>
        <w:rPr>
          <w:w w:val="105"/>
          <w:sz w:val="27"/>
        </w:rPr>
        <w:t>Hypertens.2017;39:257–263.</w:t>
      </w:r>
    </w:p>
    <w:p>
      <w:pPr>
        <w:pStyle w:val="ListParagraph"/>
        <w:numPr>
          <w:ilvl w:val="0"/>
          <w:numId w:val="12"/>
        </w:numPr>
        <w:tabs>
          <w:tab w:pos="681" w:val="left" w:leader="none"/>
        </w:tabs>
        <w:spacing w:line="256" w:lineRule="auto" w:before="1" w:after="0"/>
        <w:ind w:left="680" w:right="133" w:hanging="571"/>
        <w:jc w:val="both"/>
        <w:rPr>
          <w:sz w:val="27"/>
        </w:rPr>
      </w:pPr>
      <w:r>
        <w:rPr>
          <w:spacing w:val="-5"/>
          <w:sz w:val="27"/>
        </w:rPr>
        <w:t>Wang </w:t>
      </w:r>
      <w:r>
        <w:rPr>
          <w:sz w:val="27"/>
        </w:rPr>
        <w:t>C, Xiong B, Huang J. Efﬁcacy and safety of spironolactone in patientswith resistant hypertension: a meta-analysis of randomised controlled trials.Heart Lung Circ</w:t>
      </w:r>
      <w:r>
        <w:rPr>
          <w:spacing w:val="17"/>
          <w:sz w:val="27"/>
        </w:rPr>
        <w:t> </w:t>
      </w:r>
      <w:r>
        <w:rPr>
          <w:sz w:val="27"/>
        </w:rPr>
        <w:t>2016;25:1021–1030.</w:t>
      </w:r>
    </w:p>
    <w:p>
      <w:pPr>
        <w:pStyle w:val="ListParagraph"/>
        <w:numPr>
          <w:ilvl w:val="0"/>
          <w:numId w:val="12"/>
        </w:numPr>
        <w:tabs>
          <w:tab w:pos="681" w:val="left" w:leader="none"/>
        </w:tabs>
        <w:spacing w:line="256" w:lineRule="auto" w:before="1" w:after="0"/>
        <w:ind w:left="680" w:right="133" w:hanging="571"/>
        <w:jc w:val="both"/>
        <w:rPr>
          <w:sz w:val="27"/>
        </w:rPr>
      </w:pPr>
      <w:r>
        <w:rPr>
          <w:sz w:val="27"/>
        </w:rPr>
        <w:t>Huang </w:t>
      </w:r>
      <w:r>
        <w:rPr>
          <w:spacing w:val="-12"/>
          <w:sz w:val="27"/>
        </w:rPr>
        <w:t>Y, </w:t>
      </w:r>
      <w:r>
        <w:rPr>
          <w:sz w:val="27"/>
        </w:rPr>
        <w:t>Huang </w:t>
      </w:r>
      <w:r>
        <w:rPr>
          <w:spacing w:val="-9"/>
          <w:sz w:val="27"/>
        </w:rPr>
        <w:t>W, </w:t>
      </w:r>
      <w:r>
        <w:rPr>
          <w:sz w:val="27"/>
        </w:rPr>
        <w:t>Mai </w:t>
      </w:r>
      <w:r>
        <w:rPr>
          <w:spacing w:val="-9"/>
          <w:sz w:val="27"/>
        </w:rPr>
        <w:t>W, </w:t>
      </w:r>
      <w:r>
        <w:rPr>
          <w:sz w:val="27"/>
        </w:rPr>
        <w:t>et al. White-coat hypertension is a risk factor for cardiovascular diseases and total mortality. J Hypertens 2017;35:677–688.</w:t>
      </w:r>
    </w:p>
    <w:p>
      <w:pPr>
        <w:pStyle w:val="ListParagraph"/>
        <w:numPr>
          <w:ilvl w:val="0"/>
          <w:numId w:val="12"/>
        </w:numPr>
        <w:tabs>
          <w:tab w:pos="681" w:val="left" w:leader="none"/>
        </w:tabs>
        <w:spacing w:line="256" w:lineRule="auto" w:before="1" w:after="0"/>
        <w:ind w:left="680" w:right="136" w:hanging="571"/>
        <w:jc w:val="both"/>
        <w:rPr>
          <w:sz w:val="27"/>
        </w:rPr>
      </w:pPr>
      <w:r>
        <w:rPr>
          <w:w w:val="105"/>
          <w:sz w:val="27"/>
        </w:rPr>
        <w:t>Briasoulis</w:t>
      </w:r>
      <w:r>
        <w:rPr>
          <w:spacing w:val="-41"/>
          <w:w w:val="105"/>
          <w:sz w:val="27"/>
        </w:rPr>
        <w:t> </w:t>
      </w:r>
      <w:r>
        <w:rPr>
          <w:w w:val="105"/>
          <w:sz w:val="27"/>
        </w:rPr>
        <w:t>A,</w:t>
      </w:r>
      <w:r>
        <w:rPr>
          <w:spacing w:val="-40"/>
          <w:w w:val="105"/>
          <w:sz w:val="27"/>
        </w:rPr>
        <w:t> </w:t>
      </w:r>
      <w:r>
        <w:rPr>
          <w:w w:val="105"/>
          <w:sz w:val="27"/>
        </w:rPr>
        <w:t>Androulakis</w:t>
      </w:r>
      <w:r>
        <w:rPr>
          <w:spacing w:val="-41"/>
          <w:w w:val="105"/>
          <w:sz w:val="27"/>
        </w:rPr>
        <w:t> </w:t>
      </w:r>
      <w:r>
        <w:rPr>
          <w:w w:val="105"/>
          <w:sz w:val="27"/>
        </w:rPr>
        <w:t>E,</w:t>
      </w:r>
      <w:r>
        <w:rPr>
          <w:spacing w:val="-40"/>
          <w:w w:val="105"/>
          <w:sz w:val="27"/>
        </w:rPr>
        <w:t> </w:t>
      </w:r>
      <w:r>
        <w:rPr>
          <w:w w:val="105"/>
          <w:sz w:val="27"/>
        </w:rPr>
        <w:t>Palla</w:t>
      </w:r>
      <w:r>
        <w:rPr>
          <w:spacing w:val="-40"/>
          <w:w w:val="105"/>
          <w:sz w:val="27"/>
        </w:rPr>
        <w:t> </w:t>
      </w:r>
      <w:r>
        <w:rPr>
          <w:w w:val="105"/>
          <w:sz w:val="27"/>
        </w:rPr>
        <w:t>M,</w:t>
      </w:r>
      <w:r>
        <w:rPr>
          <w:spacing w:val="-41"/>
          <w:w w:val="105"/>
          <w:sz w:val="27"/>
        </w:rPr>
        <w:t> </w:t>
      </w:r>
      <w:r>
        <w:rPr>
          <w:w w:val="105"/>
          <w:sz w:val="27"/>
        </w:rPr>
        <w:t>et</w:t>
      </w:r>
      <w:r>
        <w:rPr>
          <w:spacing w:val="-40"/>
          <w:w w:val="105"/>
          <w:sz w:val="27"/>
        </w:rPr>
        <w:t> </w:t>
      </w:r>
      <w:r>
        <w:rPr>
          <w:w w:val="105"/>
          <w:sz w:val="27"/>
        </w:rPr>
        <w:t>al.</w:t>
      </w:r>
      <w:r>
        <w:rPr>
          <w:spacing w:val="-40"/>
          <w:w w:val="105"/>
          <w:sz w:val="27"/>
        </w:rPr>
        <w:t> </w:t>
      </w:r>
      <w:r>
        <w:rPr>
          <w:w w:val="105"/>
          <w:sz w:val="27"/>
        </w:rPr>
        <w:t>White-coat</w:t>
      </w:r>
      <w:r>
        <w:rPr>
          <w:spacing w:val="-41"/>
          <w:w w:val="105"/>
          <w:sz w:val="27"/>
        </w:rPr>
        <w:t> </w:t>
      </w:r>
      <w:r>
        <w:rPr>
          <w:w w:val="105"/>
          <w:sz w:val="27"/>
        </w:rPr>
        <w:t>hypertension and cardiovascular events: a meta-analysis. J Hypertens 2016;34:593–599.</w:t>
      </w:r>
    </w:p>
    <w:p>
      <w:pPr>
        <w:pStyle w:val="ListParagraph"/>
        <w:numPr>
          <w:ilvl w:val="0"/>
          <w:numId w:val="12"/>
        </w:numPr>
        <w:tabs>
          <w:tab w:pos="681" w:val="left" w:leader="none"/>
        </w:tabs>
        <w:spacing w:line="256" w:lineRule="auto" w:before="1" w:after="0"/>
        <w:ind w:left="680" w:right="129" w:hanging="571"/>
        <w:jc w:val="both"/>
        <w:rPr>
          <w:sz w:val="27"/>
        </w:rPr>
      </w:pPr>
      <w:r>
        <w:rPr>
          <w:sz w:val="27"/>
        </w:rPr>
        <w:t>Grassi G, Seravalle G, Trevano </w:t>
      </w:r>
      <w:r>
        <w:rPr>
          <w:spacing w:val="-3"/>
          <w:sz w:val="27"/>
        </w:rPr>
        <w:t>FQ, </w:t>
      </w:r>
      <w:r>
        <w:rPr>
          <w:sz w:val="27"/>
        </w:rPr>
        <w:t>et al. Neurogenic abnormalities in masked hypertension. Hypertension</w:t>
      </w:r>
      <w:r>
        <w:rPr>
          <w:spacing w:val="19"/>
          <w:sz w:val="27"/>
        </w:rPr>
        <w:t> </w:t>
      </w:r>
      <w:r>
        <w:rPr>
          <w:sz w:val="27"/>
        </w:rPr>
        <w:t>2007;50:537–542.</w:t>
      </w:r>
    </w:p>
    <w:p>
      <w:pPr>
        <w:spacing w:after="0" w:line="256" w:lineRule="auto"/>
        <w:jc w:val="both"/>
        <w:rPr>
          <w:sz w:val="27"/>
        </w:rPr>
        <w:sectPr>
          <w:pgSz w:w="11900" w:h="16840"/>
          <w:pgMar w:top="0" w:bottom="280" w:left="1420" w:right="1520"/>
        </w:sectPr>
      </w:pPr>
    </w:p>
    <w:p>
      <w:pPr>
        <w:pStyle w:val="ListParagraph"/>
        <w:numPr>
          <w:ilvl w:val="0"/>
          <w:numId w:val="12"/>
        </w:numPr>
        <w:tabs>
          <w:tab w:pos="681" w:val="left" w:leader="none"/>
        </w:tabs>
        <w:spacing w:line="256" w:lineRule="auto" w:before="16" w:after="0"/>
        <w:ind w:left="680" w:right="138" w:hanging="571"/>
        <w:jc w:val="both"/>
        <w:rPr>
          <w:sz w:val="27"/>
        </w:rPr>
      </w:pPr>
      <w:r>
        <w:rPr>
          <w:sz w:val="27"/>
        </w:rPr>
        <w:t>Banegas JR, Ruilope LM, de la Sierra A, et al. Relationship between clinic and ambulatory blood-pressure measurements and mortality. N Engl J Med</w:t>
      </w:r>
      <w:r>
        <w:rPr>
          <w:spacing w:val="1"/>
          <w:sz w:val="27"/>
        </w:rPr>
        <w:t> </w:t>
      </w:r>
      <w:r>
        <w:rPr>
          <w:sz w:val="27"/>
        </w:rPr>
        <w:t>2018;378:1509–1520.</w:t>
      </w:r>
    </w:p>
    <w:p>
      <w:pPr>
        <w:pStyle w:val="ListParagraph"/>
        <w:numPr>
          <w:ilvl w:val="0"/>
          <w:numId w:val="12"/>
        </w:numPr>
        <w:tabs>
          <w:tab w:pos="681" w:val="left" w:leader="none"/>
        </w:tabs>
        <w:spacing w:line="256" w:lineRule="auto" w:before="2" w:after="0"/>
        <w:ind w:left="680" w:right="134" w:hanging="571"/>
        <w:jc w:val="both"/>
        <w:rPr>
          <w:sz w:val="27"/>
        </w:rPr>
      </w:pPr>
      <w:r>
        <w:rPr>
          <w:sz w:val="27"/>
        </w:rPr>
        <w:t>Cuspidi C, Rescaldani M, Tadic M, et al. White-coat hypertension, as deﬁned </w:t>
      </w:r>
      <w:r>
        <w:rPr>
          <w:spacing w:val="-3"/>
          <w:sz w:val="27"/>
        </w:rPr>
        <w:t>by </w:t>
      </w:r>
      <w:r>
        <w:rPr>
          <w:sz w:val="27"/>
        </w:rPr>
        <w:t>ambulatory blood pressure monitoring, </w:t>
      </w:r>
      <w:r>
        <w:rPr>
          <w:spacing w:val="-5"/>
          <w:sz w:val="27"/>
        </w:rPr>
        <w:t>and </w:t>
      </w:r>
      <w:r>
        <w:rPr>
          <w:sz w:val="27"/>
        </w:rPr>
        <w:t>subclinical cardiac organ damage: a meta-analysis. J Hypertens 2015;33:24–32.</w:t>
      </w:r>
    </w:p>
    <w:p>
      <w:pPr>
        <w:pStyle w:val="ListParagraph"/>
        <w:numPr>
          <w:ilvl w:val="0"/>
          <w:numId w:val="12"/>
        </w:numPr>
        <w:tabs>
          <w:tab w:pos="681" w:val="left" w:leader="none"/>
        </w:tabs>
        <w:spacing w:line="256" w:lineRule="auto" w:before="1" w:after="0"/>
        <w:ind w:left="680" w:right="135" w:hanging="571"/>
        <w:jc w:val="both"/>
        <w:rPr>
          <w:sz w:val="27"/>
        </w:rPr>
      </w:pPr>
      <w:r>
        <w:rPr>
          <w:w w:val="105"/>
          <w:sz w:val="27"/>
        </w:rPr>
        <w:t>Mancia</w:t>
      </w:r>
      <w:r>
        <w:rPr>
          <w:spacing w:val="-7"/>
          <w:w w:val="105"/>
          <w:sz w:val="27"/>
        </w:rPr>
        <w:t> </w:t>
      </w:r>
      <w:r>
        <w:rPr>
          <w:w w:val="105"/>
          <w:sz w:val="27"/>
        </w:rPr>
        <w:t>G,</w:t>
      </w:r>
      <w:r>
        <w:rPr>
          <w:spacing w:val="-7"/>
          <w:w w:val="105"/>
          <w:sz w:val="27"/>
        </w:rPr>
        <w:t> </w:t>
      </w:r>
      <w:r>
        <w:rPr>
          <w:w w:val="105"/>
          <w:sz w:val="27"/>
        </w:rPr>
        <w:t>Bombelli</w:t>
      </w:r>
      <w:r>
        <w:rPr>
          <w:spacing w:val="-7"/>
          <w:w w:val="105"/>
          <w:sz w:val="27"/>
        </w:rPr>
        <w:t> </w:t>
      </w:r>
      <w:r>
        <w:rPr>
          <w:w w:val="105"/>
          <w:sz w:val="27"/>
        </w:rPr>
        <w:t>M,</w:t>
      </w:r>
      <w:r>
        <w:rPr>
          <w:spacing w:val="-7"/>
          <w:w w:val="105"/>
          <w:sz w:val="27"/>
        </w:rPr>
        <w:t> </w:t>
      </w:r>
      <w:r>
        <w:rPr>
          <w:w w:val="105"/>
          <w:sz w:val="27"/>
        </w:rPr>
        <w:t>Facchetti</w:t>
      </w:r>
      <w:r>
        <w:rPr>
          <w:spacing w:val="-7"/>
          <w:w w:val="105"/>
          <w:sz w:val="27"/>
        </w:rPr>
        <w:t> </w:t>
      </w:r>
      <w:r>
        <w:rPr>
          <w:w w:val="105"/>
          <w:sz w:val="27"/>
        </w:rPr>
        <w:t>R,</w:t>
      </w:r>
      <w:r>
        <w:rPr>
          <w:spacing w:val="-7"/>
          <w:w w:val="105"/>
          <w:sz w:val="27"/>
        </w:rPr>
        <w:t> </w:t>
      </w:r>
      <w:r>
        <w:rPr>
          <w:w w:val="105"/>
          <w:sz w:val="27"/>
        </w:rPr>
        <w:t>et</w:t>
      </w:r>
      <w:r>
        <w:rPr>
          <w:spacing w:val="-7"/>
          <w:w w:val="105"/>
          <w:sz w:val="27"/>
        </w:rPr>
        <w:t> </w:t>
      </w:r>
      <w:r>
        <w:rPr>
          <w:w w:val="105"/>
          <w:sz w:val="27"/>
        </w:rPr>
        <w:t>al.</w:t>
      </w:r>
      <w:r>
        <w:rPr>
          <w:spacing w:val="-7"/>
          <w:w w:val="105"/>
          <w:sz w:val="27"/>
        </w:rPr>
        <w:t> </w:t>
      </w:r>
      <w:r>
        <w:rPr>
          <w:w w:val="105"/>
          <w:sz w:val="27"/>
        </w:rPr>
        <w:t>Increased</w:t>
      </w:r>
      <w:r>
        <w:rPr>
          <w:spacing w:val="-6"/>
          <w:w w:val="105"/>
          <w:sz w:val="27"/>
        </w:rPr>
        <w:t> </w:t>
      </w:r>
      <w:r>
        <w:rPr>
          <w:w w:val="105"/>
          <w:sz w:val="27"/>
        </w:rPr>
        <w:t>long-term</w:t>
      </w:r>
      <w:r>
        <w:rPr>
          <w:spacing w:val="-7"/>
          <w:w w:val="105"/>
          <w:sz w:val="27"/>
        </w:rPr>
        <w:t> </w:t>
      </w:r>
      <w:r>
        <w:rPr>
          <w:w w:val="105"/>
          <w:sz w:val="27"/>
        </w:rPr>
        <w:t>risk of new-onset diabetes mellitus in white-coat and </w:t>
      </w:r>
      <w:r>
        <w:rPr>
          <w:spacing w:val="-3"/>
          <w:w w:val="105"/>
          <w:sz w:val="27"/>
        </w:rPr>
        <w:t>masked </w:t>
      </w:r>
      <w:r>
        <w:rPr>
          <w:w w:val="105"/>
          <w:sz w:val="27"/>
        </w:rPr>
        <w:t>hypertension. J Hypertens</w:t>
      </w:r>
      <w:r>
        <w:rPr>
          <w:spacing w:val="-20"/>
          <w:w w:val="105"/>
          <w:sz w:val="27"/>
        </w:rPr>
        <w:t> </w:t>
      </w:r>
      <w:r>
        <w:rPr>
          <w:w w:val="105"/>
          <w:sz w:val="27"/>
        </w:rPr>
        <w:t>2009;27:1672–1678.</w:t>
      </w:r>
    </w:p>
    <w:p>
      <w:pPr>
        <w:pStyle w:val="ListParagraph"/>
        <w:numPr>
          <w:ilvl w:val="0"/>
          <w:numId w:val="12"/>
        </w:numPr>
        <w:tabs>
          <w:tab w:pos="681" w:val="left" w:leader="none"/>
        </w:tabs>
        <w:spacing w:line="256" w:lineRule="auto" w:before="1" w:after="0"/>
        <w:ind w:left="680" w:right="128" w:hanging="571"/>
        <w:jc w:val="both"/>
        <w:rPr>
          <w:sz w:val="27"/>
        </w:rPr>
      </w:pPr>
      <w:r>
        <w:rPr>
          <w:sz w:val="27"/>
        </w:rPr>
        <w:t>Tientcheu </w:t>
      </w:r>
      <w:r>
        <w:rPr>
          <w:spacing w:val="-4"/>
          <w:sz w:val="27"/>
        </w:rPr>
        <w:t>D, </w:t>
      </w:r>
      <w:r>
        <w:rPr>
          <w:spacing w:val="-5"/>
          <w:sz w:val="27"/>
        </w:rPr>
        <w:t>Ayers </w:t>
      </w:r>
      <w:r>
        <w:rPr>
          <w:sz w:val="27"/>
        </w:rPr>
        <w:t>C, Das SR, et al. Target organ complications and cardiovascular events associated with masked hypertension and white-coat hypertension: analysis from the Dallas Heart Study. J  Am Coll Cardiol 2015;66:2159–2169.</w:t>
      </w:r>
    </w:p>
    <w:p>
      <w:pPr>
        <w:pStyle w:val="ListParagraph"/>
        <w:numPr>
          <w:ilvl w:val="0"/>
          <w:numId w:val="12"/>
        </w:numPr>
        <w:tabs>
          <w:tab w:pos="681" w:val="left" w:leader="none"/>
        </w:tabs>
        <w:spacing w:line="256" w:lineRule="auto" w:before="2" w:after="0"/>
        <w:ind w:left="680" w:right="132" w:hanging="571"/>
        <w:jc w:val="both"/>
        <w:rPr>
          <w:sz w:val="27"/>
        </w:rPr>
      </w:pPr>
      <w:r>
        <w:rPr>
          <w:w w:val="105"/>
          <w:sz w:val="27"/>
        </w:rPr>
        <w:t>Mancia G, Bombelli M, Facchetti R, et al. Long-term risk of sustained hypertension in white-coat or masked hypertension. Hypertension</w:t>
      </w:r>
      <w:r>
        <w:rPr>
          <w:spacing w:val="-6"/>
          <w:w w:val="105"/>
          <w:sz w:val="27"/>
        </w:rPr>
        <w:t> </w:t>
      </w:r>
      <w:r>
        <w:rPr>
          <w:w w:val="105"/>
          <w:sz w:val="27"/>
        </w:rPr>
        <w:t>2009;54:226–232.</w:t>
      </w:r>
    </w:p>
    <w:p>
      <w:pPr>
        <w:pStyle w:val="ListParagraph"/>
        <w:numPr>
          <w:ilvl w:val="0"/>
          <w:numId w:val="12"/>
        </w:numPr>
        <w:tabs>
          <w:tab w:pos="681" w:val="left" w:leader="none"/>
        </w:tabs>
        <w:spacing w:line="256" w:lineRule="auto" w:before="1" w:after="0"/>
        <w:ind w:left="680" w:right="131" w:hanging="571"/>
        <w:jc w:val="both"/>
        <w:rPr>
          <w:sz w:val="27"/>
        </w:rPr>
      </w:pPr>
      <w:r>
        <w:rPr>
          <w:w w:val="105"/>
          <w:sz w:val="27"/>
        </w:rPr>
        <w:t>Thakkar</w:t>
      </w:r>
      <w:r>
        <w:rPr>
          <w:spacing w:val="-28"/>
          <w:w w:val="105"/>
          <w:sz w:val="27"/>
        </w:rPr>
        <w:t> </w:t>
      </w:r>
      <w:r>
        <w:rPr>
          <w:w w:val="105"/>
          <w:sz w:val="27"/>
        </w:rPr>
        <w:t>H.</w:t>
      </w:r>
      <w:r>
        <w:rPr>
          <w:spacing w:val="-27"/>
          <w:w w:val="105"/>
          <w:sz w:val="27"/>
        </w:rPr>
        <w:t> </w:t>
      </w:r>
      <w:r>
        <w:rPr>
          <w:spacing w:val="-6"/>
          <w:w w:val="105"/>
          <w:sz w:val="27"/>
        </w:rPr>
        <w:t>V.,</w:t>
      </w:r>
      <w:r>
        <w:rPr>
          <w:spacing w:val="-27"/>
          <w:w w:val="105"/>
          <w:sz w:val="27"/>
        </w:rPr>
        <w:t> </w:t>
      </w:r>
      <w:r>
        <w:rPr>
          <w:spacing w:val="-3"/>
          <w:w w:val="105"/>
          <w:sz w:val="27"/>
        </w:rPr>
        <w:t>Pope</w:t>
      </w:r>
      <w:r>
        <w:rPr>
          <w:spacing w:val="-27"/>
          <w:w w:val="105"/>
          <w:sz w:val="27"/>
        </w:rPr>
        <w:t> </w:t>
      </w:r>
      <w:r>
        <w:rPr>
          <w:w w:val="105"/>
          <w:sz w:val="27"/>
        </w:rPr>
        <w:t>A.,</w:t>
      </w:r>
      <w:r>
        <w:rPr>
          <w:spacing w:val="-28"/>
          <w:w w:val="105"/>
          <w:sz w:val="27"/>
        </w:rPr>
        <w:t> </w:t>
      </w:r>
      <w:r>
        <w:rPr>
          <w:w w:val="105"/>
          <w:sz w:val="27"/>
        </w:rPr>
        <w:t>&amp;</w:t>
      </w:r>
      <w:r>
        <w:rPr>
          <w:spacing w:val="-27"/>
          <w:w w:val="105"/>
          <w:sz w:val="27"/>
        </w:rPr>
        <w:t> </w:t>
      </w:r>
      <w:r>
        <w:rPr>
          <w:w w:val="105"/>
          <w:sz w:val="27"/>
        </w:rPr>
        <w:t>Anpalahan,</w:t>
      </w:r>
      <w:r>
        <w:rPr>
          <w:spacing w:val="-27"/>
          <w:w w:val="105"/>
          <w:sz w:val="27"/>
        </w:rPr>
        <w:t> </w:t>
      </w:r>
      <w:r>
        <w:rPr>
          <w:w w:val="105"/>
          <w:sz w:val="27"/>
        </w:rPr>
        <w:t>M.</w:t>
      </w:r>
      <w:r>
        <w:rPr>
          <w:spacing w:val="-27"/>
          <w:w w:val="105"/>
          <w:sz w:val="27"/>
        </w:rPr>
        <w:t> </w:t>
      </w:r>
      <w:r>
        <w:rPr>
          <w:w w:val="105"/>
          <w:sz w:val="27"/>
        </w:rPr>
        <w:t>Masked</w:t>
      </w:r>
      <w:r>
        <w:rPr>
          <w:spacing w:val="-27"/>
          <w:w w:val="105"/>
          <w:sz w:val="27"/>
        </w:rPr>
        <w:t> </w:t>
      </w:r>
      <w:r>
        <w:rPr>
          <w:w w:val="105"/>
          <w:sz w:val="27"/>
        </w:rPr>
        <w:t>Hypertension:</w:t>
      </w:r>
      <w:r>
        <w:rPr>
          <w:spacing w:val="-28"/>
          <w:w w:val="105"/>
          <w:sz w:val="27"/>
        </w:rPr>
        <w:t> </w:t>
      </w:r>
      <w:r>
        <w:rPr>
          <w:w w:val="105"/>
          <w:sz w:val="27"/>
        </w:rPr>
        <w:t>A Systematic</w:t>
      </w:r>
      <w:r>
        <w:rPr>
          <w:spacing w:val="-15"/>
          <w:w w:val="105"/>
          <w:sz w:val="27"/>
        </w:rPr>
        <w:t> </w:t>
      </w:r>
      <w:r>
        <w:rPr>
          <w:spacing w:val="-4"/>
          <w:w w:val="105"/>
          <w:sz w:val="27"/>
        </w:rPr>
        <w:t>Review.</w:t>
      </w:r>
      <w:r>
        <w:rPr>
          <w:spacing w:val="-15"/>
          <w:w w:val="105"/>
          <w:sz w:val="27"/>
        </w:rPr>
        <w:t> </w:t>
      </w:r>
      <w:r>
        <w:rPr>
          <w:w w:val="105"/>
          <w:sz w:val="27"/>
        </w:rPr>
        <w:t>Heart,</w:t>
      </w:r>
      <w:r>
        <w:rPr>
          <w:spacing w:val="-14"/>
          <w:w w:val="105"/>
          <w:sz w:val="27"/>
        </w:rPr>
        <w:t> </w:t>
      </w:r>
      <w:r>
        <w:rPr>
          <w:w w:val="105"/>
          <w:sz w:val="27"/>
        </w:rPr>
        <w:t>Lung</w:t>
      </w:r>
      <w:r>
        <w:rPr>
          <w:spacing w:val="-15"/>
          <w:w w:val="105"/>
          <w:sz w:val="27"/>
        </w:rPr>
        <w:t> </w:t>
      </w:r>
      <w:r>
        <w:rPr>
          <w:w w:val="105"/>
          <w:sz w:val="27"/>
        </w:rPr>
        <w:t>and</w:t>
      </w:r>
      <w:r>
        <w:rPr>
          <w:spacing w:val="-15"/>
          <w:w w:val="105"/>
          <w:sz w:val="27"/>
        </w:rPr>
        <w:t> </w:t>
      </w:r>
      <w:r>
        <w:rPr>
          <w:w w:val="105"/>
          <w:sz w:val="27"/>
        </w:rPr>
        <w:t>Circulation.</w:t>
      </w:r>
      <w:r>
        <w:rPr>
          <w:spacing w:val="-14"/>
          <w:w w:val="105"/>
          <w:sz w:val="27"/>
        </w:rPr>
        <w:t> </w:t>
      </w:r>
      <w:r>
        <w:rPr>
          <w:w w:val="105"/>
          <w:sz w:val="27"/>
        </w:rPr>
        <w:t>2019.</w:t>
      </w:r>
    </w:p>
    <w:p>
      <w:pPr>
        <w:pStyle w:val="ListParagraph"/>
        <w:numPr>
          <w:ilvl w:val="0"/>
          <w:numId w:val="12"/>
        </w:numPr>
        <w:tabs>
          <w:tab w:pos="681" w:val="left" w:leader="none"/>
        </w:tabs>
        <w:spacing w:line="256" w:lineRule="auto" w:before="1" w:after="0"/>
        <w:ind w:left="680" w:right="129" w:hanging="571"/>
        <w:jc w:val="both"/>
        <w:rPr>
          <w:sz w:val="27"/>
        </w:rPr>
      </w:pPr>
      <w:r>
        <w:rPr>
          <w:sz w:val="27"/>
        </w:rPr>
        <w:t>Ogedegbe G, Agyemang C, Ravenell JE. Masked hypertension: evidence</w:t>
      </w:r>
      <w:r>
        <w:rPr>
          <w:spacing w:val="18"/>
          <w:sz w:val="27"/>
        </w:rPr>
        <w:t> </w:t>
      </w:r>
      <w:r>
        <w:rPr>
          <w:sz w:val="27"/>
        </w:rPr>
        <w:t>of</w:t>
      </w:r>
      <w:r>
        <w:rPr>
          <w:spacing w:val="18"/>
          <w:sz w:val="27"/>
        </w:rPr>
        <w:t> </w:t>
      </w:r>
      <w:r>
        <w:rPr>
          <w:sz w:val="27"/>
        </w:rPr>
        <w:t>the</w:t>
      </w:r>
      <w:r>
        <w:rPr>
          <w:spacing w:val="18"/>
          <w:sz w:val="27"/>
        </w:rPr>
        <w:t> </w:t>
      </w:r>
      <w:r>
        <w:rPr>
          <w:sz w:val="27"/>
        </w:rPr>
        <w:t>need</w:t>
      </w:r>
      <w:r>
        <w:rPr>
          <w:spacing w:val="19"/>
          <w:sz w:val="27"/>
        </w:rPr>
        <w:t> </w:t>
      </w:r>
      <w:r>
        <w:rPr>
          <w:sz w:val="27"/>
        </w:rPr>
        <w:t>to</w:t>
      </w:r>
      <w:r>
        <w:rPr>
          <w:spacing w:val="18"/>
          <w:sz w:val="27"/>
        </w:rPr>
        <w:t> </w:t>
      </w:r>
      <w:r>
        <w:rPr>
          <w:sz w:val="27"/>
        </w:rPr>
        <w:t>treat.</w:t>
      </w:r>
      <w:r>
        <w:rPr>
          <w:spacing w:val="18"/>
          <w:sz w:val="27"/>
        </w:rPr>
        <w:t> </w:t>
      </w:r>
      <w:r>
        <w:rPr>
          <w:sz w:val="27"/>
        </w:rPr>
        <w:t>Curr</w:t>
      </w:r>
      <w:r>
        <w:rPr>
          <w:spacing w:val="18"/>
          <w:sz w:val="27"/>
        </w:rPr>
        <w:t> </w:t>
      </w:r>
      <w:r>
        <w:rPr>
          <w:sz w:val="27"/>
        </w:rPr>
        <w:t>Hypertens</w:t>
      </w:r>
      <w:r>
        <w:rPr>
          <w:spacing w:val="19"/>
          <w:sz w:val="27"/>
        </w:rPr>
        <w:t> </w:t>
      </w:r>
      <w:r>
        <w:rPr>
          <w:sz w:val="27"/>
        </w:rPr>
        <w:t>Rep</w:t>
      </w:r>
      <w:r>
        <w:rPr>
          <w:spacing w:val="18"/>
          <w:sz w:val="27"/>
        </w:rPr>
        <w:t> </w:t>
      </w:r>
      <w:r>
        <w:rPr>
          <w:sz w:val="27"/>
        </w:rPr>
        <w:t>2010;12:349–355.</w:t>
      </w:r>
    </w:p>
    <w:p>
      <w:pPr>
        <w:pStyle w:val="ListParagraph"/>
        <w:numPr>
          <w:ilvl w:val="0"/>
          <w:numId w:val="12"/>
        </w:numPr>
        <w:tabs>
          <w:tab w:pos="681" w:val="left" w:leader="none"/>
        </w:tabs>
        <w:spacing w:line="256" w:lineRule="auto" w:before="1" w:after="0"/>
        <w:ind w:left="680" w:right="129" w:hanging="571"/>
        <w:jc w:val="both"/>
        <w:rPr>
          <w:sz w:val="27"/>
        </w:rPr>
      </w:pPr>
      <w:r>
        <w:rPr>
          <w:sz w:val="27"/>
        </w:rPr>
        <w:t>Pierdomenico </w:t>
      </w:r>
      <w:r>
        <w:rPr>
          <w:spacing w:val="-3"/>
          <w:sz w:val="27"/>
        </w:rPr>
        <w:t>SD, </w:t>
      </w:r>
      <w:r>
        <w:rPr>
          <w:sz w:val="27"/>
        </w:rPr>
        <w:t>Cuccurullo F. Prognostic value of white-coat and masked hypertension diagnosed </w:t>
      </w:r>
      <w:r>
        <w:rPr>
          <w:spacing w:val="-3"/>
          <w:sz w:val="27"/>
        </w:rPr>
        <w:t>by </w:t>
      </w:r>
      <w:r>
        <w:rPr>
          <w:sz w:val="27"/>
        </w:rPr>
        <w:t>ambulatory monitoring in initially untreated subjects: an updated meta analysis. American journal of hypertension 24.1 (2011):</w:t>
      </w:r>
      <w:r>
        <w:rPr>
          <w:spacing w:val="10"/>
          <w:sz w:val="27"/>
        </w:rPr>
        <w:t> </w:t>
      </w:r>
      <w:r>
        <w:rPr>
          <w:sz w:val="27"/>
        </w:rPr>
        <w:t>52–58.</w:t>
      </w:r>
    </w:p>
    <w:p>
      <w:pPr>
        <w:pStyle w:val="ListParagraph"/>
        <w:numPr>
          <w:ilvl w:val="0"/>
          <w:numId w:val="12"/>
        </w:numPr>
        <w:tabs>
          <w:tab w:pos="681" w:val="left" w:leader="none"/>
        </w:tabs>
        <w:spacing w:line="256" w:lineRule="auto" w:before="1" w:after="0"/>
        <w:ind w:left="680" w:right="129" w:hanging="571"/>
        <w:jc w:val="both"/>
        <w:rPr>
          <w:sz w:val="27"/>
        </w:rPr>
      </w:pPr>
      <w:r>
        <w:rPr>
          <w:w w:val="105"/>
          <w:sz w:val="27"/>
        </w:rPr>
        <w:t>Agarwal R et al. Role of home blood pressure monitoring in overcoming therapeutic inertia and improving hypertension control:</w:t>
      </w:r>
      <w:r>
        <w:rPr>
          <w:spacing w:val="-15"/>
          <w:w w:val="105"/>
          <w:sz w:val="27"/>
        </w:rPr>
        <w:t> </w:t>
      </w:r>
      <w:r>
        <w:rPr>
          <w:w w:val="105"/>
          <w:sz w:val="27"/>
        </w:rPr>
        <w:t>a</w:t>
      </w:r>
      <w:r>
        <w:rPr>
          <w:spacing w:val="-14"/>
          <w:w w:val="105"/>
          <w:sz w:val="27"/>
        </w:rPr>
        <w:t> </w:t>
      </w:r>
      <w:r>
        <w:rPr>
          <w:w w:val="105"/>
          <w:sz w:val="27"/>
        </w:rPr>
        <w:t>systematic</w:t>
      </w:r>
      <w:r>
        <w:rPr>
          <w:spacing w:val="-14"/>
          <w:w w:val="105"/>
          <w:sz w:val="27"/>
        </w:rPr>
        <w:t> </w:t>
      </w:r>
      <w:r>
        <w:rPr>
          <w:w w:val="105"/>
          <w:sz w:val="27"/>
        </w:rPr>
        <w:t>review</w:t>
      </w:r>
      <w:r>
        <w:rPr>
          <w:spacing w:val="-14"/>
          <w:w w:val="105"/>
          <w:sz w:val="27"/>
        </w:rPr>
        <w:t> </w:t>
      </w:r>
      <w:r>
        <w:rPr>
          <w:w w:val="105"/>
          <w:sz w:val="27"/>
        </w:rPr>
        <w:t>and</w:t>
      </w:r>
      <w:r>
        <w:rPr>
          <w:spacing w:val="-14"/>
          <w:w w:val="105"/>
          <w:sz w:val="27"/>
        </w:rPr>
        <w:t> </w:t>
      </w:r>
      <w:r>
        <w:rPr>
          <w:w w:val="105"/>
          <w:sz w:val="27"/>
        </w:rPr>
        <w:t>meta-analysis.</w:t>
      </w:r>
      <w:r>
        <w:rPr>
          <w:spacing w:val="-15"/>
          <w:w w:val="105"/>
          <w:sz w:val="27"/>
        </w:rPr>
        <w:t> </w:t>
      </w:r>
      <w:r>
        <w:rPr>
          <w:w w:val="105"/>
          <w:sz w:val="27"/>
        </w:rPr>
        <w:t>Hypertension</w:t>
      </w:r>
      <w:r>
        <w:rPr>
          <w:spacing w:val="-14"/>
          <w:w w:val="105"/>
          <w:sz w:val="27"/>
        </w:rPr>
        <w:t> </w:t>
      </w:r>
      <w:r>
        <w:rPr>
          <w:spacing w:val="-10"/>
          <w:w w:val="105"/>
          <w:sz w:val="27"/>
        </w:rPr>
        <w:t>57.1 </w:t>
      </w:r>
      <w:r>
        <w:rPr>
          <w:w w:val="105"/>
          <w:sz w:val="27"/>
        </w:rPr>
        <w:t>(2011):</w:t>
      </w:r>
      <w:r>
        <w:rPr>
          <w:spacing w:val="-5"/>
          <w:w w:val="105"/>
          <w:sz w:val="27"/>
        </w:rPr>
        <w:t> </w:t>
      </w:r>
      <w:r>
        <w:rPr>
          <w:w w:val="105"/>
          <w:sz w:val="27"/>
        </w:rPr>
        <w:t>29–38.</w:t>
      </w:r>
    </w:p>
    <w:p>
      <w:pPr>
        <w:pStyle w:val="ListParagraph"/>
        <w:numPr>
          <w:ilvl w:val="0"/>
          <w:numId w:val="12"/>
        </w:numPr>
        <w:tabs>
          <w:tab w:pos="681" w:val="left" w:leader="none"/>
        </w:tabs>
        <w:spacing w:line="256" w:lineRule="auto" w:before="2" w:after="0"/>
        <w:ind w:left="680" w:right="128" w:hanging="571"/>
        <w:jc w:val="both"/>
        <w:rPr>
          <w:sz w:val="27"/>
        </w:rPr>
      </w:pPr>
      <w:r>
        <w:rPr>
          <w:sz w:val="27"/>
        </w:rPr>
        <w:t>Rolnik DL, </w:t>
      </w:r>
      <w:r>
        <w:rPr>
          <w:spacing w:val="-3"/>
          <w:sz w:val="27"/>
        </w:rPr>
        <w:t>Wright </w:t>
      </w:r>
      <w:r>
        <w:rPr>
          <w:spacing w:val="-4"/>
          <w:sz w:val="27"/>
        </w:rPr>
        <w:t>D, </w:t>
      </w:r>
      <w:r>
        <w:rPr>
          <w:spacing w:val="-3"/>
          <w:sz w:val="27"/>
        </w:rPr>
        <w:t>Poon </w:t>
      </w:r>
      <w:r>
        <w:rPr>
          <w:spacing w:val="-4"/>
          <w:sz w:val="27"/>
        </w:rPr>
        <w:t>LC </w:t>
      </w:r>
      <w:r>
        <w:rPr>
          <w:sz w:val="27"/>
        </w:rPr>
        <w:t>et al. Aspirin versus placebo in pregnancies at high risk for preterm preeclampsia. N Engl J </w:t>
      </w:r>
      <w:r>
        <w:rPr>
          <w:spacing w:val="-4"/>
          <w:sz w:val="27"/>
        </w:rPr>
        <w:t>Med </w:t>
      </w:r>
      <w:r>
        <w:rPr>
          <w:sz w:val="27"/>
        </w:rPr>
        <w:t>2017;377:613–622.</w:t>
      </w:r>
    </w:p>
    <w:p>
      <w:pPr>
        <w:pStyle w:val="ListParagraph"/>
        <w:numPr>
          <w:ilvl w:val="0"/>
          <w:numId w:val="12"/>
        </w:numPr>
        <w:tabs>
          <w:tab w:pos="681" w:val="left" w:leader="none"/>
        </w:tabs>
        <w:spacing w:line="256" w:lineRule="auto" w:before="1" w:after="0"/>
        <w:ind w:left="680" w:right="129" w:hanging="571"/>
        <w:jc w:val="both"/>
        <w:rPr>
          <w:sz w:val="27"/>
        </w:rPr>
      </w:pPr>
      <w:r>
        <w:rPr>
          <w:sz w:val="27"/>
        </w:rPr>
        <w:t>Easterling </w:t>
      </w:r>
      <w:r>
        <w:rPr>
          <w:spacing w:val="-7"/>
          <w:sz w:val="27"/>
        </w:rPr>
        <w:t>T. </w:t>
      </w:r>
      <w:r>
        <w:rPr>
          <w:sz w:val="27"/>
        </w:rPr>
        <w:t>et al. Oral antihypertensive regimens (nifedipine retard, labetalol, and methyldopa) for management of severe hypertension in pregnancy: an open-label, randomised controlled trial</w:t>
      </w:r>
      <w:r>
        <w:rPr>
          <w:spacing w:val="20"/>
          <w:sz w:val="27"/>
        </w:rPr>
        <w:t> </w:t>
      </w:r>
      <w:r>
        <w:rPr>
          <w:sz w:val="27"/>
        </w:rPr>
        <w:t>//The</w:t>
      </w:r>
      <w:r>
        <w:rPr>
          <w:spacing w:val="20"/>
          <w:sz w:val="27"/>
        </w:rPr>
        <w:t> </w:t>
      </w:r>
      <w:r>
        <w:rPr>
          <w:sz w:val="27"/>
        </w:rPr>
        <w:t>Lancet.</w:t>
      </w:r>
      <w:r>
        <w:rPr>
          <w:spacing w:val="20"/>
          <w:sz w:val="27"/>
        </w:rPr>
        <w:t> </w:t>
      </w:r>
      <w:r>
        <w:rPr>
          <w:sz w:val="27"/>
        </w:rPr>
        <w:t>–</w:t>
      </w:r>
      <w:r>
        <w:rPr>
          <w:spacing w:val="21"/>
          <w:sz w:val="27"/>
        </w:rPr>
        <w:t> </w:t>
      </w:r>
      <w:r>
        <w:rPr>
          <w:sz w:val="27"/>
        </w:rPr>
        <w:t>2019.</w:t>
      </w:r>
      <w:r>
        <w:rPr>
          <w:spacing w:val="20"/>
          <w:sz w:val="27"/>
        </w:rPr>
        <w:t> </w:t>
      </w:r>
      <w:r>
        <w:rPr>
          <w:sz w:val="27"/>
        </w:rPr>
        <w:t>–</w:t>
      </w:r>
      <w:r>
        <w:rPr>
          <w:spacing w:val="20"/>
          <w:sz w:val="27"/>
        </w:rPr>
        <w:t> </w:t>
      </w:r>
      <w:r>
        <w:rPr>
          <w:sz w:val="27"/>
        </w:rPr>
        <w:t>Т.</w:t>
      </w:r>
      <w:r>
        <w:rPr>
          <w:spacing w:val="20"/>
          <w:sz w:val="27"/>
        </w:rPr>
        <w:t> </w:t>
      </w:r>
      <w:r>
        <w:rPr>
          <w:sz w:val="27"/>
        </w:rPr>
        <w:t>394.</w:t>
      </w:r>
      <w:r>
        <w:rPr>
          <w:spacing w:val="21"/>
          <w:sz w:val="27"/>
        </w:rPr>
        <w:t> </w:t>
      </w:r>
      <w:r>
        <w:rPr>
          <w:sz w:val="27"/>
        </w:rPr>
        <w:t>–</w:t>
      </w:r>
      <w:r>
        <w:rPr>
          <w:spacing w:val="20"/>
          <w:sz w:val="27"/>
        </w:rPr>
        <w:t> </w:t>
      </w:r>
      <w:r>
        <w:rPr>
          <w:sz w:val="27"/>
        </w:rPr>
        <w:t>№.</w:t>
      </w:r>
      <w:r>
        <w:rPr>
          <w:spacing w:val="20"/>
          <w:sz w:val="27"/>
        </w:rPr>
        <w:t> </w:t>
      </w:r>
      <w:r>
        <w:rPr>
          <w:sz w:val="27"/>
        </w:rPr>
        <w:t>10203.</w:t>
      </w:r>
      <w:r>
        <w:rPr>
          <w:spacing w:val="21"/>
          <w:sz w:val="27"/>
        </w:rPr>
        <w:t> </w:t>
      </w:r>
      <w:r>
        <w:rPr>
          <w:sz w:val="27"/>
        </w:rPr>
        <w:t>–</w:t>
      </w:r>
      <w:r>
        <w:rPr>
          <w:spacing w:val="20"/>
          <w:sz w:val="27"/>
        </w:rPr>
        <w:t> </w:t>
      </w:r>
      <w:r>
        <w:rPr>
          <w:sz w:val="27"/>
        </w:rPr>
        <w:t>С.</w:t>
      </w:r>
      <w:r>
        <w:rPr>
          <w:spacing w:val="20"/>
          <w:sz w:val="27"/>
        </w:rPr>
        <w:t> </w:t>
      </w:r>
      <w:r>
        <w:rPr>
          <w:sz w:val="27"/>
        </w:rPr>
        <w:t>1011-1021.</w:t>
      </w:r>
    </w:p>
    <w:p>
      <w:pPr>
        <w:pStyle w:val="ListParagraph"/>
        <w:numPr>
          <w:ilvl w:val="0"/>
          <w:numId w:val="12"/>
        </w:numPr>
        <w:tabs>
          <w:tab w:pos="681" w:val="left" w:leader="none"/>
        </w:tabs>
        <w:spacing w:line="256" w:lineRule="auto" w:before="2" w:after="0"/>
        <w:ind w:left="680" w:right="129" w:hanging="571"/>
        <w:jc w:val="both"/>
        <w:rPr>
          <w:sz w:val="27"/>
        </w:rPr>
      </w:pPr>
      <w:r>
        <w:rPr>
          <w:sz w:val="27"/>
        </w:rPr>
        <w:t>Ogihara </w:t>
      </w:r>
      <w:r>
        <w:rPr>
          <w:spacing w:val="-7"/>
          <w:sz w:val="27"/>
        </w:rPr>
        <w:t>T, </w:t>
      </w:r>
      <w:r>
        <w:rPr>
          <w:sz w:val="27"/>
        </w:rPr>
        <w:t>Saruta </w:t>
      </w:r>
      <w:r>
        <w:rPr>
          <w:spacing w:val="-7"/>
          <w:sz w:val="27"/>
        </w:rPr>
        <w:t>T, </w:t>
      </w:r>
      <w:r>
        <w:rPr>
          <w:sz w:val="27"/>
        </w:rPr>
        <w:t>Rakugi H, et al.; COLM Investigators. Combination therapy of hypertension in the elderly: a subgroup analysis of the Combination of OLMesartan and a calcium channel blocker or diuretic in Japanese elderly hypertensive patients trial. Hypertens Res</w:t>
      </w:r>
      <w:r>
        <w:rPr>
          <w:spacing w:val="-1"/>
          <w:sz w:val="27"/>
        </w:rPr>
        <w:t> </w:t>
      </w:r>
      <w:r>
        <w:rPr>
          <w:sz w:val="27"/>
        </w:rPr>
        <w:t>2015;38:89-96.</w:t>
      </w:r>
    </w:p>
    <w:p>
      <w:pPr>
        <w:pStyle w:val="ListParagraph"/>
        <w:numPr>
          <w:ilvl w:val="0"/>
          <w:numId w:val="12"/>
        </w:numPr>
        <w:tabs>
          <w:tab w:pos="681" w:val="left" w:leader="none"/>
        </w:tabs>
        <w:spacing w:line="256" w:lineRule="auto" w:before="2" w:after="0"/>
        <w:ind w:left="680" w:right="131" w:hanging="571"/>
        <w:jc w:val="both"/>
        <w:rPr>
          <w:sz w:val="27"/>
        </w:rPr>
      </w:pPr>
      <w:r>
        <w:rPr>
          <w:sz w:val="27"/>
        </w:rPr>
        <w:t>Thomopoulos C, Parati G., Zanchetti A. Effects of blood pressure- lowering</w:t>
      </w:r>
      <w:r>
        <w:rPr>
          <w:spacing w:val="24"/>
          <w:sz w:val="27"/>
        </w:rPr>
        <w:t> </w:t>
      </w:r>
      <w:r>
        <w:rPr>
          <w:sz w:val="27"/>
        </w:rPr>
        <w:t>treatment</w:t>
      </w:r>
      <w:r>
        <w:rPr>
          <w:spacing w:val="24"/>
          <w:sz w:val="27"/>
        </w:rPr>
        <w:t> </w:t>
      </w:r>
      <w:r>
        <w:rPr>
          <w:sz w:val="27"/>
        </w:rPr>
        <w:t>on</w:t>
      </w:r>
      <w:r>
        <w:rPr>
          <w:spacing w:val="24"/>
          <w:sz w:val="27"/>
        </w:rPr>
        <w:t> </w:t>
      </w:r>
      <w:r>
        <w:rPr>
          <w:sz w:val="27"/>
        </w:rPr>
        <w:t>cardiovascular</w:t>
      </w:r>
      <w:r>
        <w:rPr>
          <w:spacing w:val="24"/>
          <w:sz w:val="27"/>
        </w:rPr>
        <w:t> </w:t>
      </w:r>
      <w:r>
        <w:rPr>
          <w:sz w:val="27"/>
        </w:rPr>
        <w:t>outcomes</w:t>
      </w:r>
      <w:r>
        <w:rPr>
          <w:spacing w:val="24"/>
          <w:sz w:val="27"/>
        </w:rPr>
        <w:t> </w:t>
      </w:r>
      <w:r>
        <w:rPr>
          <w:sz w:val="27"/>
        </w:rPr>
        <w:t>and</w:t>
      </w:r>
      <w:r>
        <w:rPr>
          <w:spacing w:val="24"/>
          <w:sz w:val="27"/>
        </w:rPr>
        <w:t> </w:t>
      </w:r>
      <w:r>
        <w:rPr>
          <w:sz w:val="27"/>
        </w:rPr>
        <w:t>mortality:</w:t>
      </w:r>
      <w:r>
        <w:rPr>
          <w:spacing w:val="24"/>
          <w:sz w:val="27"/>
        </w:rPr>
        <w:t> </w:t>
      </w:r>
      <w:r>
        <w:rPr>
          <w:sz w:val="27"/>
        </w:rPr>
        <w:t>14–</w:t>
      </w:r>
    </w:p>
    <w:p>
      <w:pPr>
        <w:spacing w:after="0" w:line="256" w:lineRule="auto"/>
        <w:jc w:val="both"/>
        <w:rPr>
          <w:sz w:val="27"/>
        </w:rPr>
        <w:sectPr>
          <w:pgSz w:w="11900" w:h="16840"/>
          <w:pgMar w:top="0" w:bottom="0" w:left="1420" w:right="1520"/>
        </w:sectPr>
      </w:pPr>
    </w:p>
    <w:p>
      <w:pPr>
        <w:pStyle w:val="BodyText"/>
        <w:spacing w:line="256" w:lineRule="auto" w:before="16"/>
        <w:ind w:right="135"/>
      </w:pPr>
      <w:r>
        <w:rPr/>
        <w:t>effects of different classes of antihypertensive drugs in older and younger patients overview and meta-analysis. Journal of hypertension 2018; 36(8):1637–1647.</w:t>
      </w:r>
    </w:p>
    <w:p>
      <w:pPr>
        <w:pStyle w:val="ListParagraph"/>
        <w:numPr>
          <w:ilvl w:val="0"/>
          <w:numId w:val="12"/>
        </w:numPr>
        <w:tabs>
          <w:tab w:pos="681" w:val="left" w:leader="none"/>
        </w:tabs>
        <w:spacing w:line="256" w:lineRule="auto" w:before="2" w:after="0"/>
        <w:ind w:left="680" w:right="133" w:hanging="571"/>
        <w:jc w:val="both"/>
        <w:rPr>
          <w:sz w:val="27"/>
        </w:rPr>
      </w:pPr>
      <w:r>
        <w:rPr>
          <w:sz w:val="27"/>
        </w:rPr>
        <w:t>Corrao G, Mazzola </w:t>
      </w:r>
      <w:r>
        <w:rPr>
          <w:spacing w:val="-17"/>
          <w:sz w:val="27"/>
        </w:rPr>
        <w:t>P, </w:t>
      </w:r>
      <w:r>
        <w:rPr>
          <w:sz w:val="27"/>
        </w:rPr>
        <w:t>Monzio Compagnoni M, et al. Antihypertensive medications, loop diuretics, and risk of hip fracturein the elderly: a population-based cohort study of 81,617 Italian patients newly treated between 2005 and 2009. Drugs Aging 2015;32:927–936.</w:t>
      </w:r>
    </w:p>
    <w:p>
      <w:pPr>
        <w:pStyle w:val="ListParagraph"/>
        <w:numPr>
          <w:ilvl w:val="0"/>
          <w:numId w:val="12"/>
        </w:numPr>
        <w:tabs>
          <w:tab w:pos="681" w:val="left" w:leader="none"/>
        </w:tabs>
        <w:spacing w:line="256" w:lineRule="auto" w:before="2" w:after="0"/>
        <w:ind w:left="680" w:right="133" w:hanging="571"/>
        <w:jc w:val="both"/>
        <w:rPr>
          <w:sz w:val="27"/>
        </w:rPr>
      </w:pPr>
      <w:r>
        <w:rPr>
          <w:w w:val="105"/>
          <w:sz w:val="27"/>
        </w:rPr>
        <w:t>Kjeldsen SE, Stenehjem A, Os I, et al. Treatment of high blood pressure in elderlyand octogenarians: European Society of Hypertension statement on blood pressure targets. Blood </w:t>
      </w:r>
      <w:r>
        <w:rPr>
          <w:spacing w:val="-4"/>
          <w:w w:val="105"/>
          <w:sz w:val="27"/>
        </w:rPr>
        <w:t>Press </w:t>
      </w:r>
      <w:r>
        <w:rPr>
          <w:w w:val="105"/>
          <w:sz w:val="27"/>
        </w:rPr>
        <w:t>2016;25:333–336.</w:t>
      </w:r>
    </w:p>
    <w:p>
      <w:pPr>
        <w:pStyle w:val="ListParagraph"/>
        <w:numPr>
          <w:ilvl w:val="0"/>
          <w:numId w:val="12"/>
        </w:numPr>
        <w:tabs>
          <w:tab w:pos="681" w:val="left" w:leader="none"/>
        </w:tabs>
        <w:spacing w:line="256" w:lineRule="auto" w:before="1" w:after="0"/>
        <w:ind w:left="680" w:right="137" w:hanging="571"/>
        <w:jc w:val="both"/>
        <w:rPr>
          <w:sz w:val="27"/>
        </w:rPr>
      </w:pPr>
      <w:r>
        <w:rPr>
          <w:w w:val="105"/>
          <w:sz w:val="27"/>
        </w:rPr>
        <w:t>Egan</w:t>
      </w:r>
      <w:r>
        <w:rPr>
          <w:spacing w:val="-7"/>
          <w:w w:val="105"/>
          <w:sz w:val="27"/>
        </w:rPr>
        <w:t> </w:t>
      </w:r>
      <w:r>
        <w:rPr>
          <w:w w:val="105"/>
          <w:sz w:val="27"/>
        </w:rPr>
        <w:t>BM,</w:t>
      </w:r>
      <w:r>
        <w:rPr>
          <w:spacing w:val="-6"/>
          <w:w w:val="105"/>
          <w:sz w:val="27"/>
        </w:rPr>
        <w:t> </w:t>
      </w:r>
      <w:r>
        <w:rPr>
          <w:w w:val="105"/>
          <w:sz w:val="27"/>
        </w:rPr>
        <w:t>Li</w:t>
      </w:r>
      <w:r>
        <w:rPr>
          <w:spacing w:val="-7"/>
          <w:w w:val="105"/>
          <w:sz w:val="27"/>
        </w:rPr>
        <w:t> </w:t>
      </w:r>
      <w:r>
        <w:rPr>
          <w:w w:val="105"/>
          <w:sz w:val="27"/>
        </w:rPr>
        <w:t>J,</w:t>
      </w:r>
      <w:r>
        <w:rPr>
          <w:spacing w:val="-6"/>
          <w:w w:val="105"/>
          <w:sz w:val="27"/>
        </w:rPr>
        <w:t> </w:t>
      </w:r>
      <w:r>
        <w:rPr>
          <w:w w:val="105"/>
          <w:sz w:val="27"/>
        </w:rPr>
        <w:t>Hutchison</w:t>
      </w:r>
      <w:r>
        <w:rPr>
          <w:spacing w:val="-6"/>
          <w:w w:val="105"/>
          <w:sz w:val="27"/>
        </w:rPr>
        <w:t> </w:t>
      </w:r>
      <w:r>
        <w:rPr>
          <w:w w:val="105"/>
          <w:sz w:val="27"/>
        </w:rPr>
        <w:t>FN,</w:t>
      </w:r>
      <w:r>
        <w:rPr>
          <w:spacing w:val="-7"/>
          <w:w w:val="105"/>
          <w:sz w:val="27"/>
        </w:rPr>
        <w:t> </w:t>
      </w:r>
      <w:r>
        <w:rPr>
          <w:w w:val="105"/>
          <w:sz w:val="27"/>
        </w:rPr>
        <w:t>Ferdinand</w:t>
      </w:r>
      <w:r>
        <w:rPr>
          <w:spacing w:val="-6"/>
          <w:w w:val="105"/>
          <w:sz w:val="27"/>
        </w:rPr>
        <w:t> </w:t>
      </w:r>
      <w:r>
        <w:rPr>
          <w:spacing w:val="-3"/>
          <w:w w:val="105"/>
          <w:sz w:val="27"/>
        </w:rPr>
        <w:t>KC.</w:t>
      </w:r>
      <w:r>
        <w:rPr>
          <w:spacing w:val="-7"/>
          <w:w w:val="105"/>
          <w:sz w:val="27"/>
        </w:rPr>
        <w:t> </w:t>
      </w:r>
      <w:r>
        <w:rPr>
          <w:w w:val="105"/>
          <w:sz w:val="27"/>
        </w:rPr>
        <w:t>Hypertension</w:t>
      </w:r>
      <w:r>
        <w:rPr>
          <w:spacing w:val="-6"/>
          <w:w w:val="105"/>
          <w:sz w:val="27"/>
        </w:rPr>
        <w:t> </w:t>
      </w:r>
      <w:r>
        <w:rPr>
          <w:w w:val="105"/>
          <w:sz w:val="27"/>
        </w:rPr>
        <w:t>in</w:t>
      </w:r>
      <w:r>
        <w:rPr>
          <w:spacing w:val="-6"/>
          <w:w w:val="105"/>
          <w:sz w:val="27"/>
        </w:rPr>
        <w:t> </w:t>
      </w:r>
      <w:r>
        <w:rPr>
          <w:w w:val="105"/>
          <w:sz w:val="27"/>
        </w:rPr>
        <w:t>the United States, 1999 to 2012: progress toward Healthy People</w:t>
      </w:r>
      <w:r>
        <w:rPr>
          <w:spacing w:val="-50"/>
          <w:w w:val="105"/>
          <w:sz w:val="27"/>
        </w:rPr>
        <w:t> </w:t>
      </w:r>
      <w:r>
        <w:rPr>
          <w:w w:val="105"/>
          <w:sz w:val="27"/>
        </w:rPr>
        <w:t>2020 goals. Circulation.</w:t>
      </w:r>
      <w:r>
        <w:rPr>
          <w:spacing w:val="-11"/>
          <w:w w:val="105"/>
          <w:sz w:val="27"/>
        </w:rPr>
        <w:t> </w:t>
      </w:r>
      <w:r>
        <w:rPr>
          <w:w w:val="105"/>
          <w:sz w:val="27"/>
        </w:rPr>
        <w:t>2014;130(19):1692–1699.</w:t>
      </w:r>
    </w:p>
    <w:p>
      <w:pPr>
        <w:pStyle w:val="ListParagraph"/>
        <w:numPr>
          <w:ilvl w:val="0"/>
          <w:numId w:val="12"/>
        </w:numPr>
        <w:tabs>
          <w:tab w:pos="800" w:val="left" w:leader="none"/>
        </w:tabs>
        <w:spacing w:line="256" w:lineRule="auto" w:before="1" w:after="0"/>
        <w:ind w:left="680" w:right="137" w:hanging="571"/>
        <w:jc w:val="both"/>
        <w:rPr>
          <w:sz w:val="27"/>
        </w:rPr>
      </w:pPr>
      <w:r>
        <w:rPr/>
        <w:tab/>
      </w:r>
      <w:r>
        <w:rPr>
          <w:sz w:val="27"/>
        </w:rPr>
        <w:t>Liu X, Rodriguez CJ, </w:t>
      </w:r>
      <w:r>
        <w:rPr>
          <w:spacing w:val="-5"/>
          <w:sz w:val="27"/>
        </w:rPr>
        <w:t>Wang </w:t>
      </w:r>
      <w:r>
        <w:rPr>
          <w:sz w:val="27"/>
        </w:rPr>
        <w:t>K. Prevalence and trends of isolated systolic hypertension among untreated adults in the United States.  J Am Soc Hypertens.</w:t>
      </w:r>
      <w:r>
        <w:rPr>
          <w:spacing w:val="2"/>
          <w:sz w:val="27"/>
        </w:rPr>
        <w:t> </w:t>
      </w:r>
      <w:r>
        <w:rPr>
          <w:sz w:val="27"/>
        </w:rPr>
        <w:t>2015;9(3):197–205.</w:t>
      </w:r>
    </w:p>
    <w:p>
      <w:pPr>
        <w:pStyle w:val="ListParagraph"/>
        <w:numPr>
          <w:ilvl w:val="0"/>
          <w:numId w:val="12"/>
        </w:numPr>
        <w:tabs>
          <w:tab w:pos="681" w:val="left" w:leader="none"/>
        </w:tabs>
        <w:spacing w:line="256" w:lineRule="auto" w:before="2" w:after="0"/>
        <w:ind w:left="680" w:right="139" w:hanging="571"/>
        <w:jc w:val="both"/>
        <w:rPr>
          <w:sz w:val="27"/>
        </w:rPr>
      </w:pPr>
      <w:r>
        <w:rPr>
          <w:sz w:val="27"/>
        </w:rPr>
        <w:t>Bavishi C, Goel S, Messerli FH. Isolated Systolic Hypertension: An Update After SPRINT Am J Med.</w:t>
      </w:r>
      <w:r>
        <w:rPr>
          <w:spacing w:val="17"/>
          <w:sz w:val="27"/>
        </w:rPr>
        <w:t> </w:t>
      </w:r>
      <w:r>
        <w:rPr>
          <w:sz w:val="27"/>
        </w:rPr>
        <w:t>2016;129(12):1251–1258.</w:t>
      </w:r>
    </w:p>
    <w:p>
      <w:pPr>
        <w:pStyle w:val="ListParagraph"/>
        <w:numPr>
          <w:ilvl w:val="0"/>
          <w:numId w:val="12"/>
        </w:numPr>
        <w:tabs>
          <w:tab w:pos="681" w:val="left" w:leader="none"/>
        </w:tabs>
        <w:spacing w:line="256" w:lineRule="auto" w:before="0" w:after="0"/>
        <w:ind w:left="680" w:right="134" w:hanging="571"/>
        <w:jc w:val="both"/>
        <w:rPr>
          <w:sz w:val="27"/>
        </w:rPr>
      </w:pPr>
      <w:r>
        <w:rPr>
          <w:sz w:val="27"/>
        </w:rPr>
        <w:t>Ekundayo OJ, Allman RM, Sanders </w:t>
      </w:r>
      <w:r>
        <w:rPr>
          <w:spacing w:val="-9"/>
          <w:sz w:val="27"/>
        </w:rPr>
        <w:t>PW,</w:t>
      </w:r>
      <w:r>
        <w:rPr>
          <w:spacing w:val="49"/>
          <w:sz w:val="27"/>
        </w:rPr>
        <w:t> </w:t>
      </w:r>
      <w:r>
        <w:rPr>
          <w:sz w:val="27"/>
        </w:rPr>
        <w:t>et al. Isolated systolic hypertension and incident heart failure in older adults: </w:t>
      </w:r>
      <w:r>
        <w:rPr>
          <w:spacing w:val="-13"/>
          <w:sz w:val="27"/>
        </w:rPr>
        <w:t>a </w:t>
      </w:r>
      <w:r>
        <w:rPr>
          <w:sz w:val="27"/>
        </w:rPr>
        <w:t>propensity-matched study. Hypertension.</w:t>
      </w:r>
      <w:r>
        <w:rPr>
          <w:spacing w:val="40"/>
          <w:sz w:val="27"/>
        </w:rPr>
        <w:t> </w:t>
      </w:r>
      <w:r>
        <w:rPr>
          <w:sz w:val="27"/>
        </w:rPr>
        <w:t>2009;53(3):458–465.</w:t>
      </w:r>
    </w:p>
    <w:p>
      <w:pPr>
        <w:pStyle w:val="ListParagraph"/>
        <w:numPr>
          <w:ilvl w:val="0"/>
          <w:numId w:val="12"/>
        </w:numPr>
        <w:tabs>
          <w:tab w:pos="681" w:val="left" w:leader="none"/>
        </w:tabs>
        <w:spacing w:line="256" w:lineRule="auto" w:before="2" w:after="0"/>
        <w:ind w:left="680" w:right="133" w:hanging="571"/>
        <w:jc w:val="both"/>
        <w:rPr>
          <w:sz w:val="27"/>
        </w:rPr>
      </w:pPr>
      <w:r>
        <w:rPr>
          <w:w w:val="105"/>
          <w:sz w:val="27"/>
        </w:rPr>
        <w:t>Li</w:t>
      </w:r>
      <w:r>
        <w:rPr>
          <w:spacing w:val="-10"/>
          <w:w w:val="105"/>
          <w:sz w:val="27"/>
        </w:rPr>
        <w:t> </w:t>
      </w:r>
      <w:r>
        <w:rPr>
          <w:spacing w:val="-12"/>
          <w:w w:val="105"/>
          <w:sz w:val="27"/>
        </w:rPr>
        <w:t>Y,</w:t>
      </w:r>
      <w:r>
        <w:rPr>
          <w:spacing w:val="-10"/>
          <w:w w:val="105"/>
          <w:sz w:val="27"/>
        </w:rPr>
        <w:t> </w:t>
      </w:r>
      <w:r>
        <w:rPr>
          <w:spacing w:val="-6"/>
          <w:w w:val="105"/>
          <w:sz w:val="27"/>
        </w:rPr>
        <w:t>Wei</w:t>
      </w:r>
      <w:r>
        <w:rPr>
          <w:spacing w:val="-10"/>
          <w:w w:val="105"/>
          <w:sz w:val="27"/>
        </w:rPr>
        <w:t> </w:t>
      </w:r>
      <w:r>
        <w:rPr>
          <w:w w:val="105"/>
          <w:sz w:val="27"/>
        </w:rPr>
        <w:t>FF,</w:t>
      </w:r>
      <w:r>
        <w:rPr>
          <w:spacing w:val="-10"/>
          <w:w w:val="105"/>
          <w:sz w:val="27"/>
        </w:rPr>
        <w:t> </w:t>
      </w:r>
      <w:r>
        <w:rPr>
          <w:w w:val="105"/>
          <w:sz w:val="27"/>
        </w:rPr>
        <w:t>Thijs</w:t>
      </w:r>
      <w:r>
        <w:rPr>
          <w:spacing w:val="-10"/>
          <w:w w:val="105"/>
          <w:sz w:val="27"/>
        </w:rPr>
        <w:t> </w:t>
      </w:r>
      <w:r>
        <w:rPr>
          <w:w w:val="105"/>
          <w:sz w:val="27"/>
        </w:rPr>
        <w:t>L</w:t>
      </w:r>
      <w:r>
        <w:rPr>
          <w:spacing w:val="-9"/>
          <w:w w:val="105"/>
          <w:sz w:val="27"/>
        </w:rPr>
        <w:t> </w:t>
      </w:r>
      <w:r>
        <w:rPr>
          <w:w w:val="105"/>
          <w:sz w:val="27"/>
        </w:rPr>
        <w:t>et</w:t>
      </w:r>
      <w:r>
        <w:rPr>
          <w:spacing w:val="-10"/>
          <w:w w:val="105"/>
          <w:sz w:val="27"/>
        </w:rPr>
        <w:t> </w:t>
      </w:r>
      <w:r>
        <w:rPr>
          <w:w w:val="105"/>
          <w:sz w:val="27"/>
        </w:rPr>
        <w:t>al.</w:t>
      </w:r>
      <w:r>
        <w:rPr>
          <w:spacing w:val="-10"/>
          <w:w w:val="105"/>
          <w:sz w:val="27"/>
        </w:rPr>
        <w:t> </w:t>
      </w:r>
      <w:r>
        <w:rPr>
          <w:w w:val="105"/>
          <w:sz w:val="27"/>
        </w:rPr>
        <w:t>Ambulatory</w:t>
      </w:r>
      <w:r>
        <w:rPr>
          <w:spacing w:val="-10"/>
          <w:w w:val="105"/>
          <w:sz w:val="27"/>
        </w:rPr>
        <w:t> </w:t>
      </w:r>
      <w:r>
        <w:rPr>
          <w:w w:val="105"/>
          <w:sz w:val="27"/>
        </w:rPr>
        <w:t>hypertension</w:t>
      </w:r>
      <w:r>
        <w:rPr>
          <w:spacing w:val="-10"/>
          <w:w w:val="105"/>
          <w:sz w:val="27"/>
        </w:rPr>
        <w:t> </w:t>
      </w:r>
      <w:r>
        <w:rPr>
          <w:w w:val="105"/>
          <w:sz w:val="27"/>
        </w:rPr>
        <w:t>subtypes</w:t>
      </w:r>
      <w:r>
        <w:rPr>
          <w:spacing w:val="-10"/>
          <w:w w:val="105"/>
          <w:sz w:val="27"/>
        </w:rPr>
        <w:t> </w:t>
      </w:r>
      <w:r>
        <w:rPr>
          <w:w w:val="105"/>
          <w:sz w:val="27"/>
        </w:rPr>
        <w:t>and 24-hour systolic and diastolic blood pressure as distinct outcome predictors</w:t>
      </w:r>
      <w:r>
        <w:rPr>
          <w:spacing w:val="-26"/>
          <w:w w:val="105"/>
          <w:sz w:val="27"/>
        </w:rPr>
        <w:t> </w:t>
      </w:r>
      <w:r>
        <w:rPr>
          <w:w w:val="105"/>
          <w:sz w:val="27"/>
        </w:rPr>
        <w:t>in</w:t>
      </w:r>
      <w:r>
        <w:rPr>
          <w:spacing w:val="-25"/>
          <w:w w:val="105"/>
          <w:sz w:val="27"/>
        </w:rPr>
        <w:t> </w:t>
      </w:r>
      <w:r>
        <w:rPr>
          <w:w w:val="105"/>
          <w:sz w:val="27"/>
        </w:rPr>
        <w:t>8341</w:t>
      </w:r>
      <w:r>
        <w:rPr>
          <w:spacing w:val="-25"/>
          <w:w w:val="105"/>
          <w:sz w:val="27"/>
        </w:rPr>
        <w:t> </w:t>
      </w:r>
      <w:r>
        <w:rPr>
          <w:w w:val="105"/>
          <w:sz w:val="27"/>
        </w:rPr>
        <w:t>untreated</w:t>
      </w:r>
      <w:r>
        <w:rPr>
          <w:spacing w:val="-26"/>
          <w:w w:val="105"/>
          <w:sz w:val="27"/>
        </w:rPr>
        <w:t> </w:t>
      </w:r>
      <w:r>
        <w:rPr>
          <w:w w:val="105"/>
          <w:sz w:val="27"/>
        </w:rPr>
        <w:t>people</w:t>
      </w:r>
      <w:r>
        <w:rPr>
          <w:spacing w:val="-25"/>
          <w:w w:val="105"/>
          <w:sz w:val="27"/>
        </w:rPr>
        <w:t> </w:t>
      </w:r>
      <w:r>
        <w:rPr>
          <w:w w:val="105"/>
          <w:sz w:val="27"/>
        </w:rPr>
        <w:t>recruited</w:t>
      </w:r>
      <w:r>
        <w:rPr>
          <w:spacing w:val="-26"/>
          <w:w w:val="105"/>
          <w:sz w:val="27"/>
        </w:rPr>
        <w:t> </w:t>
      </w:r>
      <w:r>
        <w:rPr>
          <w:w w:val="105"/>
          <w:sz w:val="27"/>
        </w:rPr>
        <w:t>from</w:t>
      </w:r>
      <w:r>
        <w:rPr>
          <w:spacing w:val="-25"/>
          <w:w w:val="105"/>
          <w:sz w:val="27"/>
        </w:rPr>
        <w:t> </w:t>
      </w:r>
      <w:r>
        <w:rPr>
          <w:w w:val="105"/>
          <w:sz w:val="27"/>
        </w:rPr>
        <w:t>12</w:t>
      </w:r>
      <w:r>
        <w:rPr>
          <w:spacing w:val="-25"/>
          <w:w w:val="105"/>
          <w:sz w:val="27"/>
        </w:rPr>
        <w:t> </w:t>
      </w:r>
      <w:r>
        <w:rPr>
          <w:w w:val="105"/>
          <w:sz w:val="27"/>
        </w:rPr>
        <w:t>populations. Circulation.</w:t>
      </w:r>
      <w:r>
        <w:rPr>
          <w:spacing w:val="-5"/>
          <w:w w:val="105"/>
          <w:sz w:val="27"/>
        </w:rPr>
        <w:t> </w:t>
      </w:r>
      <w:r>
        <w:rPr>
          <w:w w:val="105"/>
          <w:sz w:val="27"/>
        </w:rPr>
        <w:t>2014;130(6):466–474.</w:t>
      </w:r>
    </w:p>
    <w:p>
      <w:pPr>
        <w:pStyle w:val="ListParagraph"/>
        <w:numPr>
          <w:ilvl w:val="0"/>
          <w:numId w:val="12"/>
        </w:numPr>
        <w:tabs>
          <w:tab w:pos="681" w:val="left" w:leader="none"/>
        </w:tabs>
        <w:spacing w:line="256" w:lineRule="auto" w:before="1" w:after="0"/>
        <w:ind w:left="680" w:right="132" w:hanging="571"/>
        <w:jc w:val="both"/>
        <w:rPr>
          <w:sz w:val="27"/>
        </w:rPr>
      </w:pPr>
      <w:r>
        <w:rPr>
          <w:spacing w:val="-3"/>
          <w:sz w:val="27"/>
        </w:rPr>
        <w:t>O’Rourke </w:t>
      </w:r>
      <w:r>
        <w:rPr>
          <w:sz w:val="27"/>
        </w:rPr>
        <w:t>MF, Adji A. Guidelines on guidelines: focus on isolated systolic hypertension in youth. J Hypertens</w:t>
      </w:r>
      <w:r>
        <w:rPr>
          <w:spacing w:val="56"/>
          <w:sz w:val="27"/>
        </w:rPr>
        <w:t> </w:t>
      </w:r>
      <w:r>
        <w:rPr>
          <w:sz w:val="27"/>
        </w:rPr>
        <w:t>2013;31:649–654.</w:t>
      </w:r>
    </w:p>
    <w:p>
      <w:pPr>
        <w:pStyle w:val="ListParagraph"/>
        <w:numPr>
          <w:ilvl w:val="0"/>
          <w:numId w:val="12"/>
        </w:numPr>
        <w:tabs>
          <w:tab w:pos="681" w:val="left" w:leader="none"/>
        </w:tabs>
        <w:spacing w:line="256" w:lineRule="auto" w:before="1" w:after="0"/>
        <w:ind w:left="680" w:right="129" w:hanging="571"/>
        <w:jc w:val="both"/>
        <w:rPr>
          <w:sz w:val="27"/>
        </w:rPr>
      </w:pPr>
      <w:r>
        <w:rPr>
          <w:spacing w:val="-6"/>
          <w:sz w:val="27"/>
        </w:rPr>
        <w:t>Yano </w:t>
      </w:r>
      <w:r>
        <w:rPr>
          <w:spacing w:val="-12"/>
          <w:sz w:val="27"/>
        </w:rPr>
        <w:t>Y, </w:t>
      </w:r>
      <w:r>
        <w:rPr>
          <w:sz w:val="27"/>
        </w:rPr>
        <w:t>Stamler J, Garside DB, et al. Isolated systolic hypertension  in</w:t>
      </w:r>
      <w:r>
        <w:rPr>
          <w:spacing w:val="-11"/>
          <w:sz w:val="27"/>
        </w:rPr>
        <w:t> </w:t>
      </w:r>
      <w:r>
        <w:rPr>
          <w:sz w:val="27"/>
        </w:rPr>
        <w:t>young</w:t>
      </w:r>
      <w:r>
        <w:rPr>
          <w:spacing w:val="-10"/>
          <w:sz w:val="27"/>
        </w:rPr>
        <w:t> </w:t>
      </w:r>
      <w:r>
        <w:rPr>
          <w:sz w:val="27"/>
        </w:rPr>
        <w:t>and</w:t>
      </w:r>
      <w:r>
        <w:rPr>
          <w:spacing w:val="-10"/>
          <w:sz w:val="27"/>
        </w:rPr>
        <w:t> </w:t>
      </w:r>
      <w:r>
        <w:rPr>
          <w:sz w:val="27"/>
        </w:rPr>
        <w:t>middle-aged</w:t>
      </w:r>
      <w:r>
        <w:rPr>
          <w:spacing w:val="-10"/>
          <w:sz w:val="27"/>
        </w:rPr>
        <w:t> </w:t>
      </w:r>
      <w:r>
        <w:rPr>
          <w:sz w:val="27"/>
        </w:rPr>
        <w:t>adults</w:t>
      </w:r>
      <w:r>
        <w:rPr>
          <w:spacing w:val="-10"/>
          <w:sz w:val="27"/>
        </w:rPr>
        <w:t> </w:t>
      </w:r>
      <w:r>
        <w:rPr>
          <w:sz w:val="27"/>
        </w:rPr>
        <w:t>and</w:t>
      </w:r>
      <w:r>
        <w:rPr>
          <w:spacing w:val="-10"/>
          <w:sz w:val="27"/>
        </w:rPr>
        <w:t> </w:t>
      </w:r>
      <w:r>
        <w:rPr>
          <w:sz w:val="27"/>
        </w:rPr>
        <w:t>31-year</w:t>
      </w:r>
      <w:r>
        <w:rPr>
          <w:spacing w:val="-10"/>
          <w:sz w:val="27"/>
        </w:rPr>
        <w:t> </w:t>
      </w:r>
      <w:r>
        <w:rPr>
          <w:sz w:val="27"/>
        </w:rPr>
        <w:t>risk</w:t>
      </w:r>
      <w:r>
        <w:rPr>
          <w:spacing w:val="-10"/>
          <w:sz w:val="27"/>
        </w:rPr>
        <w:t> </w:t>
      </w:r>
      <w:r>
        <w:rPr>
          <w:sz w:val="27"/>
        </w:rPr>
        <w:t>for</w:t>
      </w:r>
      <w:r>
        <w:rPr>
          <w:spacing w:val="-11"/>
          <w:sz w:val="27"/>
        </w:rPr>
        <w:t> </w:t>
      </w:r>
      <w:r>
        <w:rPr>
          <w:sz w:val="27"/>
        </w:rPr>
        <w:t>cardiovascular mortality: the Chicago Heart Association Detection Project in Industry study. JAmCollCardiol</w:t>
      </w:r>
      <w:r>
        <w:rPr>
          <w:spacing w:val="-1"/>
          <w:sz w:val="27"/>
        </w:rPr>
        <w:t> </w:t>
      </w:r>
      <w:r>
        <w:rPr>
          <w:sz w:val="27"/>
        </w:rPr>
        <w:t>2015;65:327–335.</w:t>
      </w:r>
    </w:p>
    <w:p>
      <w:pPr>
        <w:pStyle w:val="ListParagraph"/>
        <w:numPr>
          <w:ilvl w:val="0"/>
          <w:numId w:val="12"/>
        </w:numPr>
        <w:tabs>
          <w:tab w:pos="681" w:val="left" w:leader="none"/>
        </w:tabs>
        <w:spacing w:line="256" w:lineRule="auto" w:before="2" w:after="0"/>
        <w:ind w:left="680" w:right="135" w:hanging="571"/>
        <w:jc w:val="both"/>
        <w:rPr>
          <w:sz w:val="27"/>
        </w:rPr>
      </w:pPr>
      <w:r>
        <w:rPr>
          <w:sz w:val="27"/>
        </w:rPr>
        <w:t>Penny</w:t>
      </w:r>
      <w:r>
        <w:rPr>
          <w:spacing w:val="-8"/>
          <w:sz w:val="27"/>
        </w:rPr>
        <w:t> </w:t>
      </w:r>
      <w:r>
        <w:rPr>
          <w:sz w:val="27"/>
        </w:rPr>
        <w:t>JA,</w:t>
      </w:r>
      <w:r>
        <w:rPr>
          <w:spacing w:val="-7"/>
          <w:sz w:val="27"/>
        </w:rPr>
        <w:t> </w:t>
      </w:r>
      <w:r>
        <w:rPr>
          <w:sz w:val="27"/>
        </w:rPr>
        <w:t>Halligan</w:t>
      </w:r>
      <w:r>
        <w:rPr>
          <w:spacing w:val="-8"/>
          <w:sz w:val="27"/>
        </w:rPr>
        <w:t> </w:t>
      </w:r>
      <w:r>
        <w:rPr>
          <w:spacing w:val="-15"/>
          <w:sz w:val="27"/>
        </w:rPr>
        <w:t>AW,</w:t>
      </w:r>
      <w:r>
        <w:rPr>
          <w:spacing w:val="-7"/>
          <w:sz w:val="27"/>
        </w:rPr>
        <w:t> </w:t>
      </w:r>
      <w:r>
        <w:rPr>
          <w:sz w:val="27"/>
        </w:rPr>
        <w:t>Shennan</w:t>
      </w:r>
      <w:r>
        <w:rPr>
          <w:spacing w:val="-8"/>
          <w:sz w:val="27"/>
        </w:rPr>
        <w:t> </w:t>
      </w:r>
      <w:r>
        <w:rPr>
          <w:sz w:val="27"/>
        </w:rPr>
        <w:t>AH,</w:t>
      </w:r>
      <w:r>
        <w:rPr>
          <w:spacing w:val="-7"/>
          <w:sz w:val="27"/>
        </w:rPr>
        <w:t> </w:t>
      </w:r>
      <w:r>
        <w:rPr>
          <w:sz w:val="27"/>
        </w:rPr>
        <w:t>et</w:t>
      </w:r>
      <w:r>
        <w:rPr>
          <w:spacing w:val="-8"/>
          <w:sz w:val="27"/>
        </w:rPr>
        <w:t> </w:t>
      </w:r>
      <w:r>
        <w:rPr>
          <w:sz w:val="27"/>
        </w:rPr>
        <w:t>al.</w:t>
      </w:r>
      <w:r>
        <w:rPr>
          <w:spacing w:val="-7"/>
          <w:sz w:val="27"/>
        </w:rPr>
        <w:t> </w:t>
      </w:r>
      <w:r>
        <w:rPr>
          <w:sz w:val="27"/>
        </w:rPr>
        <w:t>Automated,</w:t>
      </w:r>
      <w:r>
        <w:rPr>
          <w:spacing w:val="-8"/>
          <w:sz w:val="27"/>
        </w:rPr>
        <w:t> </w:t>
      </w:r>
      <w:r>
        <w:rPr>
          <w:sz w:val="27"/>
        </w:rPr>
        <w:t>ambulatory, or conventional blood pressure measurement in pregnancy: </w:t>
      </w:r>
      <w:r>
        <w:rPr>
          <w:spacing w:val="-3"/>
          <w:sz w:val="27"/>
        </w:rPr>
        <w:t>which </w:t>
      </w:r>
      <w:r>
        <w:rPr>
          <w:sz w:val="27"/>
        </w:rPr>
        <w:t>is the better predictor of severe hypertension? Am JObstet </w:t>
      </w:r>
      <w:r>
        <w:rPr>
          <w:spacing w:val="-3"/>
          <w:sz w:val="27"/>
        </w:rPr>
        <w:t>Gynecol </w:t>
      </w:r>
      <w:r>
        <w:rPr>
          <w:sz w:val="27"/>
        </w:rPr>
        <w:t>1998;178:521–526.</w:t>
      </w:r>
    </w:p>
    <w:p>
      <w:pPr>
        <w:pStyle w:val="ListParagraph"/>
        <w:numPr>
          <w:ilvl w:val="0"/>
          <w:numId w:val="12"/>
        </w:numPr>
        <w:tabs>
          <w:tab w:pos="681" w:val="left" w:leader="none"/>
        </w:tabs>
        <w:spacing w:line="256" w:lineRule="auto" w:before="1" w:after="0"/>
        <w:ind w:left="680" w:right="131" w:hanging="571"/>
        <w:jc w:val="both"/>
        <w:rPr>
          <w:sz w:val="27"/>
        </w:rPr>
      </w:pPr>
      <w:r>
        <w:rPr>
          <w:spacing w:val="-4"/>
          <w:w w:val="105"/>
          <w:sz w:val="27"/>
        </w:rPr>
        <w:t>Weitz </w:t>
      </w:r>
      <w:r>
        <w:rPr>
          <w:w w:val="105"/>
          <w:sz w:val="27"/>
        </w:rPr>
        <w:t>C. et al. Treatment of hypertension in pregnancy with methyldopa: a randomized double blind study //International Journal of Gynecology &amp; Obstetrics. – </w:t>
      </w:r>
      <w:r>
        <w:rPr>
          <w:spacing w:val="-6"/>
          <w:w w:val="105"/>
          <w:sz w:val="27"/>
        </w:rPr>
        <w:t>1987. </w:t>
      </w:r>
      <w:r>
        <w:rPr>
          <w:w w:val="105"/>
          <w:sz w:val="27"/>
        </w:rPr>
        <w:t>– Т. 25. – </w:t>
      </w:r>
      <w:r>
        <w:rPr>
          <w:spacing w:val="13"/>
          <w:w w:val="105"/>
          <w:sz w:val="27"/>
        </w:rPr>
        <w:t>№. </w:t>
      </w:r>
      <w:r>
        <w:rPr>
          <w:w w:val="105"/>
          <w:sz w:val="27"/>
        </w:rPr>
        <w:t>1. – С. 35-40.</w:t>
      </w:r>
    </w:p>
    <w:p>
      <w:pPr>
        <w:pStyle w:val="ListParagraph"/>
        <w:numPr>
          <w:ilvl w:val="0"/>
          <w:numId w:val="12"/>
        </w:numPr>
        <w:tabs>
          <w:tab w:pos="681" w:val="left" w:leader="none"/>
        </w:tabs>
        <w:spacing w:line="256" w:lineRule="auto" w:before="2" w:after="0"/>
        <w:ind w:left="680" w:right="137" w:hanging="571"/>
        <w:jc w:val="both"/>
        <w:rPr>
          <w:sz w:val="27"/>
        </w:rPr>
      </w:pPr>
      <w:r>
        <w:rPr>
          <w:sz w:val="27"/>
        </w:rPr>
        <w:t>Williams B et al. 2018 Practice guidelines for the management of arterial hypertension of the European Society of Cardiology and</w:t>
      </w:r>
      <w:r>
        <w:rPr>
          <w:spacing w:val="36"/>
          <w:sz w:val="27"/>
        </w:rPr>
        <w:t> </w:t>
      </w:r>
      <w:r>
        <w:rPr>
          <w:sz w:val="27"/>
        </w:rPr>
        <w:t>the</w:t>
      </w:r>
    </w:p>
    <w:p>
      <w:pPr>
        <w:spacing w:after="0" w:line="256" w:lineRule="auto"/>
        <w:jc w:val="both"/>
        <w:rPr>
          <w:sz w:val="27"/>
        </w:rPr>
        <w:sectPr>
          <w:pgSz w:w="11900" w:h="16840"/>
          <w:pgMar w:top="0" w:bottom="0" w:left="1420" w:right="1520"/>
        </w:sectPr>
      </w:pPr>
    </w:p>
    <w:p>
      <w:pPr>
        <w:pStyle w:val="BodyText"/>
        <w:spacing w:before="16"/>
        <w:jc w:val="left"/>
      </w:pPr>
      <w:r>
        <w:rPr/>
        <w:t>European Society of Hypertension. Blood pressure 27.6 (2018): 314–</w:t>
      </w:r>
    </w:p>
    <w:p>
      <w:pPr>
        <w:pStyle w:val="BodyText"/>
        <w:spacing w:before="26"/>
        <w:jc w:val="left"/>
      </w:pPr>
      <w:r>
        <w:rPr>
          <w:w w:val="110"/>
        </w:rPr>
        <w:t>340.</w:t>
      </w:r>
    </w:p>
    <w:p>
      <w:pPr>
        <w:pStyle w:val="ListParagraph"/>
        <w:numPr>
          <w:ilvl w:val="0"/>
          <w:numId w:val="12"/>
        </w:numPr>
        <w:tabs>
          <w:tab w:pos="681" w:val="left" w:leader="none"/>
        </w:tabs>
        <w:spacing w:line="256" w:lineRule="auto" w:before="26" w:after="0"/>
        <w:ind w:left="680" w:right="138" w:hanging="571"/>
        <w:jc w:val="both"/>
        <w:rPr>
          <w:sz w:val="27"/>
        </w:rPr>
      </w:pPr>
      <w:r>
        <w:rPr>
          <w:sz w:val="27"/>
        </w:rPr>
        <w:t>Curtis KM et al. Combined oral contraceptive use among women with hypertension: a systematic </w:t>
      </w:r>
      <w:r>
        <w:rPr>
          <w:spacing w:val="-3"/>
          <w:sz w:val="27"/>
        </w:rPr>
        <w:t>review. </w:t>
      </w:r>
      <w:r>
        <w:rPr>
          <w:sz w:val="27"/>
        </w:rPr>
        <w:t>Contraception </w:t>
      </w:r>
      <w:r>
        <w:rPr>
          <w:spacing w:val="-3"/>
          <w:sz w:val="27"/>
        </w:rPr>
        <w:t>73.2 </w:t>
      </w:r>
      <w:r>
        <w:rPr>
          <w:sz w:val="27"/>
        </w:rPr>
        <w:t>(2006):179–188.</w:t>
      </w:r>
    </w:p>
    <w:p>
      <w:pPr>
        <w:pStyle w:val="ListParagraph"/>
        <w:numPr>
          <w:ilvl w:val="0"/>
          <w:numId w:val="12"/>
        </w:numPr>
        <w:tabs>
          <w:tab w:pos="681" w:val="left" w:leader="none"/>
        </w:tabs>
        <w:spacing w:line="256" w:lineRule="auto" w:before="1" w:after="0"/>
        <w:ind w:left="680" w:right="129" w:hanging="571"/>
        <w:jc w:val="both"/>
        <w:rPr>
          <w:sz w:val="27"/>
        </w:rPr>
      </w:pPr>
      <w:r>
        <w:rPr>
          <w:sz w:val="27"/>
        </w:rPr>
        <w:t>Lubianca JN, Moreira LB, Gus M, Fuchs </w:t>
      </w:r>
      <w:r>
        <w:rPr>
          <w:spacing w:val="-3"/>
          <w:sz w:val="27"/>
        </w:rPr>
        <w:t>FD. </w:t>
      </w:r>
      <w:r>
        <w:rPr>
          <w:sz w:val="27"/>
        </w:rPr>
        <w:t>Stopping oral contraceptives: an effective blood  pressure-lowering  intervention in women with hypertension. J Hum Hypertens</w:t>
      </w:r>
      <w:r>
        <w:rPr>
          <w:spacing w:val="55"/>
          <w:sz w:val="27"/>
        </w:rPr>
        <w:t> </w:t>
      </w:r>
      <w:r>
        <w:rPr>
          <w:sz w:val="27"/>
        </w:rPr>
        <w:t>2005;19:451–455.</w:t>
      </w:r>
    </w:p>
    <w:p>
      <w:pPr>
        <w:pStyle w:val="ListParagraph"/>
        <w:numPr>
          <w:ilvl w:val="0"/>
          <w:numId w:val="12"/>
        </w:numPr>
        <w:tabs>
          <w:tab w:pos="681" w:val="left" w:leader="none"/>
        </w:tabs>
        <w:spacing w:line="256" w:lineRule="auto" w:before="2" w:after="0"/>
        <w:ind w:left="680" w:right="133" w:hanging="571"/>
        <w:jc w:val="both"/>
        <w:rPr>
          <w:sz w:val="27"/>
        </w:rPr>
      </w:pPr>
      <w:r>
        <w:rPr>
          <w:spacing w:val="-3"/>
          <w:w w:val="105"/>
          <w:sz w:val="27"/>
        </w:rPr>
        <w:t>Chasan-Taber</w:t>
      </w:r>
      <w:r>
        <w:rPr>
          <w:spacing w:val="-23"/>
          <w:w w:val="105"/>
          <w:sz w:val="27"/>
        </w:rPr>
        <w:t> </w:t>
      </w:r>
      <w:r>
        <w:rPr>
          <w:w w:val="105"/>
          <w:sz w:val="27"/>
        </w:rPr>
        <w:t>L,</w:t>
      </w:r>
      <w:r>
        <w:rPr>
          <w:spacing w:val="-23"/>
          <w:w w:val="105"/>
          <w:sz w:val="27"/>
        </w:rPr>
        <w:t> </w:t>
      </w:r>
      <w:r>
        <w:rPr>
          <w:w w:val="105"/>
          <w:sz w:val="27"/>
        </w:rPr>
        <w:t>Willett</w:t>
      </w:r>
      <w:r>
        <w:rPr>
          <w:spacing w:val="-23"/>
          <w:w w:val="105"/>
          <w:sz w:val="27"/>
        </w:rPr>
        <w:t> </w:t>
      </w:r>
      <w:r>
        <w:rPr>
          <w:spacing w:val="-3"/>
          <w:w w:val="105"/>
          <w:sz w:val="27"/>
        </w:rPr>
        <w:t>WC,</w:t>
      </w:r>
      <w:r>
        <w:rPr>
          <w:spacing w:val="-23"/>
          <w:w w:val="105"/>
          <w:sz w:val="27"/>
        </w:rPr>
        <w:t> </w:t>
      </w:r>
      <w:r>
        <w:rPr>
          <w:w w:val="105"/>
          <w:sz w:val="27"/>
        </w:rPr>
        <w:t>Manson</w:t>
      </w:r>
      <w:r>
        <w:rPr>
          <w:spacing w:val="-23"/>
          <w:w w:val="105"/>
          <w:sz w:val="27"/>
        </w:rPr>
        <w:t> </w:t>
      </w:r>
      <w:r>
        <w:rPr>
          <w:w w:val="105"/>
          <w:sz w:val="27"/>
        </w:rPr>
        <w:t>JE,</w:t>
      </w:r>
      <w:r>
        <w:rPr>
          <w:spacing w:val="-23"/>
          <w:w w:val="105"/>
          <w:sz w:val="27"/>
        </w:rPr>
        <w:t> </w:t>
      </w:r>
      <w:r>
        <w:rPr>
          <w:w w:val="105"/>
          <w:sz w:val="27"/>
        </w:rPr>
        <w:t>et</w:t>
      </w:r>
      <w:r>
        <w:rPr>
          <w:spacing w:val="-23"/>
          <w:w w:val="105"/>
          <w:sz w:val="27"/>
        </w:rPr>
        <w:t> </w:t>
      </w:r>
      <w:r>
        <w:rPr>
          <w:w w:val="105"/>
          <w:sz w:val="27"/>
        </w:rPr>
        <w:t>al.</w:t>
      </w:r>
      <w:r>
        <w:rPr>
          <w:spacing w:val="-23"/>
          <w:w w:val="105"/>
          <w:sz w:val="27"/>
        </w:rPr>
        <w:t> </w:t>
      </w:r>
      <w:r>
        <w:rPr>
          <w:w w:val="105"/>
          <w:sz w:val="27"/>
        </w:rPr>
        <w:t>Prospective</w:t>
      </w:r>
      <w:r>
        <w:rPr>
          <w:spacing w:val="-23"/>
          <w:w w:val="105"/>
          <w:sz w:val="27"/>
        </w:rPr>
        <w:t> </w:t>
      </w:r>
      <w:r>
        <w:rPr>
          <w:w w:val="105"/>
          <w:sz w:val="27"/>
        </w:rPr>
        <w:t>study</w:t>
      </w:r>
      <w:r>
        <w:rPr>
          <w:spacing w:val="-23"/>
          <w:w w:val="105"/>
          <w:sz w:val="27"/>
        </w:rPr>
        <w:t> </w:t>
      </w:r>
      <w:r>
        <w:rPr>
          <w:w w:val="105"/>
          <w:sz w:val="27"/>
        </w:rPr>
        <w:t>of oral</w:t>
      </w:r>
      <w:r>
        <w:rPr>
          <w:spacing w:val="-24"/>
          <w:w w:val="105"/>
          <w:sz w:val="27"/>
        </w:rPr>
        <w:t> </w:t>
      </w:r>
      <w:r>
        <w:rPr>
          <w:w w:val="105"/>
          <w:sz w:val="27"/>
        </w:rPr>
        <w:t>contraceptives</w:t>
      </w:r>
      <w:r>
        <w:rPr>
          <w:spacing w:val="-24"/>
          <w:w w:val="105"/>
          <w:sz w:val="27"/>
        </w:rPr>
        <w:t> </w:t>
      </w:r>
      <w:r>
        <w:rPr>
          <w:w w:val="105"/>
          <w:sz w:val="27"/>
        </w:rPr>
        <w:t>and</w:t>
      </w:r>
      <w:r>
        <w:rPr>
          <w:spacing w:val="-24"/>
          <w:w w:val="105"/>
          <w:sz w:val="27"/>
        </w:rPr>
        <w:t> </w:t>
      </w:r>
      <w:r>
        <w:rPr>
          <w:w w:val="105"/>
          <w:sz w:val="27"/>
        </w:rPr>
        <w:t>hypertension</w:t>
      </w:r>
      <w:r>
        <w:rPr>
          <w:spacing w:val="-23"/>
          <w:w w:val="105"/>
          <w:sz w:val="27"/>
        </w:rPr>
        <w:t> </w:t>
      </w:r>
      <w:r>
        <w:rPr>
          <w:w w:val="105"/>
          <w:sz w:val="27"/>
        </w:rPr>
        <w:t>among</w:t>
      </w:r>
      <w:r>
        <w:rPr>
          <w:spacing w:val="-24"/>
          <w:w w:val="105"/>
          <w:sz w:val="27"/>
        </w:rPr>
        <w:t> </w:t>
      </w:r>
      <w:r>
        <w:rPr>
          <w:w w:val="105"/>
          <w:sz w:val="27"/>
        </w:rPr>
        <w:t>women</w:t>
      </w:r>
      <w:r>
        <w:rPr>
          <w:spacing w:val="-24"/>
          <w:w w:val="105"/>
          <w:sz w:val="27"/>
        </w:rPr>
        <w:t> </w:t>
      </w:r>
      <w:r>
        <w:rPr>
          <w:w w:val="105"/>
          <w:sz w:val="27"/>
        </w:rPr>
        <w:t>in</w:t>
      </w:r>
      <w:r>
        <w:rPr>
          <w:spacing w:val="-23"/>
          <w:w w:val="105"/>
          <w:sz w:val="27"/>
        </w:rPr>
        <w:t> </w:t>
      </w:r>
      <w:r>
        <w:rPr>
          <w:w w:val="105"/>
          <w:sz w:val="27"/>
        </w:rPr>
        <w:t>the</w:t>
      </w:r>
      <w:r>
        <w:rPr>
          <w:spacing w:val="-24"/>
          <w:w w:val="105"/>
          <w:sz w:val="27"/>
        </w:rPr>
        <w:t> </w:t>
      </w:r>
      <w:r>
        <w:rPr>
          <w:w w:val="105"/>
          <w:sz w:val="27"/>
        </w:rPr>
        <w:t>United States. Circulation</w:t>
      </w:r>
      <w:r>
        <w:rPr>
          <w:spacing w:val="-10"/>
          <w:w w:val="105"/>
          <w:sz w:val="27"/>
        </w:rPr>
        <w:t> </w:t>
      </w:r>
      <w:r>
        <w:rPr>
          <w:w w:val="105"/>
          <w:sz w:val="27"/>
        </w:rPr>
        <w:t>1996;94:483–489.</w:t>
      </w:r>
    </w:p>
    <w:p>
      <w:pPr>
        <w:pStyle w:val="ListParagraph"/>
        <w:numPr>
          <w:ilvl w:val="0"/>
          <w:numId w:val="12"/>
        </w:numPr>
        <w:tabs>
          <w:tab w:pos="681" w:val="left" w:leader="none"/>
        </w:tabs>
        <w:spacing w:line="256" w:lineRule="auto" w:before="1" w:after="0"/>
        <w:ind w:left="680" w:right="131" w:hanging="571"/>
        <w:jc w:val="both"/>
        <w:rPr>
          <w:sz w:val="27"/>
        </w:rPr>
      </w:pPr>
      <w:r>
        <w:rPr>
          <w:sz w:val="27"/>
        </w:rPr>
        <w:t>Dong </w:t>
      </w:r>
      <w:r>
        <w:rPr>
          <w:spacing w:val="-9"/>
          <w:sz w:val="27"/>
        </w:rPr>
        <w:t>W, </w:t>
      </w:r>
      <w:r>
        <w:rPr>
          <w:sz w:val="27"/>
        </w:rPr>
        <w:t>Colhoun HM, Poulter NR. Blood pressure in women using oral contraceptives: results from the Health Survey for England 1994. J Hypertens</w:t>
      </w:r>
      <w:r>
        <w:rPr>
          <w:spacing w:val="6"/>
          <w:sz w:val="27"/>
        </w:rPr>
        <w:t> </w:t>
      </w:r>
      <w:r>
        <w:rPr>
          <w:sz w:val="27"/>
        </w:rPr>
        <w:t>1997;15:1063–1068.</w:t>
      </w:r>
    </w:p>
    <w:p>
      <w:pPr>
        <w:pStyle w:val="ListParagraph"/>
        <w:numPr>
          <w:ilvl w:val="0"/>
          <w:numId w:val="12"/>
        </w:numPr>
        <w:tabs>
          <w:tab w:pos="681" w:val="left" w:leader="none"/>
        </w:tabs>
        <w:spacing w:line="256" w:lineRule="auto" w:before="1" w:after="0"/>
        <w:ind w:left="680" w:right="138" w:hanging="571"/>
        <w:jc w:val="both"/>
        <w:rPr>
          <w:sz w:val="27"/>
        </w:rPr>
      </w:pPr>
      <w:r>
        <w:rPr>
          <w:w w:val="105"/>
          <w:sz w:val="27"/>
        </w:rPr>
        <w:t>Gillum</w:t>
      </w:r>
      <w:r>
        <w:rPr>
          <w:spacing w:val="-37"/>
          <w:w w:val="105"/>
          <w:sz w:val="27"/>
        </w:rPr>
        <w:t> </w:t>
      </w:r>
      <w:r>
        <w:rPr>
          <w:w w:val="105"/>
          <w:sz w:val="27"/>
        </w:rPr>
        <w:t>LA,</w:t>
      </w:r>
      <w:r>
        <w:rPr>
          <w:spacing w:val="-36"/>
          <w:w w:val="105"/>
          <w:sz w:val="27"/>
        </w:rPr>
        <w:t> </w:t>
      </w:r>
      <w:r>
        <w:rPr>
          <w:w w:val="105"/>
          <w:sz w:val="27"/>
        </w:rPr>
        <w:t>Mamidipudi</w:t>
      </w:r>
      <w:r>
        <w:rPr>
          <w:spacing w:val="-36"/>
          <w:w w:val="105"/>
          <w:sz w:val="27"/>
        </w:rPr>
        <w:t> </w:t>
      </w:r>
      <w:r>
        <w:rPr>
          <w:w w:val="105"/>
          <w:sz w:val="27"/>
        </w:rPr>
        <w:t>SK,</w:t>
      </w:r>
      <w:r>
        <w:rPr>
          <w:spacing w:val="-37"/>
          <w:w w:val="105"/>
          <w:sz w:val="27"/>
        </w:rPr>
        <w:t> </w:t>
      </w:r>
      <w:r>
        <w:rPr>
          <w:w w:val="105"/>
          <w:sz w:val="27"/>
        </w:rPr>
        <w:t>Johnston</w:t>
      </w:r>
      <w:r>
        <w:rPr>
          <w:spacing w:val="-36"/>
          <w:w w:val="105"/>
          <w:sz w:val="27"/>
        </w:rPr>
        <w:t> </w:t>
      </w:r>
      <w:r>
        <w:rPr>
          <w:w w:val="105"/>
          <w:sz w:val="27"/>
        </w:rPr>
        <w:t>SC.</w:t>
      </w:r>
      <w:r>
        <w:rPr>
          <w:spacing w:val="-37"/>
          <w:w w:val="105"/>
          <w:sz w:val="27"/>
        </w:rPr>
        <w:t> </w:t>
      </w:r>
      <w:r>
        <w:rPr>
          <w:w w:val="105"/>
          <w:sz w:val="27"/>
        </w:rPr>
        <w:t>Ischemic</w:t>
      </w:r>
      <w:r>
        <w:rPr>
          <w:spacing w:val="-36"/>
          <w:w w:val="105"/>
          <w:sz w:val="27"/>
        </w:rPr>
        <w:t> </w:t>
      </w:r>
      <w:r>
        <w:rPr>
          <w:w w:val="105"/>
          <w:sz w:val="27"/>
        </w:rPr>
        <w:t>stroke</w:t>
      </w:r>
      <w:r>
        <w:rPr>
          <w:spacing w:val="-36"/>
          <w:w w:val="105"/>
          <w:sz w:val="27"/>
        </w:rPr>
        <w:t> </w:t>
      </w:r>
      <w:r>
        <w:rPr>
          <w:w w:val="105"/>
          <w:sz w:val="27"/>
        </w:rPr>
        <w:t>risk</w:t>
      </w:r>
      <w:r>
        <w:rPr>
          <w:spacing w:val="-37"/>
          <w:w w:val="105"/>
          <w:sz w:val="27"/>
        </w:rPr>
        <w:t> </w:t>
      </w:r>
      <w:r>
        <w:rPr>
          <w:w w:val="105"/>
          <w:sz w:val="27"/>
        </w:rPr>
        <w:t>with oral</w:t>
      </w:r>
      <w:r>
        <w:rPr>
          <w:spacing w:val="-13"/>
          <w:w w:val="105"/>
          <w:sz w:val="27"/>
        </w:rPr>
        <w:t> </w:t>
      </w:r>
      <w:r>
        <w:rPr>
          <w:w w:val="105"/>
          <w:sz w:val="27"/>
        </w:rPr>
        <w:t>contraceptives:</w:t>
      </w:r>
      <w:r>
        <w:rPr>
          <w:spacing w:val="-12"/>
          <w:w w:val="105"/>
          <w:sz w:val="27"/>
        </w:rPr>
        <w:t> </w:t>
      </w:r>
      <w:r>
        <w:rPr>
          <w:w w:val="105"/>
          <w:sz w:val="27"/>
        </w:rPr>
        <w:t>a</w:t>
      </w:r>
      <w:r>
        <w:rPr>
          <w:spacing w:val="-13"/>
          <w:w w:val="105"/>
          <w:sz w:val="27"/>
        </w:rPr>
        <w:t> </w:t>
      </w:r>
      <w:r>
        <w:rPr>
          <w:w w:val="105"/>
          <w:sz w:val="27"/>
        </w:rPr>
        <w:t>meta-analysis.</w:t>
      </w:r>
      <w:r>
        <w:rPr>
          <w:spacing w:val="-12"/>
          <w:w w:val="105"/>
          <w:sz w:val="27"/>
        </w:rPr>
        <w:t> </w:t>
      </w:r>
      <w:r>
        <w:rPr>
          <w:w w:val="105"/>
          <w:sz w:val="27"/>
        </w:rPr>
        <w:t>JAMA</w:t>
      </w:r>
      <w:r>
        <w:rPr>
          <w:spacing w:val="-12"/>
          <w:w w:val="105"/>
          <w:sz w:val="27"/>
        </w:rPr>
        <w:t> </w:t>
      </w:r>
      <w:r>
        <w:rPr>
          <w:w w:val="105"/>
          <w:sz w:val="27"/>
        </w:rPr>
        <w:t>2000;284:72–78.</w:t>
      </w:r>
    </w:p>
    <w:p>
      <w:pPr>
        <w:pStyle w:val="ListParagraph"/>
        <w:numPr>
          <w:ilvl w:val="0"/>
          <w:numId w:val="12"/>
        </w:numPr>
        <w:tabs>
          <w:tab w:pos="681" w:val="left" w:leader="none"/>
          <w:tab w:pos="3255" w:val="left" w:leader="none"/>
          <w:tab w:pos="4685" w:val="left" w:leader="none"/>
          <w:tab w:pos="6293" w:val="left" w:leader="none"/>
          <w:tab w:pos="8176" w:val="left" w:leader="none"/>
        </w:tabs>
        <w:spacing w:line="256" w:lineRule="auto" w:before="1" w:after="0"/>
        <w:ind w:left="680" w:right="130" w:hanging="571"/>
        <w:jc w:val="both"/>
        <w:rPr>
          <w:sz w:val="27"/>
        </w:rPr>
      </w:pPr>
      <w:r>
        <w:rPr>
          <w:spacing w:val="-4"/>
          <w:sz w:val="27"/>
        </w:rPr>
        <w:t>World </w:t>
      </w:r>
      <w:r>
        <w:rPr>
          <w:sz w:val="27"/>
        </w:rPr>
        <w:t>Health Organization. Medical eligibility criteria for contraceptive</w:t>
        <w:tab/>
        <w:t>use.</w:t>
        <w:tab/>
        <w:t>Third</w:t>
        <w:tab/>
        <w:t>edition,</w:t>
        <w:tab/>
      </w:r>
      <w:r>
        <w:rPr>
          <w:spacing w:val="-4"/>
          <w:sz w:val="27"/>
        </w:rPr>
        <w:t>2004.</w:t>
      </w:r>
    </w:p>
    <w:p>
      <w:pPr>
        <w:pStyle w:val="BodyText"/>
        <w:spacing w:line="256" w:lineRule="auto"/>
        <w:ind w:right="140"/>
      </w:pPr>
      <w:hyperlink r:id="rId11">
        <w:r>
          <w:rPr>
            <w:w w:val="105"/>
          </w:rPr>
          <w:t>http://apps.who.int/iris/bitstream/10665/42907/1/</w:t>
        </w:r>
      </w:hyperlink>
      <w:r>
        <w:rPr>
          <w:w w:val="105"/>
        </w:rPr>
        <w:t> 9241562668.pdf (date accessed June 28th 2018).</w:t>
      </w:r>
    </w:p>
    <w:p>
      <w:pPr>
        <w:pStyle w:val="ListParagraph"/>
        <w:numPr>
          <w:ilvl w:val="0"/>
          <w:numId w:val="12"/>
        </w:numPr>
        <w:tabs>
          <w:tab w:pos="681" w:val="left" w:leader="none"/>
        </w:tabs>
        <w:spacing w:line="256" w:lineRule="auto" w:before="0" w:after="0"/>
        <w:ind w:left="680" w:right="135" w:hanging="571"/>
        <w:jc w:val="both"/>
        <w:rPr>
          <w:sz w:val="27"/>
        </w:rPr>
      </w:pPr>
      <w:r>
        <w:rPr>
          <w:sz w:val="27"/>
        </w:rPr>
        <w:t>La</w:t>
      </w:r>
      <w:r>
        <w:rPr>
          <w:spacing w:val="-7"/>
          <w:sz w:val="27"/>
        </w:rPr>
        <w:t> </w:t>
      </w:r>
      <w:r>
        <w:rPr>
          <w:spacing w:val="-4"/>
          <w:sz w:val="27"/>
        </w:rPr>
        <w:t>Torre</w:t>
      </w:r>
      <w:r>
        <w:rPr>
          <w:spacing w:val="-6"/>
          <w:sz w:val="27"/>
        </w:rPr>
        <w:t> </w:t>
      </w:r>
      <w:r>
        <w:rPr>
          <w:sz w:val="27"/>
        </w:rPr>
        <w:t>A,</w:t>
      </w:r>
      <w:r>
        <w:rPr>
          <w:spacing w:val="-6"/>
          <w:sz w:val="27"/>
        </w:rPr>
        <w:t> </w:t>
      </w:r>
      <w:r>
        <w:rPr>
          <w:sz w:val="27"/>
        </w:rPr>
        <w:t>Giupponi</w:t>
      </w:r>
      <w:r>
        <w:rPr>
          <w:spacing w:val="-6"/>
          <w:sz w:val="27"/>
        </w:rPr>
        <w:t> </w:t>
      </w:r>
      <w:r>
        <w:rPr>
          <w:sz w:val="27"/>
        </w:rPr>
        <w:t>G,</w:t>
      </w:r>
      <w:r>
        <w:rPr>
          <w:spacing w:val="-6"/>
          <w:sz w:val="27"/>
        </w:rPr>
        <w:t> </w:t>
      </w:r>
      <w:r>
        <w:rPr>
          <w:sz w:val="27"/>
        </w:rPr>
        <w:t>Duffy</w:t>
      </w:r>
      <w:r>
        <w:rPr>
          <w:spacing w:val="-6"/>
          <w:sz w:val="27"/>
        </w:rPr>
        <w:t> </w:t>
      </w:r>
      <w:r>
        <w:rPr>
          <w:spacing w:val="-4"/>
          <w:sz w:val="27"/>
        </w:rPr>
        <w:t>D,</w:t>
      </w:r>
      <w:r>
        <w:rPr>
          <w:spacing w:val="-7"/>
          <w:sz w:val="27"/>
        </w:rPr>
        <w:t> </w:t>
      </w:r>
      <w:r>
        <w:rPr>
          <w:sz w:val="27"/>
        </w:rPr>
        <w:t>et</w:t>
      </w:r>
      <w:r>
        <w:rPr>
          <w:spacing w:val="-6"/>
          <w:sz w:val="27"/>
        </w:rPr>
        <w:t> </w:t>
      </w:r>
      <w:r>
        <w:rPr>
          <w:sz w:val="27"/>
        </w:rPr>
        <w:t>al.</w:t>
      </w:r>
      <w:r>
        <w:rPr>
          <w:spacing w:val="-6"/>
          <w:sz w:val="27"/>
        </w:rPr>
        <w:t> </w:t>
      </w:r>
      <w:r>
        <w:rPr>
          <w:sz w:val="27"/>
        </w:rPr>
        <w:t>Sexual</w:t>
      </w:r>
      <w:r>
        <w:rPr>
          <w:spacing w:val="-6"/>
          <w:sz w:val="27"/>
        </w:rPr>
        <w:t> </w:t>
      </w:r>
      <w:r>
        <w:rPr>
          <w:sz w:val="27"/>
        </w:rPr>
        <w:t>dysfunction</w:t>
      </w:r>
      <w:r>
        <w:rPr>
          <w:spacing w:val="-6"/>
          <w:sz w:val="27"/>
        </w:rPr>
        <w:t> </w:t>
      </w:r>
      <w:r>
        <w:rPr>
          <w:sz w:val="27"/>
        </w:rPr>
        <w:t>related</w:t>
      </w:r>
      <w:r>
        <w:rPr>
          <w:spacing w:val="-6"/>
          <w:sz w:val="27"/>
        </w:rPr>
        <w:t> </w:t>
      </w:r>
      <w:r>
        <w:rPr>
          <w:sz w:val="27"/>
        </w:rPr>
        <w:t>to drugs: a critical </w:t>
      </w:r>
      <w:r>
        <w:rPr>
          <w:spacing w:val="-3"/>
          <w:sz w:val="27"/>
        </w:rPr>
        <w:t>review. </w:t>
      </w:r>
      <w:r>
        <w:rPr>
          <w:sz w:val="27"/>
        </w:rPr>
        <w:t>Part IV: cardiovascular drugs.Pharmacopsychiatry 2015;48:1–6.</w:t>
      </w:r>
    </w:p>
    <w:p>
      <w:pPr>
        <w:pStyle w:val="ListParagraph"/>
        <w:numPr>
          <w:ilvl w:val="0"/>
          <w:numId w:val="12"/>
        </w:numPr>
        <w:tabs>
          <w:tab w:pos="681" w:val="left" w:leader="none"/>
        </w:tabs>
        <w:spacing w:line="256" w:lineRule="auto" w:before="2" w:after="0"/>
        <w:ind w:left="680" w:right="136" w:hanging="571"/>
        <w:jc w:val="both"/>
        <w:rPr>
          <w:sz w:val="27"/>
        </w:rPr>
      </w:pPr>
      <w:r>
        <w:rPr>
          <w:sz w:val="27"/>
        </w:rPr>
        <w:t>Pickering </w:t>
      </w:r>
      <w:r>
        <w:rPr>
          <w:spacing w:val="-3"/>
          <w:sz w:val="27"/>
        </w:rPr>
        <w:t>TG, </w:t>
      </w:r>
      <w:r>
        <w:rPr>
          <w:sz w:val="27"/>
        </w:rPr>
        <w:t>Shepherd AM, Puddey I, et al. Sildenaﬁl citrate for erectile dysfunction in men receiving multiple antihypertensive agents: a randomized controlled trial.Am J Hypertens. </w:t>
      </w:r>
      <w:r>
        <w:rPr>
          <w:spacing w:val="-3"/>
          <w:sz w:val="27"/>
        </w:rPr>
        <w:t>2004 </w:t>
      </w:r>
      <w:r>
        <w:rPr>
          <w:sz w:val="27"/>
        </w:rPr>
        <w:t>Dec;17(12 Pt 1):1135–42.</w:t>
      </w:r>
    </w:p>
    <w:p>
      <w:pPr>
        <w:pStyle w:val="ListParagraph"/>
        <w:numPr>
          <w:ilvl w:val="0"/>
          <w:numId w:val="12"/>
        </w:numPr>
        <w:tabs>
          <w:tab w:pos="681" w:val="left" w:leader="none"/>
        </w:tabs>
        <w:spacing w:line="256" w:lineRule="auto" w:before="1" w:after="0"/>
        <w:ind w:left="680" w:right="137" w:hanging="571"/>
        <w:jc w:val="both"/>
        <w:rPr>
          <w:sz w:val="27"/>
        </w:rPr>
      </w:pPr>
      <w:r>
        <w:rPr>
          <w:sz w:val="27"/>
        </w:rPr>
        <w:t>Jain M, </w:t>
      </w:r>
      <w:r>
        <w:rPr>
          <w:spacing w:val="-3"/>
          <w:sz w:val="27"/>
        </w:rPr>
        <w:t>Townsend </w:t>
      </w:r>
      <w:r>
        <w:rPr>
          <w:sz w:val="27"/>
        </w:rPr>
        <w:t>RR. Chemotherapy agents and hypertension: a focus on angiogenesis blockade. Curr Hypertens Rep 2007;9:320– 328.</w:t>
      </w:r>
    </w:p>
    <w:p>
      <w:pPr>
        <w:pStyle w:val="ListParagraph"/>
        <w:numPr>
          <w:ilvl w:val="0"/>
          <w:numId w:val="12"/>
        </w:numPr>
        <w:tabs>
          <w:tab w:pos="681" w:val="left" w:leader="none"/>
        </w:tabs>
        <w:spacing w:line="256" w:lineRule="auto" w:before="1" w:after="0"/>
        <w:ind w:left="680" w:right="138" w:hanging="571"/>
        <w:jc w:val="both"/>
        <w:rPr>
          <w:sz w:val="27"/>
        </w:rPr>
      </w:pPr>
      <w:r>
        <w:rPr>
          <w:sz w:val="27"/>
        </w:rPr>
        <w:t>Abi Aad S, Pierce M, Barmaimon G et al. Hypertension induced </w:t>
      </w:r>
      <w:r>
        <w:rPr>
          <w:spacing w:val="-9"/>
          <w:sz w:val="27"/>
        </w:rPr>
        <w:t>by</w:t>
      </w:r>
      <w:r>
        <w:rPr>
          <w:spacing w:val="49"/>
          <w:sz w:val="27"/>
        </w:rPr>
        <w:t> </w:t>
      </w:r>
      <w:r>
        <w:rPr>
          <w:sz w:val="27"/>
        </w:rPr>
        <w:t>chemotherapeutic and immunosuppresive agents: a . new challenge. Crit </w:t>
      </w:r>
      <w:r>
        <w:rPr>
          <w:spacing w:val="-4"/>
          <w:sz w:val="27"/>
        </w:rPr>
        <w:t>Rev </w:t>
      </w:r>
      <w:r>
        <w:rPr>
          <w:sz w:val="27"/>
        </w:rPr>
        <w:t>Oncol Hematol</w:t>
      </w:r>
      <w:r>
        <w:rPr>
          <w:spacing w:val="16"/>
          <w:sz w:val="27"/>
        </w:rPr>
        <w:t> </w:t>
      </w:r>
      <w:r>
        <w:rPr>
          <w:sz w:val="27"/>
        </w:rPr>
        <w:t>2015;93:28–35.</w:t>
      </w:r>
    </w:p>
    <w:p>
      <w:pPr>
        <w:pStyle w:val="ListParagraph"/>
        <w:numPr>
          <w:ilvl w:val="0"/>
          <w:numId w:val="12"/>
        </w:numPr>
        <w:tabs>
          <w:tab w:pos="681" w:val="left" w:leader="none"/>
        </w:tabs>
        <w:spacing w:line="256" w:lineRule="auto" w:before="2" w:after="0"/>
        <w:ind w:left="680" w:right="133" w:hanging="571"/>
        <w:jc w:val="both"/>
        <w:rPr>
          <w:sz w:val="27"/>
        </w:rPr>
      </w:pPr>
      <w:r>
        <w:rPr>
          <w:sz w:val="27"/>
        </w:rPr>
        <w:t>Maitland ML, Bakris GL, Black HR, et al. Initial assessment, surveillance, and management of blood pressure in patients receiving vascular endothelial growth factor signaling pathway inhibitors. J Natl Cancer Inst.</w:t>
      </w:r>
      <w:r>
        <w:rPr>
          <w:spacing w:val="20"/>
          <w:sz w:val="27"/>
        </w:rPr>
        <w:t> </w:t>
      </w:r>
      <w:r>
        <w:rPr>
          <w:sz w:val="27"/>
        </w:rPr>
        <w:t>2010;102:596–604.</w:t>
      </w:r>
    </w:p>
    <w:p>
      <w:pPr>
        <w:pStyle w:val="ListParagraph"/>
        <w:numPr>
          <w:ilvl w:val="0"/>
          <w:numId w:val="12"/>
        </w:numPr>
        <w:tabs>
          <w:tab w:pos="681" w:val="left" w:leader="none"/>
        </w:tabs>
        <w:spacing w:line="256" w:lineRule="auto" w:before="1" w:after="0"/>
        <w:ind w:left="680" w:right="135" w:hanging="571"/>
        <w:jc w:val="both"/>
        <w:rPr>
          <w:sz w:val="27"/>
        </w:rPr>
      </w:pPr>
      <w:r>
        <w:rPr>
          <w:sz w:val="27"/>
        </w:rPr>
        <w:t>Chang HM, Okwuosa TM, Scarabelli </w:t>
      </w:r>
      <w:r>
        <w:rPr>
          <w:spacing w:val="-7"/>
          <w:sz w:val="27"/>
        </w:rPr>
        <w:t>T, </w:t>
      </w:r>
      <w:r>
        <w:rPr>
          <w:sz w:val="27"/>
        </w:rPr>
        <w:t>et al. Cardiovascular complications of cancer therapy: best practices in diagnosis, prevention, and management: Part 2. J Am Coll Cardiol 2017;70:2552–2565.</w:t>
      </w:r>
    </w:p>
    <w:p>
      <w:pPr>
        <w:pStyle w:val="ListParagraph"/>
        <w:numPr>
          <w:ilvl w:val="0"/>
          <w:numId w:val="12"/>
        </w:numPr>
        <w:tabs>
          <w:tab w:pos="681" w:val="left" w:leader="none"/>
        </w:tabs>
        <w:spacing w:line="256" w:lineRule="auto" w:before="2" w:after="0"/>
        <w:ind w:left="680" w:right="140" w:hanging="571"/>
        <w:jc w:val="both"/>
        <w:rPr>
          <w:sz w:val="27"/>
        </w:rPr>
      </w:pPr>
      <w:r>
        <w:rPr>
          <w:w w:val="105"/>
          <w:sz w:val="27"/>
        </w:rPr>
        <w:t>Milan</w:t>
      </w:r>
      <w:r>
        <w:rPr>
          <w:spacing w:val="-29"/>
          <w:w w:val="105"/>
          <w:sz w:val="27"/>
        </w:rPr>
        <w:t> </w:t>
      </w:r>
      <w:r>
        <w:rPr>
          <w:w w:val="105"/>
          <w:sz w:val="27"/>
        </w:rPr>
        <w:t>A,</w:t>
      </w:r>
      <w:r>
        <w:rPr>
          <w:spacing w:val="-28"/>
          <w:w w:val="105"/>
          <w:sz w:val="27"/>
        </w:rPr>
        <w:t> </w:t>
      </w:r>
      <w:r>
        <w:rPr>
          <w:w w:val="105"/>
          <w:sz w:val="27"/>
        </w:rPr>
        <w:t>Puglisi</w:t>
      </w:r>
      <w:r>
        <w:rPr>
          <w:spacing w:val="-29"/>
          <w:w w:val="105"/>
          <w:sz w:val="27"/>
        </w:rPr>
        <w:t> </w:t>
      </w:r>
      <w:r>
        <w:rPr>
          <w:w w:val="105"/>
          <w:sz w:val="27"/>
        </w:rPr>
        <w:t>E,</w:t>
      </w:r>
      <w:r>
        <w:rPr>
          <w:spacing w:val="-28"/>
          <w:w w:val="105"/>
          <w:sz w:val="27"/>
        </w:rPr>
        <w:t> </w:t>
      </w:r>
      <w:r>
        <w:rPr>
          <w:w w:val="105"/>
          <w:sz w:val="27"/>
        </w:rPr>
        <w:t>Ferrari</w:t>
      </w:r>
      <w:r>
        <w:rPr>
          <w:spacing w:val="-29"/>
          <w:w w:val="105"/>
          <w:sz w:val="27"/>
        </w:rPr>
        <w:t> </w:t>
      </w:r>
      <w:r>
        <w:rPr>
          <w:w w:val="105"/>
          <w:sz w:val="27"/>
        </w:rPr>
        <w:t>L</w:t>
      </w:r>
      <w:r>
        <w:rPr>
          <w:spacing w:val="-28"/>
          <w:w w:val="105"/>
          <w:sz w:val="27"/>
        </w:rPr>
        <w:t> </w:t>
      </w:r>
      <w:r>
        <w:rPr>
          <w:w w:val="105"/>
          <w:sz w:val="27"/>
        </w:rPr>
        <w:t>et</w:t>
      </w:r>
      <w:r>
        <w:rPr>
          <w:spacing w:val="-29"/>
          <w:w w:val="105"/>
          <w:sz w:val="27"/>
        </w:rPr>
        <w:t> </w:t>
      </w:r>
      <w:r>
        <w:rPr>
          <w:w w:val="105"/>
          <w:sz w:val="27"/>
        </w:rPr>
        <w:t>al.</w:t>
      </w:r>
      <w:r>
        <w:rPr>
          <w:spacing w:val="-28"/>
          <w:w w:val="105"/>
          <w:sz w:val="27"/>
        </w:rPr>
        <w:t> </w:t>
      </w:r>
      <w:r>
        <w:rPr>
          <w:w w:val="105"/>
          <w:sz w:val="27"/>
        </w:rPr>
        <w:t>Arterial</w:t>
      </w:r>
      <w:r>
        <w:rPr>
          <w:spacing w:val="-29"/>
          <w:w w:val="105"/>
          <w:sz w:val="27"/>
        </w:rPr>
        <w:t> </w:t>
      </w:r>
      <w:r>
        <w:rPr>
          <w:w w:val="105"/>
          <w:sz w:val="27"/>
        </w:rPr>
        <w:t>hypertension</w:t>
      </w:r>
      <w:r>
        <w:rPr>
          <w:spacing w:val="-28"/>
          <w:w w:val="105"/>
          <w:sz w:val="27"/>
        </w:rPr>
        <w:t> </w:t>
      </w:r>
      <w:r>
        <w:rPr>
          <w:w w:val="105"/>
          <w:sz w:val="27"/>
        </w:rPr>
        <w:t>and</w:t>
      </w:r>
      <w:r>
        <w:rPr>
          <w:spacing w:val="-29"/>
          <w:w w:val="105"/>
          <w:sz w:val="27"/>
        </w:rPr>
        <w:t> </w:t>
      </w:r>
      <w:r>
        <w:rPr>
          <w:spacing w:val="-3"/>
          <w:w w:val="105"/>
          <w:sz w:val="27"/>
        </w:rPr>
        <w:t>cancer. </w:t>
      </w:r>
      <w:r>
        <w:rPr>
          <w:w w:val="105"/>
          <w:sz w:val="27"/>
        </w:rPr>
        <w:t>Int J Cancer</w:t>
      </w:r>
      <w:r>
        <w:rPr>
          <w:spacing w:val="-16"/>
          <w:w w:val="105"/>
          <w:sz w:val="27"/>
        </w:rPr>
        <w:t> </w:t>
      </w:r>
      <w:r>
        <w:rPr>
          <w:w w:val="105"/>
          <w:sz w:val="27"/>
        </w:rPr>
        <w:t>2014;134:2269–2277.</w:t>
      </w:r>
    </w:p>
    <w:p>
      <w:pPr>
        <w:spacing w:after="0" w:line="256" w:lineRule="auto"/>
        <w:jc w:val="both"/>
        <w:rPr>
          <w:sz w:val="27"/>
        </w:rPr>
        <w:sectPr>
          <w:pgSz w:w="11900" w:h="16840"/>
          <w:pgMar w:top="0" w:bottom="0" w:left="1420" w:right="1520"/>
        </w:sectPr>
      </w:pPr>
    </w:p>
    <w:p>
      <w:pPr>
        <w:pStyle w:val="ListParagraph"/>
        <w:numPr>
          <w:ilvl w:val="0"/>
          <w:numId w:val="12"/>
        </w:numPr>
        <w:tabs>
          <w:tab w:pos="681" w:val="left" w:leader="none"/>
        </w:tabs>
        <w:spacing w:line="256" w:lineRule="auto" w:before="16" w:after="0"/>
        <w:ind w:left="680" w:right="133" w:hanging="571"/>
        <w:jc w:val="both"/>
        <w:rPr>
          <w:sz w:val="27"/>
        </w:rPr>
      </w:pPr>
      <w:r>
        <w:rPr>
          <w:sz w:val="27"/>
        </w:rPr>
        <w:t>Sever PS, Dahlof B, Poulter NR, et al. </w:t>
      </w:r>
      <w:r>
        <w:rPr>
          <w:spacing w:val="-3"/>
          <w:sz w:val="27"/>
        </w:rPr>
        <w:t>ASCOT </w:t>
      </w:r>
      <w:r>
        <w:rPr>
          <w:sz w:val="27"/>
        </w:rPr>
        <w:t>Investigators. Prevention of coronary and stroke events with atorvastatin in hypertensive patients who have average or lower-than- average cholesterol concentrations, in the Anglo-Scandinavian Cardiac Outcomes</w:t>
      </w:r>
      <w:r>
        <w:rPr>
          <w:spacing w:val="-11"/>
          <w:sz w:val="27"/>
        </w:rPr>
        <w:t> </w:t>
      </w:r>
      <w:r>
        <w:rPr>
          <w:sz w:val="27"/>
        </w:rPr>
        <w:t>Trial</w:t>
      </w:r>
      <w:r>
        <w:rPr>
          <w:spacing w:val="-11"/>
          <w:sz w:val="27"/>
        </w:rPr>
        <w:t> </w:t>
      </w:r>
      <w:r>
        <w:rPr>
          <w:sz w:val="27"/>
        </w:rPr>
        <w:t>—</w:t>
      </w:r>
      <w:r>
        <w:rPr>
          <w:spacing w:val="-11"/>
          <w:sz w:val="27"/>
        </w:rPr>
        <w:t> </w:t>
      </w:r>
      <w:r>
        <w:rPr>
          <w:sz w:val="27"/>
        </w:rPr>
        <w:t>Lipid</w:t>
      </w:r>
      <w:r>
        <w:rPr>
          <w:spacing w:val="-11"/>
          <w:sz w:val="27"/>
        </w:rPr>
        <w:t> </w:t>
      </w:r>
      <w:r>
        <w:rPr>
          <w:sz w:val="27"/>
        </w:rPr>
        <w:t>Lowering</w:t>
      </w:r>
      <w:r>
        <w:rPr>
          <w:spacing w:val="-11"/>
          <w:sz w:val="27"/>
        </w:rPr>
        <w:t> </w:t>
      </w:r>
      <w:r>
        <w:rPr>
          <w:sz w:val="27"/>
        </w:rPr>
        <w:t>Arm</w:t>
      </w:r>
      <w:r>
        <w:rPr>
          <w:spacing w:val="-11"/>
          <w:sz w:val="27"/>
        </w:rPr>
        <w:t> </w:t>
      </w:r>
      <w:r>
        <w:rPr>
          <w:spacing w:val="-3"/>
          <w:sz w:val="27"/>
        </w:rPr>
        <w:t>(ASCOT-LLA):</w:t>
      </w:r>
      <w:r>
        <w:rPr>
          <w:spacing w:val="-11"/>
          <w:sz w:val="27"/>
        </w:rPr>
        <w:t> </w:t>
      </w:r>
      <w:r>
        <w:rPr>
          <w:sz w:val="27"/>
        </w:rPr>
        <w:t>a</w:t>
      </w:r>
      <w:r>
        <w:rPr>
          <w:spacing w:val="-11"/>
          <w:sz w:val="27"/>
        </w:rPr>
        <w:t> </w:t>
      </w:r>
      <w:r>
        <w:rPr>
          <w:sz w:val="27"/>
        </w:rPr>
        <w:t>multicentre randomised controlled trial. Lancet</w:t>
      </w:r>
      <w:r>
        <w:rPr>
          <w:spacing w:val="33"/>
          <w:sz w:val="27"/>
        </w:rPr>
        <w:t> </w:t>
      </w:r>
      <w:r>
        <w:rPr>
          <w:sz w:val="27"/>
        </w:rPr>
        <w:t>2003;361:1149–1158.</w:t>
      </w:r>
    </w:p>
    <w:p>
      <w:pPr>
        <w:pStyle w:val="ListParagraph"/>
        <w:numPr>
          <w:ilvl w:val="0"/>
          <w:numId w:val="12"/>
        </w:numPr>
        <w:tabs>
          <w:tab w:pos="681" w:val="left" w:leader="none"/>
        </w:tabs>
        <w:spacing w:line="256" w:lineRule="auto" w:before="3" w:after="0"/>
        <w:ind w:left="680" w:right="131" w:hanging="571"/>
        <w:jc w:val="both"/>
        <w:rPr>
          <w:sz w:val="27"/>
        </w:rPr>
      </w:pPr>
      <w:r>
        <w:rPr>
          <w:sz w:val="27"/>
        </w:rPr>
        <w:t>Authors/Task</w:t>
      </w:r>
      <w:r>
        <w:rPr>
          <w:spacing w:val="-12"/>
          <w:sz w:val="27"/>
        </w:rPr>
        <w:t> </w:t>
      </w:r>
      <w:r>
        <w:rPr>
          <w:sz w:val="27"/>
        </w:rPr>
        <w:t>Force</w:t>
      </w:r>
      <w:r>
        <w:rPr>
          <w:spacing w:val="-11"/>
          <w:sz w:val="27"/>
        </w:rPr>
        <w:t> </w:t>
      </w:r>
      <w:r>
        <w:rPr>
          <w:sz w:val="27"/>
        </w:rPr>
        <w:t>Members:</w:t>
      </w:r>
      <w:r>
        <w:rPr>
          <w:spacing w:val="-11"/>
          <w:sz w:val="27"/>
        </w:rPr>
        <w:t> </w:t>
      </w:r>
      <w:r>
        <w:rPr>
          <w:sz w:val="27"/>
        </w:rPr>
        <w:t>Catapano</w:t>
      </w:r>
      <w:r>
        <w:rPr>
          <w:spacing w:val="-12"/>
          <w:sz w:val="27"/>
        </w:rPr>
        <w:t> </w:t>
      </w:r>
      <w:r>
        <w:rPr>
          <w:sz w:val="27"/>
        </w:rPr>
        <w:t>AL,</w:t>
      </w:r>
      <w:r>
        <w:rPr>
          <w:spacing w:val="-11"/>
          <w:sz w:val="27"/>
        </w:rPr>
        <w:t> </w:t>
      </w:r>
      <w:r>
        <w:rPr>
          <w:sz w:val="27"/>
        </w:rPr>
        <w:t>Graham</w:t>
      </w:r>
      <w:r>
        <w:rPr>
          <w:spacing w:val="-11"/>
          <w:sz w:val="27"/>
        </w:rPr>
        <w:t> </w:t>
      </w:r>
      <w:r>
        <w:rPr>
          <w:sz w:val="27"/>
        </w:rPr>
        <w:t>I,</w:t>
      </w:r>
      <w:r>
        <w:rPr>
          <w:spacing w:val="-12"/>
          <w:sz w:val="27"/>
        </w:rPr>
        <w:t> </w:t>
      </w:r>
      <w:r>
        <w:rPr>
          <w:sz w:val="27"/>
        </w:rPr>
        <w:t>De</w:t>
      </w:r>
      <w:r>
        <w:rPr>
          <w:spacing w:val="-11"/>
          <w:sz w:val="27"/>
        </w:rPr>
        <w:t> </w:t>
      </w:r>
      <w:r>
        <w:rPr>
          <w:sz w:val="27"/>
        </w:rPr>
        <w:t>Backer</w:t>
      </w:r>
      <w:r>
        <w:rPr>
          <w:spacing w:val="-11"/>
          <w:sz w:val="27"/>
        </w:rPr>
        <w:t> </w:t>
      </w:r>
      <w:r>
        <w:rPr>
          <w:sz w:val="27"/>
        </w:rPr>
        <w:t>G, et al. 2016 ESC/EAS Guidelines for the Management of Dyslipidaemias. Eur Heart J</w:t>
      </w:r>
      <w:r>
        <w:rPr>
          <w:spacing w:val="7"/>
          <w:sz w:val="27"/>
        </w:rPr>
        <w:t> </w:t>
      </w:r>
      <w:r>
        <w:rPr>
          <w:sz w:val="27"/>
        </w:rPr>
        <w:t>2016;37:2999–3058.</w:t>
      </w:r>
    </w:p>
    <w:p>
      <w:pPr>
        <w:pStyle w:val="ListParagraph"/>
        <w:numPr>
          <w:ilvl w:val="0"/>
          <w:numId w:val="12"/>
        </w:numPr>
        <w:tabs>
          <w:tab w:pos="681" w:val="left" w:leader="none"/>
        </w:tabs>
        <w:spacing w:line="256" w:lineRule="auto" w:before="1" w:after="0"/>
        <w:ind w:left="680" w:right="130" w:hanging="571"/>
        <w:jc w:val="both"/>
        <w:rPr>
          <w:sz w:val="27"/>
        </w:rPr>
      </w:pPr>
      <w:r>
        <w:rPr>
          <w:w w:val="105"/>
          <w:sz w:val="27"/>
        </w:rPr>
        <w:t>Cholesterol</w:t>
      </w:r>
      <w:r>
        <w:rPr>
          <w:spacing w:val="-46"/>
          <w:w w:val="105"/>
          <w:sz w:val="27"/>
        </w:rPr>
        <w:t> </w:t>
      </w:r>
      <w:r>
        <w:rPr>
          <w:w w:val="105"/>
          <w:sz w:val="27"/>
        </w:rPr>
        <w:t>Treatment</w:t>
      </w:r>
      <w:r>
        <w:rPr>
          <w:spacing w:val="-46"/>
          <w:w w:val="105"/>
          <w:sz w:val="27"/>
        </w:rPr>
        <w:t> </w:t>
      </w:r>
      <w:r>
        <w:rPr>
          <w:w w:val="105"/>
          <w:sz w:val="27"/>
        </w:rPr>
        <w:t>Trialists’</w:t>
      </w:r>
      <w:r>
        <w:rPr>
          <w:spacing w:val="-45"/>
          <w:w w:val="105"/>
          <w:sz w:val="27"/>
        </w:rPr>
        <w:t> </w:t>
      </w:r>
      <w:r>
        <w:rPr>
          <w:w w:val="105"/>
          <w:sz w:val="27"/>
        </w:rPr>
        <w:t>Collaboration,</w:t>
      </w:r>
      <w:r>
        <w:rPr>
          <w:spacing w:val="-46"/>
          <w:w w:val="105"/>
          <w:sz w:val="27"/>
        </w:rPr>
        <w:t> </w:t>
      </w:r>
      <w:r>
        <w:rPr>
          <w:w w:val="105"/>
          <w:sz w:val="27"/>
        </w:rPr>
        <w:t>Fulcher</w:t>
      </w:r>
      <w:r>
        <w:rPr>
          <w:spacing w:val="-45"/>
          <w:w w:val="105"/>
          <w:sz w:val="27"/>
        </w:rPr>
        <w:t> </w:t>
      </w:r>
      <w:r>
        <w:rPr>
          <w:w w:val="105"/>
          <w:sz w:val="27"/>
        </w:rPr>
        <w:t>J,</w:t>
      </w:r>
      <w:r>
        <w:rPr>
          <w:spacing w:val="-46"/>
          <w:w w:val="105"/>
          <w:sz w:val="27"/>
        </w:rPr>
        <w:t> </w:t>
      </w:r>
      <w:r>
        <w:rPr>
          <w:spacing w:val="-3"/>
          <w:w w:val="105"/>
          <w:sz w:val="27"/>
        </w:rPr>
        <w:t>O’Connell </w:t>
      </w:r>
      <w:r>
        <w:rPr>
          <w:w w:val="105"/>
          <w:sz w:val="27"/>
        </w:rPr>
        <w:t>R,</w:t>
      </w:r>
      <w:r>
        <w:rPr>
          <w:spacing w:val="-32"/>
          <w:w w:val="105"/>
          <w:sz w:val="27"/>
        </w:rPr>
        <w:t> </w:t>
      </w:r>
      <w:r>
        <w:rPr>
          <w:spacing w:val="-6"/>
          <w:w w:val="105"/>
          <w:sz w:val="27"/>
        </w:rPr>
        <w:t>Voysey</w:t>
      </w:r>
      <w:r>
        <w:rPr>
          <w:spacing w:val="-31"/>
          <w:w w:val="105"/>
          <w:sz w:val="27"/>
        </w:rPr>
        <w:t> </w:t>
      </w:r>
      <w:r>
        <w:rPr>
          <w:w w:val="105"/>
          <w:sz w:val="27"/>
        </w:rPr>
        <w:t>M,</w:t>
      </w:r>
      <w:r>
        <w:rPr>
          <w:spacing w:val="-31"/>
          <w:w w:val="105"/>
          <w:sz w:val="27"/>
        </w:rPr>
        <w:t> </w:t>
      </w:r>
      <w:r>
        <w:rPr>
          <w:w w:val="105"/>
          <w:sz w:val="27"/>
        </w:rPr>
        <w:t>Emberson</w:t>
      </w:r>
      <w:r>
        <w:rPr>
          <w:spacing w:val="-31"/>
          <w:w w:val="105"/>
          <w:sz w:val="27"/>
        </w:rPr>
        <w:t> </w:t>
      </w:r>
      <w:r>
        <w:rPr>
          <w:w w:val="105"/>
          <w:sz w:val="27"/>
        </w:rPr>
        <w:t>J,</w:t>
      </w:r>
      <w:r>
        <w:rPr>
          <w:spacing w:val="-31"/>
          <w:w w:val="105"/>
          <w:sz w:val="27"/>
        </w:rPr>
        <w:t> </w:t>
      </w:r>
      <w:r>
        <w:rPr>
          <w:w w:val="105"/>
          <w:sz w:val="27"/>
        </w:rPr>
        <w:t>et</w:t>
      </w:r>
      <w:r>
        <w:rPr>
          <w:spacing w:val="-32"/>
          <w:w w:val="105"/>
          <w:sz w:val="27"/>
        </w:rPr>
        <w:t> </w:t>
      </w:r>
      <w:r>
        <w:rPr>
          <w:w w:val="105"/>
          <w:sz w:val="27"/>
        </w:rPr>
        <w:t>al.</w:t>
      </w:r>
      <w:r>
        <w:rPr>
          <w:spacing w:val="-31"/>
          <w:w w:val="105"/>
          <w:sz w:val="27"/>
        </w:rPr>
        <w:t> </w:t>
      </w:r>
      <w:r>
        <w:rPr>
          <w:w w:val="105"/>
          <w:sz w:val="27"/>
        </w:rPr>
        <w:t>Efﬁcacy</w:t>
      </w:r>
      <w:r>
        <w:rPr>
          <w:spacing w:val="-31"/>
          <w:w w:val="105"/>
          <w:sz w:val="27"/>
        </w:rPr>
        <w:t> </w:t>
      </w:r>
      <w:r>
        <w:rPr>
          <w:w w:val="105"/>
          <w:sz w:val="27"/>
        </w:rPr>
        <w:t>and</w:t>
      </w:r>
      <w:r>
        <w:rPr>
          <w:spacing w:val="-31"/>
          <w:w w:val="105"/>
          <w:sz w:val="27"/>
        </w:rPr>
        <w:t> </w:t>
      </w:r>
      <w:r>
        <w:rPr>
          <w:w w:val="105"/>
          <w:sz w:val="27"/>
        </w:rPr>
        <w:t>safety</w:t>
      </w:r>
      <w:r>
        <w:rPr>
          <w:spacing w:val="-32"/>
          <w:w w:val="105"/>
          <w:sz w:val="27"/>
        </w:rPr>
        <w:t> </w:t>
      </w:r>
      <w:r>
        <w:rPr>
          <w:w w:val="105"/>
          <w:sz w:val="27"/>
        </w:rPr>
        <w:t>of</w:t>
      </w:r>
      <w:r>
        <w:rPr>
          <w:spacing w:val="-31"/>
          <w:w w:val="105"/>
          <w:sz w:val="27"/>
        </w:rPr>
        <w:t> </w:t>
      </w:r>
      <w:r>
        <w:rPr>
          <w:w w:val="105"/>
          <w:sz w:val="27"/>
        </w:rPr>
        <w:t>LDL-lowering therapy</w:t>
      </w:r>
      <w:r>
        <w:rPr>
          <w:spacing w:val="-20"/>
          <w:w w:val="105"/>
          <w:sz w:val="27"/>
        </w:rPr>
        <w:t> </w:t>
      </w:r>
      <w:r>
        <w:rPr>
          <w:w w:val="105"/>
          <w:sz w:val="27"/>
        </w:rPr>
        <w:t>among</w:t>
      </w:r>
      <w:r>
        <w:rPr>
          <w:spacing w:val="-20"/>
          <w:w w:val="105"/>
          <w:sz w:val="27"/>
        </w:rPr>
        <w:t> </w:t>
      </w:r>
      <w:r>
        <w:rPr>
          <w:w w:val="105"/>
          <w:sz w:val="27"/>
        </w:rPr>
        <w:t>men</w:t>
      </w:r>
      <w:r>
        <w:rPr>
          <w:spacing w:val="-19"/>
          <w:w w:val="105"/>
          <w:sz w:val="27"/>
        </w:rPr>
        <w:t> </w:t>
      </w:r>
      <w:r>
        <w:rPr>
          <w:w w:val="105"/>
          <w:sz w:val="27"/>
        </w:rPr>
        <w:t>and</w:t>
      </w:r>
      <w:r>
        <w:rPr>
          <w:spacing w:val="-20"/>
          <w:w w:val="105"/>
          <w:sz w:val="27"/>
        </w:rPr>
        <w:t> </w:t>
      </w:r>
      <w:r>
        <w:rPr>
          <w:w w:val="105"/>
          <w:sz w:val="27"/>
        </w:rPr>
        <w:t>women:</w:t>
      </w:r>
      <w:r>
        <w:rPr>
          <w:spacing w:val="-19"/>
          <w:w w:val="105"/>
          <w:sz w:val="27"/>
        </w:rPr>
        <w:t> </w:t>
      </w:r>
      <w:r>
        <w:rPr>
          <w:w w:val="105"/>
          <w:sz w:val="27"/>
        </w:rPr>
        <w:t>meta-analysis</w:t>
      </w:r>
      <w:r>
        <w:rPr>
          <w:spacing w:val="-20"/>
          <w:w w:val="105"/>
          <w:sz w:val="27"/>
        </w:rPr>
        <w:t> </w:t>
      </w:r>
      <w:r>
        <w:rPr>
          <w:w w:val="105"/>
          <w:sz w:val="27"/>
        </w:rPr>
        <w:t>of</w:t>
      </w:r>
      <w:r>
        <w:rPr>
          <w:spacing w:val="-20"/>
          <w:w w:val="105"/>
          <w:sz w:val="27"/>
        </w:rPr>
        <w:t> </w:t>
      </w:r>
      <w:r>
        <w:rPr>
          <w:w w:val="105"/>
          <w:sz w:val="27"/>
        </w:rPr>
        <w:t>individual</w:t>
      </w:r>
      <w:r>
        <w:rPr>
          <w:spacing w:val="-19"/>
          <w:w w:val="105"/>
          <w:sz w:val="27"/>
        </w:rPr>
        <w:t> </w:t>
      </w:r>
      <w:r>
        <w:rPr>
          <w:w w:val="105"/>
          <w:sz w:val="27"/>
        </w:rPr>
        <w:t>data from 174,000 participants in 27 randomised trials. Lancet 2015;385:1397–1405.</w:t>
      </w:r>
    </w:p>
    <w:p>
      <w:pPr>
        <w:pStyle w:val="ListParagraph"/>
        <w:numPr>
          <w:ilvl w:val="0"/>
          <w:numId w:val="12"/>
        </w:numPr>
        <w:tabs>
          <w:tab w:pos="681" w:val="left" w:leader="none"/>
        </w:tabs>
        <w:spacing w:line="256" w:lineRule="auto" w:before="2" w:after="0"/>
        <w:ind w:left="680" w:right="130" w:hanging="571"/>
        <w:jc w:val="both"/>
        <w:rPr>
          <w:sz w:val="27"/>
        </w:rPr>
      </w:pPr>
      <w:r>
        <w:rPr>
          <w:w w:val="105"/>
          <w:sz w:val="27"/>
        </w:rPr>
        <w:t>Lip </w:t>
      </w:r>
      <w:r>
        <w:rPr>
          <w:spacing w:val="-8"/>
          <w:w w:val="105"/>
          <w:sz w:val="27"/>
        </w:rPr>
        <w:t>GY, </w:t>
      </w:r>
      <w:r>
        <w:rPr>
          <w:w w:val="105"/>
          <w:sz w:val="27"/>
        </w:rPr>
        <w:t>Felmeden DC, Dwivedi G. Antiplatelet agents and anticoagulants for hypertension. Cochrane Database Syst </w:t>
      </w:r>
      <w:r>
        <w:rPr>
          <w:spacing w:val="-4"/>
          <w:w w:val="105"/>
          <w:sz w:val="27"/>
        </w:rPr>
        <w:t>Rev </w:t>
      </w:r>
      <w:r>
        <w:rPr>
          <w:w w:val="105"/>
          <w:sz w:val="27"/>
        </w:rPr>
        <w:t>2011;12:CD003186</w:t>
      </w:r>
    </w:p>
    <w:p>
      <w:pPr>
        <w:pStyle w:val="ListParagraph"/>
        <w:numPr>
          <w:ilvl w:val="0"/>
          <w:numId w:val="12"/>
        </w:numPr>
        <w:tabs>
          <w:tab w:pos="681" w:val="left" w:leader="none"/>
        </w:tabs>
        <w:spacing w:line="256" w:lineRule="auto" w:before="1" w:after="0"/>
        <w:ind w:left="680" w:right="128" w:hanging="571"/>
        <w:jc w:val="both"/>
        <w:rPr>
          <w:sz w:val="27"/>
        </w:rPr>
      </w:pPr>
      <w:r>
        <w:rPr>
          <w:sz w:val="27"/>
        </w:rPr>
        <w:t>van den Born BJ, Lip GYH, Brguljan-Hitij J, et al. ESC Council on hypertension position document on the management </w:t>
      </w:r>
      <w:r>
        <w:rPr>
          <w:spacing w:val="-7"/>
          <w:sz w:val="27"/>
        </w:rPr>
        <w:t>of </w:t>
      </w:r>
      <w:r>
        <w:rPr>
          <w:sz w:val="27"/>
        </w:rPr>
        <w:t>hypertensive</w:t>
      </w:r>
      <w:r>
        <w:rPr>
          <w:spacing w:val="-10"/>
          <w:sz w:val="27"/>
        </w:rPr>
        <w:t> </w:t>
      </w:r>
      <w:r>
        <w:rPr>
          <w:sz w:val="27"/>
        </w:rPr>
        <w:t>emergencies.</w:t>
      </w:r>
      <w:r>
        <w:rPr>
          <w:spacing w:val="-9"/>
          <w:sz w:val="27"/>
        </w:rPr>
        <w:t> </w:t>
      </w:r>
      <w:r>
        <w:rPr>
          <w:sz w:val="27"/>
        </w:rPr>
        <w:t>Eur</w:t>
      </w:r>
      <w:r>
        <w:rPr>
          <w:spacing w:val="-10"/>
          <w:sz w:val="27"/>
        </w:rPr>
        <w:t> </w:t>
      </w:r>
      <w:r>
        <w:rPr>
          <w:sz w:val="27"/>
        </w:rPr>
        <w:t>Heart</w:t>
      </w:r>
      <w:r>
        <w:rPr>
          <w:spacing w:val="-9"/>
          <w:sz w:val="27"/>
        </w:rPr>
        <w:t> </w:t>
      </w:r>
      <w:r>
        <w:rPr>
          <w:sz w:val="27"/>
        </w:rPr>
        <w:t>J</w:t>
      </w:r>
      <w:r>
        <w:rPr>
          <w:spacing w:val="-9"/>
          <w:sz w:val="27"/>
        </w:rPr>
        <w:t> </w:t>
      </w:r>
      <w:r>
        <w:rPr>
          <w:sz w:val="27"/>
        </w:rPr>
        <w:t>Cardiovasc</w:t>
      </w:r>
      <w:r>
        <w:rPr>
          <w:spacing w:val="-10"/>
          <w:sz w:val="27"/>
        </w:rPr>
        <w:t> </w:t>
      </w:r>
      <w:r>
        <w:rPr>
          <w:sz w:val="27"/>
        </w:rPr>
        <w:t>Pharmacotherapy 2018.</w:t>
      </w:r>
    </w:p>
    <w:p>
      <w:pPr>
        <w:pStyle w:val="ListParagraph"/>
        <w:numPr>
          <w:ilvl w:val="0"/>
          <w:numId w:val="12"/>
        </w:numPr>
        <w:tabs>
          <w:tab w:pos="898" w:val="left" w:leader="none"/>
        </w:tabs>
        <w:spacing w:line="256" w:lineRule="auto" w:before="2" w:after="0"/>
        <w:ind w:left="680" w:right="133" w:hanging="571"/>
        <w:jc w:val="both"/>
        <w:rPr>
          <w:sz w:val="27"/>
        </w:rPr>
      </w:pPr>
      <w:r>
        <w:rPr/>
        <w:tab/>
      </w:r>
      <w:r>
        <w:rPr>
          <w:spacing w:val="-4"/>
          <w:sz w:val="27"/>
        </w:rPr>
        <w:t>Vaughan </w:t>
      </w:r>
      <w:r>
        <w:rPr>
          <w:sz w:val="27"/>
        </w:rPr>
        <w:t>CJ, Delanty N. Hypertensive emergencies. Lancet 2000;356:411–417.</w:t>
      </w:r>
    </w:p>
    <w:p>
      <w:pPr>
        <w:pStyle w:val="ListParagraph"/>
        <w:numPr>
          <w:ilvl w:val="0"/>
          <w:numId w:val="12"/>
        </w:numPr>
        <w:tabs>
          <w:tab w:pos="681" w:val="left" w:leader="none"/>
        </w:tabs>
        <w:spacing w:line="256" w:lineRule="auto" w:before="1" w:after="0"/>
        <w:ind w:left="680" w:right="137" w:hanging="571"/>
        <w:jc w:val="both"/>
        <w:rPr>
          <w:sz w:val="27"/>
        </w:rPr>
      </w:pPr>
      <w:r>
        <w:rPr>
          <w:sz w:val="27"/>
        </w:rPr>
        <w:t>Chester EM, Agamanolis </w:t>
      </w:r>
      <w:r>
        <w:rPr>
          <w:spacing w:val="-12"/>
          <w:sz w:val="27"/>
        </w:rPr>
        <w:t>DP, </w:t>
      </w:r>
      <w:r>
        <w:rPr>
          <w:sz w:val="27"/>
        </w:rPr>
        <w:t>Banker </w:t>
      </w:r>
      <w:r>
        <w:rPr>
          <w:spacing w:val="-3"/>
          <w:sz w:val="27"/>
        </w:rPr>
        <w:t>BQ, </w:t>
      </w:r>
      <w:r>
        <w:rPr>
          <w:sz w:val="27"/>
        </w:rPr>
        <w:t>Victor M. Hypertensive encephalopathy: a clinicopathologic study of 20 cases. Neurology 1978;28:928–939.</w:t>
      </w:r>
    </w:p>
    <w:p>
      <w:pPr>
        <w:pStyle w:val="ListParagraph"/>
        <w:numPr>
          <w:ilvl w:val="0"/>
          <w:numId w:val="12"/>
        </w:numPr>
        <w:tabs>
          <w:tab w:pos="681" w:val="left" w:leader="none"/>
        </w:tabs>
        <w:spacing w:line="256" w:lineRule="auto" w:before="1" w:after="0"/>
        <w:ind w:left="680" w:right="133" w:hanging="571"/>
        <w:jc w:val="both"/>
        <w:rPr>
          <w:sz w:val="27"/>
        </w:rPr>
      </w:pPr>
      <w:r>
        <w:rPr>
          <w:sz w:val="27"/>
        </w:rPr>
        <w:t>van den Born BJ, Koopmans </w:t>
      </w:r>
      <w:r>
        <w:rPr>
          <w:spacing w:val="-12"/>
          <w:sz w:val="27"/>
        </w:rPr>
        <w:t>RP, </w:t>
      </w:r>
      <w:r>
        <w:rPr>
          <w:sz w:val="27"/>
        </w:rPr>
        <w:t>Groeneveld </w:t>
      </w:r>
      <w:r>
        <w:rPr>
          <w:spacing w:val="-3"/>
          <w:sz w:val="27"/>
        </w:rPr>
        <w:t>JO, </w:t>
      </w:r>
      <w:r>
        <w:rPr>
          <w:sz w:val="27"/>
        </w:rPr>
        <w:t>van Montfrans GA. Ethnic disparities in the incidence, presentation and complications of malignant hypertension. J Hypertens</w:t>
      </w:r>
      <w:r>
        <w:rPr>
          <w:spacing w:val="50"/>
          <w:sz w:val="27"/>
        </w:rPr>
        <w:t> </w:t>
      </w:r>
      <w:r>
        <w:rPr>
          <w:sz w:val="27"/>
        </w:rPr>
        <w:t>2006;24:2299–2304.</w:t>
      </w:r>
    </w:p>
    <w:p>
      <w:pPr>
        <w:pStyle w:val="ListParagraph"/>
        <w:numPr>
          <w:ilvl w:val="0"/>
          <w:numId w:val="12"/>
        </w:numPr>
        <w:tabs>
          <w:tab w:pos="681" w:val="left" w:leader="none"/>
        </w:tabs>
        <w:spacing w:line="256" w:lineRule="auto" w:before="1" w:after="0"/>
        <w:ind w:left="680" w:right="134" w:hanging="571"/>
        <w:jc w:val="both"/>
        <w:rPr>
          <w:sz w:val="27"/>
        </w:rPr>
      </w:pPr>
      <w:r>
        <w:rPr>
          <w:w w:val="105"/>
          <w:sz w:val="27"/>
        </w:rPr>
        <w:t>Cremer</w:t>
      </w:r>
      <w:r>
        <w:rPr>
          <w:spacing w:val="-19"/>
          <w:w w:val="105"/>
          <w:sz w:val="27"/>
        </w:rPr>
        <w:t> </w:t>
      </w:r>
      <w:r>
        <w:rPr>
          <w:w w:val="105"/>
          <w:sz w:val="27"/>
        </w:rPr>
        <w:t>A,</w:t>
      </w:r>
      <w:r>
        <w:rPr>
          <w:spacing w:val="-18"/>
          <w:w w:val="105"/>
          <w:sz w:val="27"/>
        </w:rPr>
        <w:t> </w:t>
      </w:r>
      <w:r>
        <w:rPr>
          <w:w w:val="105"/>
          <w:sz w:val="27"/>
        </w:rPr>
        <w:t>Amraoui</w:t>
      </w:r>
      <w:r>
        <w:rPr>
          <w:spacing w:val="-19"/>
          <w:w w:val="105"/>
          <w:sz w:val="27"/>
        </w:rPr>
        <w:t> </w:t>
      </w:r>
      <w:r>
        <w:rPr>
          <w:w w:val="105"/>
          <w:sz w:val="27"/>
        </w:rPr>
        <w:t>F,</w:t>
      </w:r>
      <w:r>
        <w:rPr>
          <w:spacing w:val="-18"/>
          <w:w w:val="105"/>
          <w:sz w:val="27"/>
        </w:rPr>
        <w:t> </w:t>
      </w:r>
      <w:r>
        <w:rPr>
          <w:w w:val="105"/>
          <w:sz w:val="27"/>
        </w:rPr>
        <w:t>Lip</w:t>
      </w:r>
      <w:r>
        <w:rPr>
          <w:spacing w:val="-19"/>
          <w:w w:val="105"/>
          <w:sz w:val="27"/>
        </w:rPr>
        <w:t> </w:t>
      </w:r>
      <w:r>
        <w:rPr>
          <w:spacing w:val="-8"/>
          <w:w w:val="105"/>
          <w:sz w:val="27"/>
        </w:rPr>
        <w:t>GY,</w:t>
      </w:r>
      <w:r>
        <w:rPr>
          <w:spacing w:val="-18"/>
          <w:w w:val="105"/>
          <w:sz w:val="27"/>
        </w:rPr>
        <w:t> </w:t>
      </w:r>
      <w:r>
        <w:rPr>
          <w:w w:val="105"/>
          <w:sz w:val="27"/>
        </w:rPr>
        <w:t>et</w:t>
      </w:r>
      <w:r>
        <w:rPr>
          <w:spacing w:val="-19"/>
          <w:w w:val="105"/>
          <w:sz w:val="27"/>
        </w:rPr>
        <w:t> </w:t>
      </w:r>
      <w:r>
        <w:rPr>
          <w:w w:val="105"/>
          <w:sz w:val="27"/>
        </w:rPr>
        <w:t>al.</w:t>
      </w:r>
      <w:r>
        <w:rPr>
          <w:spacing w:val="-18"/>
          <w:w w:val="105"/>
          <w:sz w:val="27"/>
        </w:rPr>
        <w:t> </w:t>
      </w:r>
      <w:r>
        <w:rPr>
          <w:w w:val="105"/>
          <w:sz w:val="27"/>
        </w:rPr>
        <w:t>From</w:t>
      </w:r>
      <w:r>
        <w:rPr>
          <w:spacing w:val="-19"/>
          <w:w w:val="105"/>
          <w:sz w:val="27"/>
        </w:rPr>
        <w:t> </w:t>
      </w:r>
      <w:r>
        <w:rPr>
          <w:w w:val="105"/>
          <w:sz w:val="27"/>
        </w:rPr>
        <w:t>malignant</w:t>
      </w:r>
      <w:r>
        <w:rPr>
          <w:spacing w:val="-18"/>
          <w:w w:val="105"/>
          <w:sz w:val="27"/>
        </w:rPr>
        <w:t> </w:t>
      </w:r>
      <w:r>
        <w:rPr>
          <w:w w:val="105"/>
          <w:sz w:val="27"/>
        </w:rPr>
        <w:t>hypertension to hypertension-MOD: a modern deﬁnition for an old but </w:t>
      </w:r>
      <w:r>
        <w:rPr>
          <w:spacing w:val="-3"/>
          <w:w w:val="105"/>
          <w:sz w:val="27"/>
        </w:rPr>
        <w:t>still </w:t>
      </w:r>
      <w:r>
        <w:rPr>
          <w:w w:val="105"/>
          <w:sz w:val="27"/>
        </w:rPr>
        <w:t>dangerous</w:t>
      </w:r>
      <w:r>
        <w:rPr>
          <w:spacing w:val="-16"/>
          <w:w w:val="105"/>
          <w:sz w:val="27"/>
        </w:rPr>
        <w:t> </w:t>
      </w:r>
      <w:r>
        <w:rPr>
          <w:w w:val="105"/>
          <w:sz w:val="27"/>
        </w:rPr>
        <w:t>emergency.</w:t>
      </w:r>
      <w:r>
        <w:rPr>
          <w:spacing w:val="-15"/>
          <w:w w:val="105"/>
          <w:sz w:val="27"/>
        </w:rPr>
        <w:t> </w:t>
      </w:r>
      <w:r>
        <w:rPr>
          <w:w w:val="105"/>
          <w:sz w:val="27"/>
        </w:rPr>
        <w:t>J</w:t>
      </w:r>
      <w:r>
        <w:rPr>
          <w:spacing w:val="-16"/>
          <w:w w:val="105"/>
          <w:sz w:val="27"/>
        </w:rPr>
        <w:t> </w:t>
      </w:r>
      <w:r>
        <w:rPr>
          <w:w w:val="105"/>
          <w:sz w:val="27"/>
        </w:rPr>
        <w:t>Hum</w:t>
      </w:r>
      <w:r>
        <w:rPr>
          <w:spacing w:val="-15"/>
          <w:w w:val="105"/>
          <w:sz w:val="27"/>
        </w:rPr>
        <w:t> </w:t>
      </w:r>
      <w:r>
        <w:rPr>
          <w:w w:val="105"/>
          <w:sz w:val="27"/>
        </w:rPr>
        <w:t>Hypertens</w:t>
      </w:r>
      <w:r>
        <w:rPr>
          <w:spacing w:val="-16"/>
          <w:w w:val="105"/>
          <w:sz w:val="27"/>
        </w:rPr>
        <w:t> </w:t>
      </w:r>
      <w:r>
        <w:rPr>
          <w:w w:val="105"/>
          <w:sz w:val="27"/>
        </w:rPr>
        <w:t>2016;30:463–466.</w:t>
      </w:r>
    </w:p>
    <w:p>
      <w:pPr>
        <w:pStyle w:val="ListParagraph"/>
        <w:numPr>
          <w:ilvl w:val="0"/>
          <w:numId w:val="12"/>
        </w:numPr>
        <w:tabs>
          <w:tab w:pos="681" w:val="left" w:leader="none"/>
        </w:tabs>
        <w:spacing w:line="256" w:lineRule="auto" w:before="1" w:after="0"/>
        <w:ind w:left="680" w:right="130" w:hanging="571"/>
        <w:jc w:val="both"/>
        <w:rPr>
          <w:sz w:val="27"/>
        </w:rPr>
      </w:pPr>
      <w:r>
        <w:rPr>
          <w:w w:val="105"/>
          <w:sz w:val="27"/>
        </w:rPr>
        <w:t>Pinna G, Pascale C, Fornengo </w:t>
      </w:r>
      <w:r>
        <w:rPr>
          <w:spacing w:val="-17"/>
          <w:w w:val="105"/>
          <w:sz w:val="27"/>
        </w:rPr>
        <w:t>P, </w:t>
      </w:r>
      <w:r>
        <w:rPr>
          <w:w w:val="105"/>
          <w:sz w:val="27"/>
        </w:rPr>
        <w:t>et al. Hospital admissions for hypertensive crisis in the emergency departments: a </w:t>
      </w:r>
      <w:r>
        <w:rPr>
          <w:spacing w:val="-3"/>
          <w:w w:val="105"/>
          <w:sz w:val="27"/>
        </w:rPr>
        <w:t>large </w:t>
      </w:r>
      <w:r>
        <w:rPr>
          <w:w w:val="105"/>
          <w:sz w:val="27"/>
        </w:rPr>
        <w:t>multicenter Italian study. PLoS One</w:t>
      </w:r>
      <w:r>
        <w:rPr>
          <w:spacing w:val="-45"/>
          <w:w w:val="105"/>
          <w:sz w:val="27"/>
        </w:rPr>
        <w:t> </w:t>
      </w:r>
      <w:r>
        <w:rPr>
          <w:w w:val="105"/>
          <w:sz w:val="27"/>
        </w:rPr>
        <w:t>2014;9:e93542.</w:t>
      </w:r>
    </w:p>
    <w:p>
      <w:pPr>
        <w:pStyle w:val="ListParagraph"/>
        <w:numPr>
          <w:ilvl w:val="0"/>
          <w:numId w:val="12"/>
        </w:numPr>
        <w:tabs>
          <w:tab w:pos="681" w:val="left" w:leader="none"/>
        </w:tabs>
        <w:spacing w:line="256" w:lineRule="auto" w:before="1" w:after="0"/>
        <w:ind w:left="680" w:right="129" w:hanging="571"/>
        <w:jc w:val="both"/>
        <w:rPr>
          <w:sz w:val="27"/>
        </w:rPr>
      </w:pPr>
      <w:r>
        <w:rPr>
          <w:sz w:val="27"/>
        </w:rPr>
        <w:t>van den Born BJ, Lowenberg EC, van der Hoeven </w:t>
      </w:r>
      <w:r>
        <w:rPr>
          <w:spacing w:val="-8"/>
          <w:sz w:val="27"/>
        </w:rPr>
        <w:t>NV, </w:t>
      </w:r>
      <w:r>
        <w:rPr>
          <w:sz w:val="27"/>
        </w:rPr>
        <w:t>et al. Endothelial dysfunction, platelet activation, thrombogenesis and ﬁbrinolysis in patients with hypertensive crisis. J Hypertens 2011;29:922–927.</w:t>
      </w:r>
    </w:p>
    <w:p>
      <w:pPr>
        <w:pStyle w:val="ListParagraph"/>
        <w:numPr>
          <w:ilvl w:val="0"/>
          <w:numId w:val="12"/>
        </w:numPr>
        <w:tabs>
          <w:tab w:pos="681" w:val="left" w:leader="none"/>
        </w:tabs>
        <w:spacing w:line="256" w:lineRule="auto" w:before="2" w:after="0"/>
        <w:ind w:left="680" w:right="131" w:hanging="571"/>
        <w:jc w:val="both"/>
        <w:rPr>
          <w:sz w:val="27"/>
        </w:rPr>
      </w:pPr>
      <w:r>
        <w:rPr>
          <w:sz w:val="27"/>
        </w:rPr>
        <w:t>Grassi </w:t>
      </w:r>
      <w:r>
        <w:rPr>
          <w:spacing w:val="-4"/>
          <w:sz w:val="27"/>
        </w:rPr>
        <w:t>D, </w:t>
      </w:r>
      <w:r>
        <w:rPr>
          <w:sz w:val="27"/>
        </w:rPr>
        <w:t>O’Flaherty M, Pellizzari M, et al. Hypertensive urgencies in the emergency department: evaluating blood pressure response to rest and to antihypertensive drugs with different proﬁles. J </w:t>
      </w:r>
      <w:r>
        <w:rPr>
          <w:spacing w:val="-4"/>
          <w:sz w:val="27"/>
        </w:rPr>
        <w:t>Clin </w:t>
      </w:r>
      <w:r>
        <w:rPr>
          <w:sz w:val="27"/>
        </w:rPr>
        <w:t>Hypertens (Greenwich) 2008;10:662–667.</w:t>
      </w:r>
    </w:p>
    <w:p>
      <w:pPr>
        <w:spacing w:after="0" w:line="256" w:lineRule="auto"/>
        <w:jc w:val="both"/>
        <w:rPr>
          <w:sz w:val="27"/>
        </w:rPr>
        <w:sectPr>
          <w:pgSz w:w="11900" w:h="16840"/>
          <w:pgMar w:top="0" w:bottom="0" w:left="1420" w:right="1520"/>
        </w:sectPr>
      </w:pPr>
    </w:p>
    <w:p>
      <w:pPr>
        <w:pStyle w:val="ListParagraph"/>
        <w:numPr>
          <w:ilvl w:val="0"/>
          <w:numId w:val="12"/>
        </w:numPr>
        <w:tabs>
          <w:tab w:pos="681" w:val="left" w:leader="none"/>
        </w:tabs>
        <w:spacing w:line="240" w:lineRule="auto" w:before="16" w:after="0"/>
        <w:ind w:left="680" w:right="0" w:hanging="571"/>
        <w:jc w:val="both"/>
        <w:rPr>
          <w:sz w:val="27"/>
        </w:rPr>
      </w:pPr>
      <w:r>
        <w:rPr>
          <w:sz w:val="27"/>
        </w:rPr>
        <w:t>Grossman A, Messerli FH, Grossman E. Drug induced</w:t>
      </w:r>
      <w:r>
        <w:rPr>
          <w:spacing w:val="28"/>
          <w:sz w:val="27"/>
        </w:rPr>
        <w:t> </w:t>
      </w:r>
      <w:r>
        <w:rPr>
          <w:sz w:val="27"/>
        </w:rPr>
        <w:t>hypertension</w:t>
      </w:r>
    </w:p>
    <w:p>
      <w:pPr>
        <w:pStyle w:val="BodyText"/>
        <w:spacing w:line="256" w:lineRule="auto" w:before="26"/>
        <w:ind w:right="133"/>
      </w:pPr>
      <w:r>
        <w:rPr/>
        <w:t>— An unappreciated cause of secondary hypertension. Eur J Pharmacol 2015;763:15–22.</w:t>
      </w:r>
    </w:p>
    <w:p>
      <w:pPr>
        <w:pStyle w:val="ListParagraph"/>
        <w:numPr>
          <w:ilvl w:val="0"/>
          <w:numId w:val="12"/>
        </w:numPr>
        <w:tabs>
          <w:tab w:pos="681" w:val="left" w:leader="none"/>
        </w:tabs>
        <w:spacing w:line="256" w:lineRule="auto" w:before="1" w:after="0"/>
        <w:ind w:left="680" w:right="138" w:hanging="571"/>
        <w:jc w:val="both"/>
        <w:rPr>
          <w:sz w:val="27"/>
        </w:rPr>
      </w:pPr>
      <w:r>
        <w:rPr>
          <w:spacing w:val="-3"/>
          <w:sz w:val="27"/>
        </w:rPr>
        <w:t>Perez </w:t>
      </w:r>
      <w:r>
        <w:rPr>
          <w:sz w:val="27"/>
        </w:rPr>
        <w:t>MI, Musini VM. Pharmacological interventions for hypertensive emergencies: a Cochrane systematic </w:t>
      </w:r>
      <w:r>
        <w:rPr>
          <w:spacing w:val="-3"/>
          <w:sz w:val="27"/>
        </w:rPr>
        <w:t>review. </w:t>
      </w:r>
      <w:r>
        <w:rPr>
          <w:sz w:val="27"/>
        </w:rPr>
        <w:t>J Hum Hypertens</w:t>
      </w:r>
      <w:r>
        <w:rPr>
          <w:spacing w:val="-1"/>
          <w:sz w:val="27"/>
        </w:rPr>
        <w:t> </w:t>
      </w:r>
      <w:r>
        <w:rPr>
          <w:sz w:val="27"/>
        </w:rPr>
        <w:t>2008;22:596–607.</w:t>
      </w:r>
    </w:p>
    <w:p>
      <w:pPr>
        <w:pStyle w:val="ListParagraph"/>
        <w:numPr>
          <w:ilvl w:val="0"/>
          <w:numId w:val="12"/>
        </w:numPr>
        <w:tabs>
          <w:tab w:pos="681" w:val="left" w:leader="none"/>
        </w:tabs>
        <w:spacing w:line="256" w:lineRule="auto" w:before="1" w:after="0"/>
        <w:ind w:left="680" w:right="134" w:hanging="571"/>
        <w:jc w:val="both"/>
        <w:rPr>
          <w:sz w:val="27"/>
        </w:rPr>
      </w:pPr>
      <w:r>
        <w:rPr>
          <w:sz w:val="27"/>
        </w:rPr>
        <w:t>Amraoui F, </w:t>
      </w:r>
      <w:r>
        <w:rPr>
          <w:spacing w:val="-8"/>
          <w:sz w:val="27"/>
        </w:rPr>
        <w:t>Van </w:t>
      </w:r>
      <w:r>
        <w:rPr>
          <w:sz w:val="27"/>
        </w:rPr>
        <w:t>Der Hoeven </w:t>
      </w:r>
      <w:r>
        <w:rPr>
          <w:spacing w:val="-8"/>
          <w:sz w:val="27"/>
        </w:rPr>
        <w:t>NV, Van </w:t>
      </w:r>
      <w:r>
        <w:rPr>
          <w:spacing w:val="-3"/>
          <w:sz w:val="27"/>
        </w:rPr>
        <w:t>Valkengoed </w:t>
      </w:r>
      <w:r>
        <w:rPr>
          <w:sz w:val="27"/>
        </w:rPr>
        <w:t>IG et al. Mortality and cardiovascular risk in patients with a history of malignant hypertension: a case-control study. J Clin Hypertens (Greenwich) 2014;16:122–126.</w:t>
      </w:r>
    </w:p>
    <w:p>
      <w:pPr>
        <w:pStyle w:val="ListParagraph"/>
        <w:numPr>
          <w:ilvl w:val="0"/>
          <w:numId w:val="12"/>
        </w:numPr>
        <w:tabs>
          <w:tab w:pos="681" w:val="left" w:leader="none"/>
        </w:tabs>
        <w:spacing w:line="256" w:lineRule="auto" w:before="2" w:after="0"/>
        <w:ind w:left="680" w:right="135" w:hanging="571"/>
        <w:jc w:val="both"/>
        <w:rPr>
          <w:sz w:val="27"/>
        </w:rPr>
      </w:pPr>
      <w:r>
        <w:rPr>
          <w:sz w:val="27"/>
        </w:rPr>
        <w:t>Gonzalez R, Morales E, Segura J et al. Long-term renal survival </w:t>
      </w:r>
      <w:r>
        <w:rPr>
          <w:spacing w:val="-6"/>
          <w:sz w:val="27"/>
        </w:rPr>
        <w:t>in </w:t>
      </w:r>
      <w:r>
        <w:rPr>
          <w:sz w:val="27"/>
        </w:rPr>
        <w:t>malignant hypertension. Nephrol Dial Transplant 2010;25:3266– 3272.</w:t>
      </w:r>
    </w:p>
    <w:p>
      <w:pPr>
        <w:pStyle w:val="ListParagraph"/>
        <w:numPr>
          <w:ilvl w:val="0"/>
          <w:numId w:val="12"/>
        </w:numPr>
        <w:tabs>
          <w:tab w:pos="681" w:val="left" w:leader="none"/>
        </w:tabs>
        <w:spacing w:line="240" w:lineRule="auto" w:before="1" w:after="0"/>
        <w:ind w:left="680" w:right="128" w:hanging="571"/>
        <w:jc w:val="both"/>
        <w:rPr>
          <w:sz w:val="27"/>
        </w:rPr>
      </w:pPr>
      <w:r>
        <w:rPr>
          <w:sz w:val="27"/>
        </w:rPr>
        <w:t>Cornelissen </w:t>
      </w:r>
      <w:r>
        <w:rPr>
          <w:spacing w:val="-11"/>
          <w:sz w:val="27"/>
        </w:rPr>
        <w:t>V. </w:t>
      </w:r>
      <w:r>
        <w:rPr>
          <w:sz w:val="27"/>
        </w:rPr>
        <w:t>A., Smart N. A. Exercise training for blood pressure: a systematic review and meta</w:t>
      </w:r>
      <w:r>
        <w:rPr>
          <w:rFonts w:ascii="Lucida Sans Unicode" w:hAnsi="Lucida Sans Unicode"/>
          <w:sz w:val="27"/>
        </w:rPr>
        <w:t>‐</w:t>
      </w:r>
      <w:r>
        <w:rPr>
          <w:sz w:val="27"/>
        </w:rPr>
        <w:t>analysis //Journal of the American Heart Association. – 2013. – Т. 2. – №. 1. – С.</w:t>
      </w:r>
      <w:r>
        <w:rPr>
          <w:spacing w:val="11"/>
          <w:sz w:val="27"/>
        </w:rPr>
        <w:t> </w:t>
      </w:r>
      <w:r>
        <w:rPr>
          <w:sz w:val="27"/>
        </w:rPr>
        <w:t>e004473.</w:t>
      </w:r>
    </w:p>
    <w:p>
      <w:pPr>
        <w:pStyle w:val="ListParagraph"/>
        <w:numPr>
          <w:ilvl w:val="0"/>
          <w:numId w:val="12"/>
        </w:numPr>
        <w:tabs>
          <w:tab w:pos="681" w:val="left" w:leader="none"/>
        </w:tabs>
        <w:spacing w:line="256" w:lineRule="auto" w:before="27" w:after="0"/>
        <w:ind w:left="680" w:right="128" w:hanging="571"/>
        <w:jc w:val="both"/>
        <w:rPr>
          <w:sz w:val="27"/>
        </w:rPr>
      </w:pPr>
      <w:r>
        <w:rPr>
          <w:w w:val="105"/>
          <w:sz w:val="27"/>
        </w:rPr>
        <w:t>Julius S, Nesbitt </w:t>
      </w:r>
      <w:r>
        <w:rPr>
          <w:spacing w:val="-3"/>
          <w:w w:val="105"/>
          <w:sz w:val="27"/>
        </w:rPr>
        <w:t>SD, </w:t>
      </w:r>
      <w:r>
        <w:rPr>
          <w:w w:val="105"/>
          <w:sz w:val="27"/>
        </w:rPr>
        <w:t>Egan BM, et al. Trial of Preventing Hypertension Study Investigators. Feasibility of treating prehypertension with an angiotensin-receptor blocker. N Engl J Med</w:t>
      </w:r>
      <w:r>
        <w:rPr>
          <w:spacing w:val="-6"/>
          <w:w w:val="105"/>
          <w:sz w:val="27"/>
        </w:rPr>
        <w:t> </w:t>
      </w:r>
      <w:r>
        <w:rPr>
          <w:w w:val="105"/>
          <w:sz w:val="27"/>
        </w:rPr>
        <w:t>2006;354:1685–1697.</w:t>
      </w:r>
    </w:p>
    <w:p>
      <w:pPr>
        <w:pStyle w:val="ListParagraph"/>
        <w:numPr>
          <w:ilvl w:val="0"/>
          <w:numId w:val="12"/>
        </w:numPr>
        <w:tabs>
          <w:tab w:pos="681" w:val="left" w:leader="none"/>
        </w:tabs>
        <w:spacing w:line="256" w:lineRule="auto" w:before="2" w:after="0"/>
        <w:ind w:left="680" w:right="129" w:hanging="571"/>
        <w:jc w:val="both"/>
        <w:rPr>
          <w:sz w:val="27"/>
        </w:rPr>
      </w:pPr>
      <w:r>
        <w:rPr>
          <w:sz w:val="27"/>
        </w:rPr>
        <w:t>Cook NR, Cutler JA, Obarzanek E et al. Long term effects of dietary sodium reduction on cardiovascular disease outcomes: observational follow-up of the trials of hypertension prevention (TOHP). BMJ 2007;334:885–888.</w:t>
      </w:r>
    </w:p>
    <w:p>
      <w:pPr>
        <w:pStyle w:val="ListParagraph"/>
        <w:numPr>
          <w:ilvl w:val="0"/>
          <w:numId w:val="12"/>
        </w:numPr>
        <w:tabs>
          <w:tab w:pos="681" w:val="left" w:leader="none"/>
        </w:tabs>
        <w:spacing w:line="256" w:lineRule="auto" w:before="1" w:after="0"/>
        <w:ind w:left="680" w:right="133" w:hanging="571"/>
        <w:jc w:val="both"/>
        <w:rPr>
          <w:sz w:val="27"/>
        </w:rPr>
      </w:pPr>
      <w:r>
        <w:rPr>
          <w:sz w:val="27"/>
        </w:rPr>
        <w:t>Viera AJ, Bangura F, Mitchell CM, et al. Do clinicians tell patientsthey have prehypertension? J Am Board Fam Med 2011;24:117–118.</w:t>
      </w:r>
    </w:p>
    <w:p>
      <w:pPr>
        <w:pStyle w:val="ListParagraph"/>
        <w:numPr>
          <w:ilvl w:val="0"/>
          <w:numId w:val="12"/>
        </w:numPr>
        <w:tabs>
          <w:tab w:pos="681" w:val="left" w:leader="none"/>
        </w:tabs>
        <w:spacing w:line="256" w:lineRule="auto" w:before="2" w:after="0"/>
        <w:ind w:left="680" w:right="135" w:hanging="571"/>
        <w:jc w:val="both"/>
        <w:rPr>
          <w:sz w:val="27"/>
        </w:rPr>
      </w:pPr>
      <w:r>
        <w:rPr>
          <w:sz w:val="27"/>
        </w:rPr>
        <w:t>Gupta</w:t>
      </w:r>
      <w:r>
        <w:rPr>
          <w:spacing w:val="-20"/>
          <w:sz w:val="27"/>
        </w:rPr>
        <w:t> </w:t>
      </w:r>
      <w:r>
        <w:rPr>
          <w:sz w:val="27"/>
        </w:rPr>
        <w:t>AK,</w:t>
      </w:r>
      <w:r>
        <w:rPr>
          <w:spacing w:val="-20"/>
          <w:sz w:val="27"/>
        </w:rPr>
        <w:t> </w:t>
      </w:r>
      <w:r>
        <w:rPr>
          <w:sz w:val="27"/>
        </w:rPr>
        <w:t>McGlone</w:t>
      </w:r>
      <w:r>
        <w:rPr>
          <w:spacing w:val="-20"/>
          <w:sz w:val="27"/>
        </w:rPr>
        <w:t> </w:t>
      </w:r>
      <w:r>
        <w:rPr>
          <w:sz w:val="27"/>
        </w:rPr>
        <w:t>M,</w:t>
      </w:r>
      <w:r>
        <w:rPr>
          <w:spacing w:val="-20"/>
          <w:sz w:val="27"/>
        </w:rPr>
        <w:t> </w:t>
      </w:r>
      <w:r>
        <w:rPr>
          <w:sz w:val="27"/>
        </w:rPr>
        <w:t>Greenway</w:t>
      </w:r>
      <w:r>
        <w:rPr>
          <w:spacing w:val="-20"/>
          <w:sz w:val="27"/>
        </w:rPr>
        <w:t> </w:t>
      </w:r>
      <w:r>
        <w:rPr>
          <w:sz w:val="27"/>
        </w:rPr>
        <w:t>FL,</w:t>
      </w:r>
      <w:r>
        <w:rPr>
          <w:spacing w:val="-20"/>
          <w:sz w:val="27"/>
        </w:rPr>
        <w:t> </w:t>
      </w:r>
      <w:r>
        <w:rPr>
          <w:sz w:val="27"/>
        </w:rPr>
        <w:t>Johnson</w:t>
      </w:r>
      <w:r>
        <w:rPr>
          <w:spacing w:val="-19"/>
          <w:sz w:val="27"/>
        </w:rPr>
        <w:t> </w:t>
      </w:r>
      <w:r>
        <w:rPr>
          <w:spacing w:val="-3"/>
          <w:sz w:val="27"/>
        </w:rPr>
        <w:t>WD.</w:t>
      </w:r>
      <w:r>
        <w:rPr>
          <w:spacing w:val="-20"/>
          <w:sz w:val="27"/>
        </w:rPr>
        <w:t> </w:t>
      </w:r>
      <w:r>
        <w:rPr>
          <w:sz w:val="27"/>
        </w:rPr>
        <w:t>Prehypertension in disease-free adults: a marker for an adverse cardiometabolic risk proﬁle.Hypertens Res</w:t>
      </w:r>
      <w:r>
        <w:rPr>
          <w:spacing w:val="2"/>
          <w:sz w:val="27"/>
        </w:rPr>
        <w:t> </w:t>
      </w:r>
      <w:r>
        <w:rPr>
          <w:sz w:val="27"/>
        </w:rPr>
        <w:t>2010;33:905–910.</w:t>
      </w:r>
    </w:p>
    <w:p>
      <w:pPr>
        <w:pStyle w:val="ListParagraph"/>
        <w:numPr>
          <w:ilvl w:val="0"/>
          <w:numId w:val="12"/>
        </w:numPr>
        <w:tabs>
          <w:tab w:pos="812" w:val="left" w:leader="none"/>
        </w:tabs>
        <w:spacing w:line="256" w:lineRule="auto" w:before="1" w:after="0"/>
        <w:ind w:left="680" w:right="134" w:hanging="571"/>
        <w:jc w:val="both"/>
        <w:rPr>
          <w:sz w:val="27"/>
        </w:rPr>
      </w:pPr>
      <w:r>
        <w:rPr/>
        <w:tab/>
      </w:r>
      <w:r>
        <w:rPr>
          <w:sz w:val="27"/>
        </w:rPr>
        <w:t>Thompson AM, Hu </w:t>
      </w:r>
      <w:r>
        <w:rPr>
          <w:spacing w:val="-7"/>
          <w:sz w:val="27"/>
        </w:rPr>
        <w:t>T, </w:t>
      </w:r>
      <w:r>
        <w:rPr>
          <w:sz w:val="27"/>
        </w:rPr>
        <w:t>Eshelbrenner CL, et al. Antihypertensive treatment and secondary prevention of cardiovascular disease events among persons without hypertension: a meta-analysis. JAMA .</w:t>
      </w:r>
      <w:r>
        <w:rPr>
          <w:spacing w:val="-1"/>
          <w:sz w:val="27"/>
        </w:rPr>
        <w:t> </w:t>
      </w:r>
      <w:r>
        <w:rPr>
          <w:sz w:val="27"/>
        </w:rPr>
        <w:t>2011;305:913–922.</w:t>
      </w:r>
    </w:p>
    <w:p>
      <w:pPr>
        <w:pStyle w:val="ListParagraph"/>
        <w:numPr>
          <w:ilvl w:val="0"/>
          <w:numId w:val="12"/>
        </w:numPr>
        <w:tabs>
          <w:tab w:pos="681" w:val="left" w:leader="none"/>
        </w:tabs>
        <w:spacing w:line="256" w:lineRule="auto" w:before="1" w:after="0"/>
        <w:ind w:left="680" w:right="139" w:hanging="571"/>
        <w:jc w:val="both"/>
        <w:rPr>
          <w:sz w:val="27"/>
        </w:rPr>
      </w:pPr>
      <w:r>
        <w:rPr>
          <w:w w:val="105"/>
          <w:sz w:val="27"/>
        </w:rPr>
        <w:t>Bosworth H. B. et al. Two self-management interventions to improve hypertension control: a randomized trial //Annals of internal medicine. – 2009. – Т. 151. – №. 10. – С.</w:t>
      </w:r>
      <w:r>
        <w:rPr>
          <w:spacing w:val="-34"/>
          <w:w w:val="105"/>
          <w:sz w:val="27"/>
        </w:rPr>
        <w:t> </w:t>
      </w:r>
      <w:r>
        <w:rPr>
          <w:w w:val="105"/>
          <w:sz w:val="27"/>
        </w:rPr>
        <w:t>687-695.</w:t>
      </w:r>
    </w:p>
    <w:p>
      <w:pPr>
        <w:pStyle w:val="ListParagraph"/>
        <w:numPr>
          <w:ilvl w:val="0"/>
          <w:numId w:val="12"/>
        </w:numPr>
        <w:tabs>
          <w:tab w:pos="681" w:val="left" w:leader="none"/>
        </w:tabs>
        <w:spacing w:line="256" w:lineRule="auto" w:before="2" w:after="0"/>
        <w:ind w:left="680" w:right="131" w:hanging="571"/>
        <w:jc w:val="both"/>
        <w:rPr>
          <w:sz w:val="27"/>
        </w:rPr>
      </w:pPr>
      <w:r>
        <w:rPr>
          <w:sz w:val="27"/>
        </w:rPr>
        <w:t>Birtwhistle </w:t>
      </w:r>
      <w:r>
        <w:rPr>
          <w:spacing w:val="-14"/>
          <w:sz w:val="27"/>
        </w:rPr>
        <w:t>RV, </w:t>
      </w:r>
      <w:r>
        <w:rPr>
          <w:sz w:val="27"/>
        </w:rPr>
        <w:t>Godwin MS, Delva </w:t>
      </w:r>
      <w:r>
        <w:rPr>
          <w:spacing w:val="-3"/>
          <w:sz w:val="27"/>
        </w:rPr>
        <w:t>MD, </w:t>
      </w:r>
      <w:r>
        <w:rPr>
          <w:sz w:val="27"/>
        </w:rPr>
        <w:t>et al. Randomised equivalence trial comparing three month and six month follow </w:t>
      </w:r>
      <w:r>
        <w:rPr>
          <w:spacing w:val="-6"/>
          <w:sz w:val="27"/>
        </w:rPr>
        <w:t>up </w:t>
      </w:r>
      <w:r>
        <w:rPr>
          <w:sz w:val="27"/>
        </w:rPr>
        <w:t>of patients with hypertension </w:t>
      </w:r>
      <w:r>
        <w:rPr>
          <w:spacing w:val="-3"/>
          <w:sz w:val="27"/>
        </w:rPr>
        <w:t>by </w:t>
      </w:r>
      <w:r>
        <w:rPr>
          <w:sz w:val="27"/>
        </w:rPr>
        <w:t>family practitioners. BMJ.2004;328:204.</w:t>
      </w:r>
    </w:p>
    <w:p>
      <w:pPr>
        <w:pStyle w:val="ListParagraph"/>
        <w:numPr>
          <w:ilvl w:val="0"/>
          <w:numId w:val="12"/>
        </w:numPr>
        <w:tabs>
          <w:tab w:pos="762" w:val="left" w:leader="none"/>
        </w:tabs>
        <w:spacing w:line="256" w:lineRule="auto" w:before="1" w:after="0"/>
        <w:ind w:left="680" w:right="129" w:hanging="571"/>
        <w:jc w:val="both"/>
        <w:rPr>
          <w:sz w:val="27"/>
        </w:rPr>
      </w:pPr>
      <w:r>
        <w:rPr/>
        <w:tab/>
      </w:r>
      <w:r>
        <w:rPr>
          <w:sz w:val="27"/>
        </w:rPr>
        <w:t>Fahey </w:t>
      </w:r>
      <w:r>
        <w:rPr>
          <w:spacing w:val="-3"/>
          <w:sz w:val="27"/>
        </w:rPr>
        <w:t>T., </w:t>
      </w:r>
      <w:r>
        <w:rPr>
          <w:sz w:val="27"/>
        </w:rPr>
        <w:t>Schroeder K., Ebrahim S. Educational and organisational interventions</w:t>
      </w:r>
      <w:r>
        <w:rPr>
          <w:spacing w:val="25"/>
          <w:sz w:val="27"/>
        </w:rPr>
        <w:t> </w:t>
      </w:r>
      <w:r>
        <w:rPr>
          <w:sz w:val="27"/>
        </w:rPr>
        <w:t>used</w:t>
      </w:r>
      <w:r>
        <w:rPr>
          <w:spacing w:val="26"/>
          <w:sz w:val="27"/>
        </w:rPr>
        <w:t> </w:t>
      </w:r>
      <w:r>
        <w:rPr>
          <w:sz w:val="27"/>
        </w:rPr>
        <w:t>to</w:t>
      </w:r>
      <w:r>
        <w:rPr>
          <w:spacing w:val="26"/>
          <w:sz w:val="27"/>
        </w:rPr>
        <w:t> </w:t>
      </w:r>
      <w:r>
        <w:rPr>
          <w:sz w:val="27"/>
        </w:rPr>
        <w:t>improve</w:t>
      </w:r>
      <w:r>
        <w:rPr>
          <w:spacing w:val="26"/>
          <w:sz w:val="27"/>
        </w:rPr>
        <w:t> </w:t>
      </w:r>
      <w:r>
        <w:rPr>
          <w:sz w:val="27"/>
        </w:rPr>
        <w:t>the</w:t>
      </w:r>
      <w:r>
        <w:rPr>
          <w:spacing w:val="26"/>
          <w:sz w:val="27"/>
        </w:rPr>
        <w:t> </w:t>
      </w:r>
      <w:r>
        <w:rPr>
          <w:sz w:val="27"/>
        </w:rPr>
        <w:t>management</w:t>
      </w:r>
      <w:r>
        <w:rPr>
          <w:spacing w:val="26"/>
          <w:sz w:val="27"/>
        </w:rPr>
        <w:t> </w:t>
      </w:r>
      <w:r>
        <w:rPr>
          <w:sz w:val="27"/>
        </w:rPr>
        <w:t>of</w:t>
      </w:r>
      <w:r>
        <w:rPr>
          <w:spacing w:val="25"/>
          <w:sz w:val="27"/>
        </w:rPr>
        <w:t> </w:t>
      </w:r>
      <w:r>
        <w:rPr>
          <w:sz w:val="27"/>
        </w:rPr>
        <w:t>hypertension</w:t>
      </w:r>
      <w:r>
        <w:rPr>
          <w:spacing w:val="26"/>
          <w:sz w:val="27"/>
        </w:rPr>
        <w:t> </w:t>
      </w:r>
      <w:r>
        <w:rPr>
          <w:sz w:val="27"/>
        </w:rPr>
        <w:t>in</w:t>
      </w:r>
    </w:p>
    <w:p>
      <w:pPr>
        <w:spacing w:after="0" w:line="256" w:lineRule="auto"/>
        <w:jc w:val="both"/>
        <w:rPr>
          <w:sz w:val="27"/>
        </w:rPr>
        <w:sectPr>
          <w:pgSz w:w="11900" w:h="16840"/>
          <w:pgMar w:top="0" w:bottom="0" w:left="1420" w:right="1520"/>
        </w:sectPr>
      </w:pPr>
    </w:p>
    <w:p>
      <w:pPr>
        <w:pStyle w:val="BodyText"/>
        <w:spacing w:before="16"/>
      </w:pPr>
      <w:r>
        <w:rPr>
          <w:w w:val="105"/>
        </w:rPr>
        <w:t>primary care: a systematic review //Br J Gen Pract. – 2005. – Т. 55.</w:t>
      </w:r>
    </w:p>
    <w:p>
      <w:pPr>
        <w:pStyle w:val="BodyText"/>
        <w:spacing w:before="26"/>
      </w:pPr>
      <w:r>
        <w:rPr>
          <w:w w:val="110"/>
        </w:rPr>
        <w:t>– №. 520. – С. 875-882.</w:t>
      </w:r>
    </w:p>
    <w:p>
      <w:pPr>
        <w:pStyle w:val="ListParagraph"/>
        <w:numPr>
          <w:ilvl w:val="0"/>
          <w:numId w:val="12"/>
        </w:numPr>
        <w:tabs>
          <w:tab w:pos="681" w:val="left" w:leader="none"/>
        </w:tabs>
        <w:spacing w:line="256" w:lineRule="auto" w:before="26" w:after="0"/>
        <w:ind w:left="680" w:right="139" w:hanging="571"/>
        <w:jc w:val="both"/>
        <w:rPr>
          <w:sz w:val="27"/>
        </w:rPr>
      </w:pPr>
      <w:r>
        <w:rPr>
          <w:w w:val="105"/>
          <w:sz w:val="27"/>
        </w:rPr>
        <w:t>Glynn L. G. et al. Interventions used to improve control of blood pressure in patients with hypertension //Cochrane database </w:t>
      </w:r>
      <w:r>
        <w:rPr>
          <w:spacing w:val="-6"/>
          <w:w w:val="105"/>
          <w:sz w:val="27"/>
        </w:rPr>
        <w:t>of </w:t>
      </w:r>
      <w:r>
        <w:rPr>
          <w:w w:val="105"/>
          <w:sz w:val="27"/>
        </w:rPr>
        <w:t>systematic reviews. – 2010. – №.</w:t>
      </w:r>
      <w:r>
        <w:rPr>
          <w:spacing w:val="-37"/>
          <w:w w:val="105"/>
          <w:sz w:val="27"/>
        </w:rPr>
        <w:t> </w:t>
      </w:r>
      <w:r>
        <w:rPr>
          <w:w w:val="105"/>
          <w:sz w:val="27"/>
        </w:rPr>
        <w:t>3.</w:t>
      </w:r>
    </w:p>
    <w:p>
      <w:pPr>
        <w:pStyle w:val="ListParagraph"/>
        <w:numPr>
          <w:ilvl w:val="0"/>
          <w:numId w:val="12"/>
        </w:numPr>
        <w:tabs>
          <w:tab w:pos="681" w:val="left" w:leader="none"/>
        </w:tabs>
        <w:spacing w:line="256" w:lineRule="auto" w:before="1" w:after="0"/>
        <w:ind w:left="680" w:right="130" w:hanging="571"/>
        <w:jc w:val="both"/>
        <w:rPr>
          <w:sz w:val="27"/>
        </w:rPr>
      </w:pPr>
      <w:r>
        <w:rPr>
          <w:w w:val="105"/>
          <w:sz w:val="27"/>
        </w:rPr>
        <w:t>Omboni</w:t>
      </w:r>
      <w:r>
        <w:rPr>
          <w:spacing w:val="-29"/>
          <w:w w:val="105"/>
          <w:sz w:val="27"/>
        </w:rPr>
        <w:t> </w:t>
      </w:r>
      <w:r>
        <w:rPr>
          <w:w w:val="105"/>
          <w:sz w:val="27"/>
        </w:rPr>
        <w:t>S,</w:t>
      </w:r>
      <w:r>
        <w:rPr>
          <w:spacing w:val="-28"/>
          <w:w w:val="105"/>
          <w:sz w:val="27"/>
        </w:rPr>
        <w:t> </w:t>
      </w:r>
      <w:r>
        <w:rPr>
          <w:w w:val="105"/>
          <w:sz w:val="27"/>
        </w:rPr>
        <w:t>Gazzola</w:t>
      </w:r>
      <w:r>
        <w:rPr>
          <w:spacing w:val="-29"/>
          <w:w w:val="105"/>
          <w:sz w:val="27"/>
        </w:rPr>
        <w:t> </w:t>
      </w:r>
      <w:r>
        <w:rPr>
          <w:spacing w:val="-7"/>
          <w:w w:val="105"/>
          <w:sz w:val="27"/>
        </w:rPr>
        <w:t>T,</w:t>
      </w:r>
      <w:r>
        <w:rPr>
          <w:spacing w:val="-28"/>
          <w:w w:val="105"/>
          <w:sz w:val="27"/>
        </w:rPr>
        <w:t> </w:t>
      </w:r>
      <w:r>
        <w:rPr>
          <w:w w:val="105"/>
          <w:sz w:val="27"/>
        </w:rPr>
        <w:t>Carabelli</w:t>
      </w:r>
      <w:r>
        <w:rPr>
          <w:spacing w:val="-29"/>
          <w:w w:val="105"/>
          <w:sz w:val="27"/>
        </w:rPr>
        <w:t> </w:t>
      </w:r>
      <w:r>
        <w:rPr>
          <w:w w:val="105"/>
          <w:sz w:val="27"/>
        </w:rPr>
        <w:t>G,</w:t>
      </w:r>
      <w:r>
        <w:rPr>
          <w:spacing w:val="-28"/>
          <w:w w:val="105"/>
          <w:sz w:val="27"/>
        </w:rPr>
        <w:t> </w:t>
      </w:r>
      <w:r>
        <w:rPr>
          <w:w w:val="105"/>
          <w:sz w:val="27"/>
        </w:rPr>
        <w:t>Parati</w:t>
      </w:r>
      <w:r>
        <w:rPr>
          <w:spacing w:val="-28"/>
          <w:w w:val="105"/>
          <w:sz w:val="27"/>
        </w:rPr>
        <w:t> </w:t>
      </w:r>
      <w:r>
        <w:rPr>
          <w:w w:val="105"/>
          <w:sz w:val="27"/>
        </w:rPr>
        <w:t>G.</w:t>
      </w:r>
      <w:r>
        <w:rPr>
          <w:spacing w:val="-29"/>
          <w:w w:val="105"/>
          <w:sz w:val="27"/>
        </w:rPr>
        <w:t> </w:t>
      </w:r>
      <w:r>
        <w:rPr>
          <w:w w:val="105"/>
          <w:sz w:val="27"/>
        </w:rPr>
        <w:t>Clinical</w:t>
      </w:r>
      <w:r>
        <w:rPr>
          <w:spacing w:val="-28"/>
          <w:w w:val="105"/>
          <w:sz w:val="27"/>
        </w:rPr>
        <w:t> </w:t>
      </w:r>
      <w:r>
        <w:rPr>
          <w:w w:val="105"/>
          <w:sz w:val="27"/>
        </w:rPr>
        <w:t>usefulness</w:t>
      </w:r>
      <w:r>
        <w:rPr>
          <w:spacing w:val="-29"/>
          <w:w w:val="105"/>
          <w:sz w:val="27"/>
        </w:rPr>
        <w:t> </w:t>
      </w:r>
      <w:r>
        <w:rPr>
          <w:w w:val="105"/>
          <w:sz w:val="27"/>
        </w:rPr>
        <w:t>and cost effectiveness of home blood pressure telemonitoring: meta- analysis of randomized controlled studies. J Hypertens. 2013;31:455-468.</w:t>
      </w:r>
    </w:p>
    <w:p>
      <w:pPr>
        <w:pStyle w:val="ListParagraph"/>
        <w:numPr>
          <w:ilvl w:val="0"/>
          <w:numId w:val="12"/>
        </w:numPr>
        <w:tabs>
          <w:tab w:pos="681" w:val="left" w:leader="none"/>
        </w:tabs>
        <w:spacing w:line="256" w:lineRule="auto" w:before="2" w:after="0"/>
        <w:ind w:left="680" w:right="133" w:hanging="571"/>
        <w:jc w:val="both"/>
        <w:rPr>
          <w:sz w:val="27"/>
        </w:rPr>
      </w:pPr>
      <w:r>
        <w:rPr>
          <w:w w:val="105"/>
          <w:sz w:val="27"/>
        </w:rPr>
        <w:t>Duan</w:t>
      </w:r>
      <w:r>
        <w:rPr>
          <w:spacing w:val="-13"/>
          <w:w w:val="105"/>
          <w:sz w:val="27"/>
        </w:rPr>
        <w:t> </w:t>
      </w:r>
      <w:r>
        <w:rPr>
          <w:spacing w:val="-12"/>
          <w:w w:val="105"/>
          <w:sz w:val="27"/>
        </w:rPr>
        <w:t>Y,</w:t>
      </w:r>
      <w:r>
        <w:rPr>
          <w:spacing w:val="-13"/>
          <w:w w:val="105"/>
          <w:sz w:val="27"/>
        </w:rPr>
        <w:t> </w:t>
      </w:r>
      <w:r>
        <w:rPr>
          <w:w w:val="105"/>
          <w:sz w:val="27"/>
        </w:rPr>
        <w:t>Xie</w:t>
      </w:r>
      <w:r>
        <w:rPr>
          <w:spacing w:val="-12"/>
          <w:w w:val="105"/>
          <w:sz w:val="27"/>
        </w:rPr>
        <w:t> </w:t>
      </w:r>
      <w:r>
        <w:rPr>
          <w:w w:val="105"/>
          <w:sz w:val="27"/>
        </w:rPr>
        <w:t>Z,</w:t>
      </w:r>
      <w:r>
        <w:rPr>
          <w:spacing w:val="-13"/>
          <w:w w:val="105"/>
          <w:sz w:val="27"/>
        </w:rPr>
        <w:t> </w:t>
      </w:r>
      <w:r>
        <w:rPr>
          <w:w w:val="105"/>
          <w:sz w:val="27"/>
        </w:rPr>
        <w:t>Dong</w:t>
      </w:r>
      <w:r>
        <w:rPr>
          <w:spacing w:val="-12"/>
          <w:w w:val="105"/>
          <w:sz w:val="27"/>
        </w:rPr>
        <w:t> </w:t>
      </w:r>
      <w:r>
        <w:rPr>
          <w:w w:val="105"/>
          <w:sz w:val="27"/>
        </w:rPr>
        <w:t>F,</w:t>
      </w:r>
      <w:r>
        <w:rPr>
          <w:spacing w:val="-13"/>
          <w:w w:val="105"/>
          <w:sz w:val="27"/>
        </w:rPr>
        <w:t> </w:t>
      </w:r>
      <w:r>
        <w:rPr>
          <w:w w:val="105"/>
          <w:sz w:val="27"/>
        </w:rPr>
        <w:t>et</w:t>
      </w:r>
      <w:r>
        <w:rPr>
          <w:spacing w:val="-13"/>
          <w:w w:val="105"/>
          <w:sz w:val="27"/>
        </w:rPr>
        <w:t> </w:t>
      </w:r>
      <w:r>
        <w:rPr>
          <w:w w:val="105"/>
          <w:sz w:val="27"/>
        </w:rPr>
        <w:t>al.</w:t>
      </w:r>
      <w:r>
        <w:rPr>
          <w:spacing w:val="-12"/>
          <w:w w:val="105"/>
          <w:sz w:val="27"/>
        </w:rPr>
        <w:t> </w:t>
      </w:r>
      <w:r>
        <w:rPr>
          <w:w w:val="105"/>
          <w:sz w:val="27"/>
        </w:rPr>
        <w:t>Effectiveness</w:t>
      </w:r>
      <w:r>
        <w:rPr>
          <w:spacing w:val="-13"/>
          <w:w w:val="105"/>
          <w:sz w:val="27"/>
        </w:rPr>
        <w:t> </w:t>
      </w:r>
      <w:r>
        <w:rPr>
          <w:w w:val="105"/>
          <w:sz w:val="27"/>
        </w:rPr>
        <w:t>of</w:t>
      </w:r>
      <w:r>
        <w:rPr>
          <w:spacing w:val="-12"/>
          <w:w w:val="105"/>
          <w:sz w:val="27"/>
        </w:rPr>
        <w:t> </w:t>
      </w:r>
      <w:r>
        <w:rPr>
          <w:w w:val="105"/>
          <w:sz w:val="27"/>
        </w:rPr>
        <w:t>home</w:t>
      </w:r>
      <w:r>
        <w:rPr>
          <w:spacing w:val="-13"/>
          <w:w w:val="105"/>
          <w:sz w:val="27"/>
        </w:rPr>
        <w:t> </w:t>
      </w:r>
      <w:r>
        <w:rPr>
          <w:w w:val="105"/>
          <w:sz w:val="27"/>
        </w:rPr>
        <w:t>blood</w:t>
      </w:r>
      <w:r>
        <w:rPr>
          <w:spacing w:val="-12"/>
          <w:w w:val="105"/>
          <w:sz w:val="27"/>
        </w:rPr>
        <w:t> </w:t>
      </w:r>
      <w:r>
        <w:rPr>
          <w:w w:val="105"/>
          <w:sz w:val="27"/>
        </w:rPr>
        <w:t>pressure telemonitoring: a systematic review and meta-analysis of randomised</w:t>
      </w:r>
      <w:r>
        <w:rPr>
          <w:spacing w:val="-38"/>
          <w:w w:val="105"/>
          <w:sz w:val="27"/>
        </w:rPr>
        <w:t> </w:t>
      </w:r>
      <w:r>
        <w:rPr>
          <w:w w:val="105"/>
          <w:sz w:val="27"/>
        </w:rPr>
        <w:t>controlled</w:t>
      </w:r>
      <w:r>
        <w:rPr>
          <w:spacing w:val="-38"/>
          <w:w w:val="105"/>
          <w:sz w:val="27"/>
        </w:rPr>
        <w:t> </w:t>
      </w:r>
      <w:r>
        <w:rPr>
          <w:w w:val="105"/>
          <w:sz w:val="27"/>
        </w:rPr>
        <w:t>studies.</w:t>
      </w:r>
      <w:r>
        <w:rPr>
          <w:spacing w:val="-37"/>
          <w:w w:val="105"/>
          <w:sz w:val="27"/>
        </w:rPr>
        <w:t> </w:t>
      </w:r>
      <w:r>
        <w:rPr>
          <w:w w:val="105"/>
          <w:sz w:val="27"/>
        </w:rPr>
        <w:t>J</w:t>
      </w:r>
      <w:r>
        <w:rPr>
          <w:spacing w:val="-38"/>
          <w:w w:val="105"/>
          <w:sz w:val="27"/>
        </w:rPr>
        <w:t> </w:t>
      </w:r>
      <w:r>
        <w:rPr>
          <w:w w:val="105"/>
          <w:sz w:val="27"/>
        </w:rPr>
        <w:t>Hum</w:t>
      </w:r>
      <w:r>
        <w:rPr>
          <w:spacing w:val="-38"/>
          <w:w w:val="105"/>
          <w:sz w:val="27"/>
        </w:rPr>
        <w:t> </w:t>
      </w:r>
      <w:r>
        <w:rPr>
          <w:w w:val="105"/>
          <w:sz w:val="27"/>
        </w:rPr>
        <w:t>Hypertens.</w:t>
      </w:r>
      <w:r>
        <w:rPr>
          <w:spacing w:val="-37"/>
          <w:w w:val="105"/>
          <w:sz w:val="27"/>
        </w:rPr>
        <w:t> </w:t>
      </w:r>
      <w:r>
        <w:rPr>
          <w:spacing w:val="-3"/>
          <w:w w:val="105"/>
          <w:sz w:val="27"/>
        </w:rPr>
        <w:t>2017;31:427–437.</w:t>
      </w:r>
    </w:p>
    <w:p>
      <w:pPr>
        <w:pStyle w:val="ListParagraph"/>
        <w:numPr>
          <w:ilvl w:val="0"/>
          <w:numId w:val="12"/>
        </w:numPr>
        <w:tabs>
          <w:tab w:pos="681" w:val="left" w:leader="none"/>
        </w:tabs>
        <w:spacing w:line="256" w:lineRule="auto" w:before="1" w:after="0"/>
        <w:ind w:left="680" w:right="131" w:hanging="571"/>
        <w:jc w:val="both"/>
        <w:rPr>
          <w:sz w:val="27"/>
        </w:rPr>
      </w:pPr>
      <w:r>
        <w:rPr>
          <w:w w:val="105"/>
          <w:sz w:val="27"/>
        </w:rPr>
        <w:t>Omboni S, Ferrari R. The role of telemedicine in hypertension management: focus on blood pressure telemonitoring. </w:t>
      </w:r>
      <w:r>
        <w:rPr>
          <w:spacing w:val="-4"/>
          <w:w w:val="105"/>
          <w:sz w:val="27"/>
        </w:rPr>
        <w:t>Curr </w:t>
      </w:r>
      <w:r>
        <w:rPr>
          <w:w w:val="105"/>
          <w:sz w:val="27"/>
        </w:rPr>
        <w:t>Hypertens Rep.</w:t>
      </w:r>
      <w:r>
        <w:rPr>
          <w:spacing w:val="-13"/>
          <w:w w:val="105"/>
          <w:sz w:val="27"/>
        </w:rPr>
        <w:t> </w:t>
      </w:r>
      <w:r>
        <w:rPr>
          <w:w w:val="105"/>
          <w:sz w:val="27"/>
        </w:rPr>
        <w:t>2015;17:535.</w:t>
      </w:r>
    </w:p>
    <w:p>
      <w:pPr>
        <w:pStyle w:val="ListParagraph"/>
        <w:numPr>
          <w:ilvl w:val="0"/>
          <w:numId w:val="12"/>
        </w:numPr>
        <w:tabs>
          <w:tab w:pos="681" w:val="left" w:leader="none"/>
        </w:tabs>
        <w:spacing w:line="256" w:lineRule="auto" w:before="1" w:after="0"/>
        <w:ind w:left="680" w:right="133" w:hanging="571"/>
        <w:jc w:val="both"/>
        <w:rPr>
          <w:sz w:val="27"/>
        </w:rPr>
      </w:pPr>
      <w:r>
        <w:rPr>
          <w:w w:val="105"/>
          <w:sz w:val="27"/>
        </w:rPr>
        <w:t>Bray </w:t>
      </w:r>
      <w:r>
        <w:rPr>
          <w:spacing w:val="-12"/>
          <w:w w:val="105"/>
          <w:sz w:val="27"/>
        </w:rPr>
        <w:t>EP, </w:t>
      </w:r>
      <w:r>
        <w:rPr>
          <w:w w:val="105"/>
          <w:sz w:val="27"/>
        </w:rPr>
        <w:t>Holder R, Mant J, McManus RJ. Does self-monitoring reduce bloodpressure? Meta-analysis with meta-regression of randomized</w:t>
      </w:r>
      <w:r>
        <w:rPr>
          <w:spacing w:val="-13"/>
          <w:w w:val="105"/>
          <w:sz w:val="27"/>
        </w:rPr>
        <w:t> </w:t>
      </w:r>
      <w:r>
        <w:rPr>
          <w:w w:val="105"/>
          <w:sz w:val="27"/>
        </w:rPr>
        <w:t>controlled</w:t>
      </w:r>
      <w:r>
        <w:rPr>
          <w:spacing w:val="-12"/>
          <w:w w:val="105"/>
          <w:sz w:val="27"/>
        </w:rPr>
        <w:t> </w:t>
      </w:r>
      <w:r>
        <w:rPr>
          <w:w w:val="105"/>
          <w:sz w:val="27"/>
        </w:rPr>
        <w:t>trials.</w:t>
      </w:r>
      <w:r>
        <w:rPr>
          <w:spacing w:val="-12"/>
          <w:w w:val="105"/>
          <w:sz w:val="27"/>
        </w:rPr>
        <w:t> </w:t>
      </w:r>
      <w:r>
        <w:rPr>
          <w:w w:val="105"/>
          <w:sz w:val="27"/>
        </w:rPr>
        <w:t>.</w:t>
      </w:r>
      <w:r>
        <w:rPr>
          <w:spacing w:val="-12"/>
          <w:w w:val="105"/>
          <w:sz w:val="27"/>
        </w:rPr>
        <w:t> </w:t>
      </w:r>
      <w:r>
        <w:rPr>
          <w:w w:val="105"/>
          <w:sz w:val="27"/>
        </w:rPr>
        <w:t>Ann</w:t>
      </w:r>
      <w:r>
        <w:rPr>
          <w:spacing w:val="-13"/>
          <w:w w:val="105"/>
          <w:sz w:val="27"/>
        </w:rPr>
        <w:t> </w:t>
      </w:r>
      <w:r>
        <w:rPr>
          <w:w w:val="105"/>
          <w:sz w:val="27"/>
        </w:rPr>
        <w:t>Med</w:t>
      </w:r>
      <w:r>
        <w:rPr>
          <w:spacing w:val="-12"/>
          <w:w w:val="105"/>
          <w:sz w:val="27"/>
        </w:rPr>
        <w:t> </w:t>
      </w:r>
      <w:r>
        <w:rPr>
          <w:w w:val="105"/>
          <w:sz w:val="27"/>
        </w:rPr>
        <w:t>2010;42:371–386.</w:t>
      </w:r>
    </w:p>
    <w:p>
      <w:pPr>
        <w:pStyle w:val="ListParagraph"/>
        <w:numPr>
          <w:ilvl w:val="0"/>
          <w:numId w:val="12"/>
        </w:numPr>
        <w:tabs>
          <w:tab w:pos="681" w:val="left" w:leader="none"/>
        </w:tabs>
        <w:spacing w:line="256" w:lineRule="auto" w:before="2" w:after="0"/>
        <w:ind w:left="680" w:right="130" w:hanging="571"/>
        <w:jc w:val="both"/>
        <w:rPr>
          <w:sz w:val="27"/>
        </w:rPr>
      </w:pPr>
      <w:r>
        <w:rPr>
          <w:sz w:val="27"/>
        </w:rPr>
        <w:t>Niiranen TJ, Hanninen MR, Johansson J, et al. Home- measuredblood pressure is a stronger predictor of cardiovascular risk than ofﬁce bloodpressure: the Finn-Home study. Hypertension 2010;55:1346–1351.</w:t>
      </w:r>
    </w:p>
    <w:p>
      <w:pPr>
        <w:pStyle w:val="ListParagraph"/>
        <w:numPr>
          <w:ilvl w:val="0"/>
          <w:numId w:val="12"/>
        </w:numPr>
        <w:tabs>
          <w:tab w:pos="681" w:val="left" w:leader="none"/>
          <w:tab w:pos="6254" w:val="left" w:leader="none"/>
        </w:tabs>
        <w:spacing w:line="256" w:lineRule="auto" w:before="1" w:after="0"/>
        <w:ind w:left="680" w:right="129" w:hanging="571"/>
        <w:jc w:val="both"/>
        <w:rPr>
          <w:sz w:val="27"/>
        </w:rPr>
      </w:pPr>
      <w:r>
        <w:rPr>
          <w:sz w:val="27"/>
        </w:rPr>
        <w:t>Диспансерное наблюдение больных хроническими неинфекционными заболеваниями и пациентов с высоким риском их развития. Методические рекомендации. </w:t>
      </w:r>
      <w:r>
        <w:rPr>
          <w:spacing w:val="-3"/>
          <w:sz w:val="27"/>
        </w:rPr>
        <w:t>Под </w:t>
      </w:r>
      <w:r>
        <w:rPr>
          <w:sz w:val="27"/>
        </w:rPr>
        <w:t>ред. С.А. Бойцова и А.Г. Чучалина. М.: 2014. 112 с. URL: </w:t>
      </w:r>
      <w:hyperlink r:id="rId12">
        <w:r>
          <w:rPr>
            <w:sz w:val="27"/>
          </w:rPr>
          <w:t>http://www.gnicpm.ru,</w:t>
          <w:tab/>
        </w:r>
        <w:r>
          <w:rPr>
            <w:spacing w:val="-5"/>
            <w:sz w:val="27"/>
          </w:rPr>
          <w:t>http://www.ropniz.ru </w:t>
        </w:r>
        <w:r>
          <w:rPr>
            <w:sz w:val="27"/>
          </w:rPr>
          <w:t>(http://www.ropniz.ru)</w:t>
        </w:r>
      </w:hyperlink>
    </w:p>
    <w:p>
      <w:pPr>
        <w:pStyle w:val="ListParagraph"/>
        <w:numPr>
          <w:ilvl w:val="0"/>
          <w:numId w:val="12"/>
        </w:numPr>
        <w:tabs>
          <w:tab w:pos="681" w:val="left" w:leader="none"/>
          <w:tab w:pos="5194" w:val="left" w:leader="none"/>
          <w:tab w:pos="8227" w:val="left" w:leader="none"/>
        </w:tabs>
        <w:spacing w:line="256" w:lineRule="auto" w:before="3" w:after="0"/>
        <w:ind w:left="680" w:right="129" w:hanging="571"/>
        <w:jc w:val="both"/>
        <w:rPr>
          <w:sz w:val="27"/>
        </w:rPr>
      </w:pPr>
      <w:hyperlink r:id="rId12">
        <w:r>
          <w:rPr>
            <w:spacing w:val="-4"/>
            <w:sz w:val="27"/>
          </w:rPr>
          <w:t>Vanezis, </w:t>
        </w:r>
        <w:r>
          <w:rPr>
            <w:sz w:val="27"/>
          </w:rPr>
          <w:t>A. </w:t>
        </w:r>
        <w:r>
          <w:rPr>
            <w:spacing w:val="-10"/>
            <w:sz w:val="27"/>
          </w:rPr>
          <w:t>P., </w:t>
        </w:r>
        <w:r>
          <w:rPr>
            <w:sz w:val="27"/>
          </w:rPr>
          <w:t>&amp; Bhopal, R. (2008). </w:t>
        </w:r>
        <w:r>
          <w:rPr>
            <w:spacing w:val="-3"/>
            <w:sz w:val="27"/>
          </w:rPr>
          <w:t>Validity </w:t>
        </w:r>
        <w:r>
          <w:rPr>
            <w:sz w:val="27"/>
          </w:rPr>
          <w:t>of electrocardiographic classiﬁcation of left ventricular hypertrophy across adult ethnic groups with echocardiography as a standard. Journal </w:t>
        </w:r>
        <w:r>
          <w:rPr>
            <w:spacing w:val="-6"/>
            <w:sz w:val="27"/>
          </w:rPr>
          <w:t>of </w:t>
        </w:r>
        <w:r>
          <w:rPr>
            <w:sz w:val="27"/>
          </w:rPr>
          <w:t>Electrocardiology,</w:t>
          <w:tab/>
          <w:t>41(5),</w:t>
          <w:tab/>
        </w:r>
        <w:r>
          <w:rPr>
            <w:spacing w:val="-5"/>
            <w:sz w:val="27"/>
          </w:rPr>
          <w:t>404–</w:t>
        </w:r>
      </w:hyperlink>
    </w:p>
    <w:p>
      <w:pPr>
        <w:pStyle w:val="BodyText"/>
      </w:pPr>
      <w:hyperlink r:id="rId12">
        <w:r>
          <w:rPr>
            <w:w w:val="105"/>
          </w:rPr>
          <w:t>412.doi:10.1016/j.jelectrocard.2008.02.013 (http://www.ropniz.ru)</w:t>
        </w:r>
      </w:hyperlink>
    </w:p>
    <w:p>
      <w:pPr>
        <w:pStyle w:val="ListParagraph"/>
        <w:numPr>
          <w:ilvl w:val="0"/>
          <w:numId w:val="12"/>
        </w:numPr>
        <w:tabs>
          <w:tab w:pos="681" w:val="left" w:leader="none"/>
        </w:tabs>
        <w:spacing w:line="256" w:lineRule="auto" w:before="26" w:after="0"/>
        <w:ind w:left="680" w:right="129" w:hanging="571"/>
        <w:jc w:val="both"/>
        <w:rPr>
          <w:sz w:val="27"/>
        </w:rPr>
      </w:pPr>
      <w:hyperlink r:id="rId12">
        <w:r>
          <w:rPr>
            <w:w w:val="105"/>
            <w:sz w:val="27"/>
          </w:rPr>
          <w:t>Jahromi A. S. et al. Sensitivity and speciﬁcity of color duplex ultrasound measurement in the estimation of internal carotid artery</w:t>
        </w:r>
        <w:r>
          <w:rPr>
            <w:spacing w:val="-16"/>
            <w:w w:val="105"/>
            <w:sz w:val="27"/>
          </w:rPr>
          <w:t> </w:t>
        </w:r>
        <w:r>
          <w:rPr>
            <w:w w:val="105"/>
            <w:sz w:val="27"/>
          </w:rPr>
          <w:t>stenosis:</w:t>
        </w:r>
        <w:r>
          <w:rPr>
            <w:spacing w:val="-16"/>
            <w:w w:val="105"/>
            <w:sz w:val="27"/>
          </w:rPr>
          <w:t> </w:t>
        </w:r>
        <w:r>
          <w:rPr>
            <w:w w:val="105"/>
            <w:sz w:val="27"/>
          </w:rPr>
          <w:t>a</w:t>
        </w:r>
        <w:r>
          <w:rPr>
            <w:spacing w:val="-16"/>
            <w:w w:val="105"/>
            <w:sz w:val="27"/>
          </w:rPr>
          <w:t> </w:t>
        </w:r>
        <w:r>
          <w:rPr>
            <w:w w:val="105"/>
            <w:sz w:val="27"/>
          </w:rPr>
          <w:t>systematic</w:t>
        </w:r>
        <w:r>
          <w:rPr>
            <w:spacing w:val="-16"/>
            <w:w w:val="105"/>
            <w:sz w:val="27"/>
          </w:rPr>
          <w:t> </w:t>
        </w:r>
        <w:r>
          <w:rPr>
            <w:w w:val="105"/>
            <w:sz w:val="27"/>
          </w:rPr>
          <w:t>review</w:t>
        </w:r>
        <w:r>
          <w:rPr>
            <w:spacing w:val="-15"/>
            <w:w w:val="105"/>
            <w:sz w:val="27"/>
          </w:rPr>
          <w:t> </w:t>
        </w:r>
        <w:r>
          <w:rPr>
            <w:w w:val="105"/>
            <w:sz w:val="27"/>
          </w:rPr>
          <w:t>and</w:t>
        </w:r>
        <w:r>
          <w:rPr>
            <w:spacing w:val="-16"/>
            <w:w w:val="105"/>
            <w:sz w:val="27"/>
          </w:rPr>
          <w:t> </w:t>
        </w:r>
        <w:r>
          <w:rPr>
            <w:w w:val="105"/>
            <w:sz w:val="27"/>
          </w:rPr>
          <w:t>meta-analysis</w:t>
        </w:r>
        <w:r>
          <w:rPr>
            <w:spacing w:val="-16"/>
            <w:w w:val="105"/>
            <w:sz w:val="27"/>
          </w:rPr>
          <w:t> </w:t>
        </w:r>
        <w:r>
          <w:rPr>
            <w:w w:val="105"/>
            <w:sz w:val="27"/>
          </w:rPr>
          <w:t>//Journal</w:t>
        </w:r>
        <w:r>
          <w:rPr>
            <w:spacing w:val="-16"/>
            <w:w w:val="105"/>
            <w:sz w:val="27"/>
          </w:rPr>
          <w:t> </w:t>
        </w:r>
        <w:r>
          <w:rPr>
            <w:w w:val="105"/>
            <w:sz w:val="27"/>
          </w:rPr>
          <w:t>of vascular surgery. – 2005. – Т. 41. – № . 6. – С. 962-972. (http://www.ropniz.ru)</w:t>
        </w:r>
      </w:hyperlink>
    </w:p>
    <w:p>
      <w:pPr>
        <w:pStyle w:val="ListParagraph"/>
        <w:numPr>
          <w:ilvl w:val="0"/>
          <w:numId w:val="12"/>
        </w:numPr>
        <w:tabs>
          <w:tab w:pos="681" w:val="left" w:leader="none"/>
        </w:tabs>
        <w:spacing w:line="256" w:lineRule="auto" w:before="2" w:after="0"/>
        <w:ind w:left="680" w:right="129" w:hanging="571"/>
        <w:jc w:val="both"/>
        <w:rPr>
          <w:sz w:val="27"/>
        </w:rPr>
      </w:pPr>
      <w:hyperlink r:id="rId12">
        <w:r>
          <w:rPr>
            <w:w w:val="105"/>
            <w:sz w:val="27"/>
          </w:rPr>
          <w:t>Thomopoulos C, Parati G, Zanchetti A. Effects of</w:t>
        </w:r>
        <w:r>
          <w:rPr>
            <w:spacing w:val="-33"/>
            <w:w w:val="105"/>
            <w:sz w:val="27"/>
          </w:rPr>
          <w:t> </w:t>
        </w:r>
        <w:r>
          <w:rPr>
            <w:w w:val="105"/>
            <w:sz w:val="27"/>
          </w:rPr>
          <w:t>blood-pressure- lowering treatment on outcome incidence in hypertension: 10 — Should</w:t>
        </w:r>
        <w:r>
          <w:rPr>
            <w:spacing w:val="-37"/>
            <w:w w:val="105"/>
            <w:sz w:val="27"/>
          </w:rPr>
          <w:t> </w:t>
        </w:r>
        <w:r>
          <w:rPr>
            <w:w w:val="105"/>
            <w:sz w:val="27"/>
          </w:rPr>
          <w:t>blood</w:t>
        </w:r>
        <w:r>
          <w:rPr>
            <w:spacing w:val="-36"/>
            <w:w w:val="105"/>
            <w:sz w:val="27"/>
          </w:rPr>
          <w:t> </w:t>
        </w:r>
        <w:r>
          <w:rPr>
            <w:w w:val="105"/>
            <w:sz w:val="27"/>
          </w:rPr>
          <w:t>pressure</w:t>
        </w:r>
        <w:r>
          <w:rPr>
            <w:spacing w:val="-36"/>
            <w:w w:val="105"/>
            <w:sz w:val="27"/>
          </w:rPr>
          <w:t> </w:t>
        </w:r>
        <w:r>
          <w:rPr>
            <w:w w:val="105"/>
            <w:sz w:val="27"/>
          </w:rPr>
          <w:t>management</w:t>
        </w:r>
        <w:r>
          <w:rPr>
            <w:spacing w:val="-36"/>
            <w:w w:val="105"/>
            <w:sz w:val="27"/>
          </w:rPr>
          <w:t> </w:t>
        </w:r>
        <w:r>
          <w:rPr>
            <w:w w:val="105"/>
            <w:sz w:val="27"/>
          </w:rPr>
          <w:t>differ</w:t>
        </w:r>
        <w:r>
          <w:rPr>
            <w:spacing w:val="-36"/>
            <w:w w:val="105"/>
            <w:sz w:val="27"/>
          </w:rPr>
          <w:t> </w:t>
        </w:r>
        <w:r>
          <w:rPr>
            <w:w w:val="105"/>
            <w:sz w:val="27"/>
          </w:rPr>
          <w:t>in</w:t>
        </w:r>
        <w:r>
          <w:rPr>
            <w:spacing w:val="-36"/>
            <w:w w:val="105"/>
            <w:sz w:val="27"/>
          </w:rPr>
          <w:t> </w:t>
        </w:r>
        <w:r>
          <w:rPr>
            <w:w w:val="105"/>
            <w:sz w:val="27"/>
          </w:rPr>
          <w:t>hypertensive</w:t>
        </w:r>
        <w:r>
          <w:rPr>
            <w:spacing w:val="-36"/>
            <w:w w:val="105"/>
            <w:sz w:val="27"/>
          </w:rPr>
          <w:t> </w:t>
        </w:r>
        <w:r>
          <w:rPr>
            <w:w w:val="105"/>
            <w:sz w:val="27"/>
          </w:rPr>
          <w:t>patients </w:t>
        </w:r>
        <w:r>
          <w:rPr>
            <w:sz w:val="27"/>
          </w:rPr>
          <w:t>with and without diabetes mellitus? Overview and meta-analyses</w:t>
        </w:r>
        <w:r>
          <w:rPr>
            <w:spacing w:val="-13"/>
            <w:sz w:val="27"/>
          </w:rPr>
          <w:t> </w:t>
        </w:r>
        <w:r>
          <w:rPr>
            <w:sz w:val="27"/>
          </w:rPr>
          <w:t>of</w:t>
        </w:r>
      </w:hyperlink>
    </w:p>
    <w:p>
      <w:pPr>
        <w:spacing w:after="0" w:line="256" w:lineRule="auto"/>
        <w:jc w:val="both"/>
        <w:rPr>
          <w:sz w:val="27"/>
        </w:rPr>
        <w:sectPr>
          <w:pgSz w:w="11900" w:h="16840"/>
          <w:pgMar w:top="0" w:bottom="280" w:left="1420" w:right="1520"/>
        </w:sectPr>
      </w:pPr>
    </w:p>
    <w:p>
      <w:pPr>
        <w:pStyle w:val="BodyText"/>
        <w:spacing w:line="256" w:lineRule="auto" w:before="16"/>
        <w:ind w:right="128"/>
      </w:pPr>
      <w:hyperlink r:id="rId12">
        <w:r>
          <w:rPr>
            <w:w w:val="105"/>
          </w:rPr>
          <w:t>randomized trials. J Hypertens 2017;35:922–944. (http://www.ropniz.ru)</w:t>
        </w:r>
      </w:hyperlink>
    </w:p>
    <w:p>
      <w:pPr>
        <w:pStyle w:val="ListParagraph"/>
        <w:numPr>
          <w:ilvl w:val="0"/>
          <w:numId w:val="12"/>
        </w:numPr>
        <w:tabs>
          <w:tab w:pos="681" w:val="left" w:leader="none"/>
        </w:tabs>
        <w:spacing w:line="247" w:lineRule="auto" w:before="1" w:after="0"/>
        <w:ind w:left="680" w:right="132" w:hanging="571"/>
        <w:jc w:val="both"/>
        <w:rPr>
          <w:sz w:val="27"/>
        </w:rPr>
      </w:pPr>
      <w:hyperlink r:id="rId12">
        <w:r>
          <w:rPr>
            <w:spacing w:val="-3"/>
            <w:w w:val="105"/>
            <w:sz w:val="27"/>
          </w:rPr>
          <w:t>Kelley</w:t>
        </w:r>
        <w:r>
          <w:rPr>
            <w:spacing w:val="-9"/>
            <w:w w:val="105"/>
            <w:sz w:val="27"/>
          </w:rPr>
          <w:t> </w:t>
        </w:r>
        <w:r>
          <w:rPr>
            <w:w w:val="105"/>
            <w:sz w:val="27"/>
          </w:rPr>
          <w:t>G.</w:t>
        </w:r>
        <w:r>
          <w:rPr>
            <w:spacing w:val="-8"/>
            <w:w w:val="105"/>
            <w:sz w:val="27"/>
          </w:rPr>
          <w:t> </w:t>
        </w:r>
        <w:r>
          <w:rPr>
            <w:w w:val="105"/>
            <w:sz w:val="27"/>
          </w:rPr>
          <w:t>A.,</w:t>
        </w:r>
        <w:r>
          <w:rPr>
            <w:spacing w:val="-8"/>
            <w:w w:val="105"/>
            <w:sz w:val="27"/>
          </w:rPr>
          <w:t> </w:t>
        </w:r>
        <w:r>
          <w:rPr>
            <w:spacing w:val="-3"/>
            <w:w w:val="105"/>
            <w:sz w:val="27"/>
          </w:rPr>
          <w:t>Kelley</w:t>
        </w:r>
        <w:r>
          <w:rPr>
            <w:spacing w:val="-8"/>
            <w:w w:val="105"/>
            <w:sz w:val="27"/>
          </w:rPr>
          <w:t> </w:t>
        </w:r>
        <w:r>
          <w:rPr>
            <w:w w:val="105"/>
            <w:sz w:val="27"/>
          </w:rPr>
          <w:t>K.</w:t>
        </w:r>
        <w:r>
          <w:rPr>
            <w:spacing w:val="-8"/>
            <w:w w:val="105"/>
            <w:sz w:val="27"/>
          </w:rPr>
          <w:t> </w:t>
        </w:r>
        <w:r>
          <w:rPr>
            <w:w w:val="105"/>
            <w:sz w:val="27"/>
          </w:rPr>
          <w:t>A.,</w:t>
        </w:r>
        <w:r>
          <w:rPr>
            <w:spacing w:val="-8"/>
            <w:w w:val="105"/>
            <w:sz w:val="27"/>
          </w:rPr>
          <w:t> </w:t>
        </w:r>
        <w:r>
          <w:rPr>
            <w:spacing w:val="-11"/>
            <w:w w:val="105"/>
            <w:sz w:val="27"/>
          </w:rPr>
          <w:t>Vu</w:t>
        </w:r>
        <w:r>
          <w:rPr>
            <w:spacing w:val="-8"/>
            <w:w w:val="105"/>
            <w:sz w:val="27"/>
          </w:rPr>
          <w:t> </w:t>
        </w:r>
        <w:r>
          <w:rPr>
            <w:spacing w:val="-3"/>
            <w:w w:val="105"/>
            <w:sz w:val="27"/>
          </w:rPr>
          <w:t>Tran</w:t>
        </w:r>
        <w:r>
          <w:rPr>
            <w:spacing w:val="-8"/>
            <w:w w:val="105"/>
            <w:sz w:val="27"/>
          </w:rPr>
          <w:t> </w:t>
        </w:r>
        <w:r>
          <w:rPr>
            <w:w w:val="105"/>
            <w:sz w:val="27"/>
          </w:rPr>
          <w:t>Z.</w:t>
        </w:r>
        <w:r>
          <w:rPr>
            <w:spacing w:val="-8"/>
            <w:w w:val="105"/>
            <w:sz w:val="27"/>
          </w:rPr>
          <w:t> </w:t>
        </w:r>
        <w:r>
          <w:rPr>
            <w:w w:val="105"/>
            <w:sz w:val="27"/>
          </w:rPr>
          <w:t>Aerobic</w:t>
        </w:r>
        <w:r>
          <w:rPr>
            <w:spacing w:val="-8"/>
            <w:w w:val="105"/>
            <w:sz w:val="27"/>
          </w:rPr>
          <w:t> </w:t>
        </w:r>
        <w:r>
          <w:rPr>
            <w:w w:val="105"/>
            <w:sz w:val="27"/>
          </w:rPr>
          <w:t>exercise</w:t>
        </w:r>
        <w:r>
          <w:rPr>
            <w:spacing w:val="-8"/>
            <w:w w:val="105"/>
            <w:sz w:val="27"/>
          </w:rPr>
          <w:t> </w:t>
        </w:r>
        <w:r>
          <w:rPr>
            <w:w w:val="105"/>
            <w:sz w:val="27"/>
          </w:rPr>
          <w:t>and</w:t>
        </w:r>
        <w:r>
          <w:rPr>
            <w:spacing w:val="-8"/>
            <w:w w:val="105"/>
            <w:sz w:val="27"/>
          </w:rPr>
          <w:t> </w:t>
        </w:r>
        <w:r>
          <w:rPr>
            <w:w w:val="105"/>
            <w:sz w:val="27"/>
          </w:rPr>
          <w:t>resting blood</w:t>
        </w:r>
        <w:r>
          <w:rPr>
            <w:spacing w:val="-9"/>
            <w:w w:val="105"/>
            <w:sz w:val="27"/>
          </w:rPr>
          <w:t> </w:t>
        </w:r>
        <w:r>
          <w:rPr>
            <w:w w:val="105"/>
            <w:sz w:val="27"/>
          </w:rPr>
          <w:t>pressure:</w:t>
        </w:r>
        <w:r>
          <w:rPr>
            <w:spacing w:val="-9"/>
            <w:w w:val="105"/>
            <w:sz w:val="27"/>
          </w:rPr>
          <w:t> </w:t>
        </w:r>
        <w:r>
          <w:rPr>
            <w:w w:val="105"/>
            <w:sz w:val="27"/>
          </w:rPr>
          <w:t>a</w:t>
        </w:r>
        <w:r>
          <w:rPr>
            <w:spacing w:val="-9"/>
            <w:w w:val="105"/>
            <w:sz w:val="27"/>
          </w:rPr>
          <w:t> </w:t>
        </w:r>
        <w:r>
          <w:rPr>
            <w:w w:val="105"/>
            <w:sz w:val="27"/>
          </w:rPr>
          <w:t>meta</w:t>
        </w:r>
        <w:r>
          <w:rPr>
            <w:rFonts w:ascii="Lucida Sans Unicode" w:hAnsi="Lucida Sans Unicode"/>
            <w:w w:val="105"/>
            <w:sz w:val="27"/>
          </w:rPr>
          <w:t>‐</w:t>
        </w:r>
        <w:r>
          <w:rPr>
            <w:w w:val="105"/>
            <w:sz w:val="27"/>
          </w:rPr>
          <w:t>analytic</w:t>
        </w:r>
        <w:r>
          <w:rPr>
            <w:spacing w:val="-9"/>
            <w:w w:val="105"/>
            <w:sz w:val="27"/>
          </w:rPr>
          <w:t> </w:t>
        </w:r>
        <w:r>
          <w:rPr>
            <w:w w:val="105"/>
            <w:sz w:val="27"/>
          </w:rPr>
          <w:t>review</w:t>
        </w:r>
        <w:r>
          <w:rPr>
            <w:spacing w:val="-9"/>
            <w:w w:val="105"/>
            <w:sz w:val="27"/>
          </w:rPr>
          <w:t> </w:t>
        </w:r>
        <w:r>
          <w:rPr>
            <w:w w:val="105"/>
            <w:sz w:val="27"/>
          </w:rPr>
          <w:t>of</w:t>
        </w:r>
        <w:r>
          <w:rPr>
            <w:spacing w:val="-9"/>
            <w:w w:val="105"/>
            <w:sz w:val="27"/>
          </w:rPr>
          <w:t> </w:t>
        </w:r>
        <w:r>
          <w:rPr>
            <w:w w:val="105"/>
            <w:sz w:val="27"/>
          </w:rPr>
          <w:t>randomized,</w:t>
        </w:r>
        <w:r>
          <w:rPr>
            <w:spacing w:val="-9"/>
            <w:w w:val="105"/>
            <w:sz w:val="27"/>
          </w:rPr>
          <w:t> </w:t>
        </w:r>
        <w:r>
          <w:rPr>
            <w:w w:val="105"/>
            <w:sz w:val="27"/>
          </w:rPr>
          <w:t>controlled trials //Preventive cardiology. – 2001. – Т. 4. – № . 2. – С. 73-80. (http://www.ropniz.ru)</w:t>
        </w:r>
      </w:hyperlink>
    </w:p>
    <w:p>
      <w:pPr>
        <w:pStyle w:val="ListParagraph"/>
        <w:numPr>
          <w:ilvl w:val="0"/>
          <w:numId w:val="12"/>
        </w:numPr>
        <w:tabs>
          <w:tab w:pos="681" w:val="left" w:leader="none"/>
        </w:tabs>
        <w:spacing w:line="256" w:lineRule="auto" w:before="8" w:after="0"/>
        <w:ind w:left="680" w:right="130" w:hanging="571"/>
        <w:jc w:val="both"/>
        <w:rPr>
          <w:sz w:val="27"/>
        </w:rPr>
      </w:pPr>
      <w:hyperlink r:id="rId12">
        <w:r>
          <w:rPr>
            <w:w w:val="105"/>
            <w:sz w:val="27"/>
          </w:rPr>
          <w:t>Semlitsch </w:t>
        </w:r>
        <w:r>
          <w:rPr>
            <w:spacing w:val="-7"/>
            <w:w w:val="105"/>
            <w:sz w:val="27"/>
          </w:rPr>
          <w:t>T. </w:t>
        </w:r>
        <w:r>
          <w:rPr>
            <w:w w:val="105"/>
            <w:sz w:val="27"/>
          </w:rPr>
          <w:t>et al. Increasing physical activity for the treatment</w:t>
        </w:r>
        <w:r>
          <w:rPr>
            <w:spacing w:val="-25"/>
            <w:w w:val="105"/>
            <w:sz w:val="27"/>
          </w:rPr>
          <w:t> </w:t>
        </w:r>
        <w:r>
          <w:rPr>
            <w:w w:val="105"/>
            <w:sz w:val="27"/>
          </w:rPr>
          <w:t>of hypertension: a systematic review and meta-analysis //Sports medicine. – 2013. – Т. 43. – № . 10. – С. 1009-1023. (http://www.ropniz.ru)</w:t>
        </w:r>
      </w:hyperlink>
    </w:p>
    <w:p>
      <w:pPr>
        <w:pStyle w:val="ListParagraph"/>
        <w:numPr>
          <w:ilvl w:val="0"/>
          <w:numId w:val="12"/>
        </w:numPr>
        <w:tabs>
          <w:tab w:pos="681" w:val="left" w:leader="none"/>
        </w:tabs>
        <w:spacing w:line="256" w:lineRule="auto" w:before="1" w:after="0"/>
        <w:ind w:left="680" w:right="130" w:hanging="571"/>
        <w:jc w:val="both"/>
        <w:rPr>
          <w:sz w:val="27"/>
        </w:rPr>
      </w:pPr>
      <w:hyperlink r:id="rId12">
        <w:r>
          <w:rPr>
            <w:sz w:val="27"/>
          </w:rPr>
          <w:t>Клинические рекомендации «алгоритмы специализированной медицинской помощи больным сахарным диабетом» </w:t>
        </w:r>
        <w:r>
          <w:rPr>
            <w:spacing w:val="-3"/>
            <w:sz w:val="27"/>
          </w:rPr>
          <w:t>под </w:t>
        </w:r>
        <w:r>
          <w:rPr>
            <w:sz w:val="27"/>
          </w:rPr>
          <w:t>редакцией И.И. Дедова, М.В. Шестаковой, А.Ю. Майорова, 9 выпуск, дополненный. Москва 2019</w:t>
        </w:r>
        <w:r>
          <w:rPr>
            <w:spacing w:val="3"/>
            <w:sz w:val="27"/>
          </w:rPr>
          <w:t> </w:t>
        </w:r>
        <w:r>
          <w:rPr>
            <w:sz w:val="27"/>
          </w:rPr>
          <w:t>(http://www.ropniz.ru)</w:t>
        </w:r>
      </w:hyperlink>
    </w:p>
    <w:p>
      <w:pPr>
        <w:pStyle w:val="BodyText"/>
        <w:spacing w:before="272"/>
        <w:ind w:left="511"/>
        <w:jc w:val="left"/>
      </w:pPr>
      <w:hyperlink r:id="rId12">
        <w:r>
          <w:rPr/>
          <w:t>(http://www.ropniz.ru)</w:t>
        </w:r>
      </w:hyperlink>
    </w:p>
    <w:p>
      <w:pPr>
        <w:pStyle w:val="BodyText"/>
        <w:spacing w:before="0"/>
        <w:ind w:left="0"/>
        <w:jc w:val="left"/>
        <w:rPr>
          <w:sz w:val="36"/>
        </w:rPr>
      </w:pPr>
    </w:p>
    <w:p>
      <w:pPr>
        <w:pStyle w:val="BodyText"/>
        <w:spacing w:before="0"/>
        <w:ind w:left="0"/>
        <w:jc w:val="left"/>
        <w:rPr>
          <w:sz w:val="36"/>
        </w:rPr>
      </w:pPr>
    </w:p>
    <w:p>
      <w:pPr>
        <w:pStyle w:val="BodyText"/>
        <w:spacing w:before="11"/>
        <w:ind w:left="0"/>
        <w:jc w:val="left"/>
      </w:pPr>
    </w:p>
    <w:p>
      <w:pPr>
        <w:pStyle w:val="BodyText"/>
        <w:spacing w:before="0"/>
        <w:ind w:left="380"/>
        <w:jc w:val="left"/>
      </w:pPr>
      <w:hyperlink r:id="rId12">
        <w:r>
          <w:rPr/>
          <w:t>(http://www.ropniz.ru)</w:t>
        </w:r>
      </w:hyperlink>
    </w:p>
    <w:p>
      <w:pPr>
        <w:pStyle w:val="BodyText"/>
        <w:spacing w:before="0"/>
        <w:ind w:left="0"/>
        <w:jc w:val="left"/>
        <w:rPr>
          <w:sz w:val="36"/>
        </w:rPr>
      </w:pPr>
    </w:p>
    <w:p>
      <w:pPr>
        <w:pStyle w:val="BodyText"/>
        <w:spacing w:before="12"/>
        <w:ind w:left="0"/>
        <w:jc w:val="left"/>
        <w:rPr>
          <w:sz w:val="34"/>
        </w:rPr>
      </w:pPr>
    </w:p>
    <w:p>
      <w:pPr>
        <w:pStyle w:val="BodyText"/>
        <w:spacing w:before="0"/>
        <w:ind w:left="380"/>
        <w:jc w:val="left"/>
      </w:pPr>
      <w:hyperlink r:id="rId12">
        <w:r>
          <w:rPr/>
          <w:t>(http://www.ropniz.ru)</w:t>
        </w:r>
      </w:hyperlink>
    </w:p>
    <w:p>
      <w:pPr>
        <w:spacing w:after="0"/>
        <w:jc w:val="left"/>
        <w:sectPr>
          <w:pgSz w:w="11900" w:h="16840"/>
          <w:pgMar w:top="0" w:bottom="280" w:left="1420" w:right="1520"/>
        </w:sectPr>
      </w:pPr>
    </w:p>
    <w:p>
      <w:pPr>
        <w:pStyle w:val="Heading1"/>
        <w:spacing w:line="177" w:lineRule="auto" w:before="197"/>
        <w:ind w:right="733"/>
      </w:pPr>
      <w:r>
        <w:rPr/>
        <w:t>Приложение А1. Состав</w:t>
      </w:r>
      <w:r>
        <w:rPr>
          <w:spacing w:val="-74"/>
        </w:rPr>
        <w:t> </w:t>
      </w:r>
      <w:r>
        <w:rPr>
          <w:spacing w:val="-4"/>
        </w:rPr>
        <w:t>рабочей </w:t>
      </w:r>
      <w:r>
        <w:rPr/>
        <w:t>группы</w:t>
      </w:r>
    </w:p>
    <w:p>
      <w:pPr>
        <w:pStyle w:val="Heading3"/>
        <w:spacing w:before="422"/>
        <w:ind w:left="380"/>
      </w:pPr>
      <w:r>
        <w:rPr/>
        <w:t>Президиум рабочей группы:</w:t>
      </w:r>
    </w:p>
    <w:p>
      <w:pPr>
        <w:pStyle w:val="BodyText"/>
        <w:spacing w:line="256" w:lineRule="auto" w:before="296"/>
        <w:ind w:left="695" w:right="5506"/>
        <w:jc w:val="left"/>
      </w:pPr>
      <w:r>
        <w:rPr/>
        <w:pict>
          <v:shape style="position:absolute;margin-left:91.538452pt;margin-top:22.219379pt;width:4.55pt;height:4.55pt;mso-position-horizontal-relative:page;mso-position-vertical-relative:paragraph;z-index:15870464"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pict>
          <v:shape style="position:absolute;margin-left:91.538452pt;margin-top:41.727577pt;width:4.55pt;height:4.55pt;mso-position-horizontal-relative:page;mso-position-vertical-relative:paragraph;z-index:15870976" coordorigin="1831,835" coordsize="91,91" path="m1876,925l1863,924,1853,920,1835,902,1831,892,1831,867,1835,856,1853,839,1863,835,1888,835,1899,839,1916,856,1921,867,1921,880,1921,892,1916,902,1899,920,1888,924,1876,925xe" filled="true" fillcolor="#000000" stroked="false">
            <v:path arrowok="t"/>
            <v:fill type="solid"/>
            <w10:wrap type="none"/>
          </v:shape>
        </w:pict>
      </w:r>
      <w:r>
        <w:rPr/>
        <w:pict>
          <v:shape style="position:absolute;margin-left:91.538452pt;margin-top:61.235771pt;width:4.55pt;height:4.55pt;mso-position-horizontal-relative:page;mso-position-vertical-relative:paragraph;z-index:15871488" coordorigin="1831,1225" coordsize="91,91" path="m1876,1315l1863,1315,1853,1310,1835,1293,1831,1282,1831,1257,1835,1247,1853,1229,1863,1225,1888,1225,1899,1229,1916,1247,1921,1257,1921,1270,1921,1282,1916,1293,1899,1310,1888,1315,1876,1315xe" filled="true" fillcolor="#000000" stroked="false">
            <v:path arrowok="t"/>
            <v:fill type="solid"/>
            <w10:wrap type="none"/>
          </v:shape>
        </w:pict>
      </w:r>
      <w:r>
        <w:rPr/>
        <w:pict>
          <v:shape style="position:absolute;margin-left:91.538452pt;margin-top:80.743965pt;width:4.55pt;height:4.55pt;mso-position-horizontal-relative:page;mso-position-vertical-relative:paragraph;z-index:15872000" coordorigin="1831,1615" coordsize="91,91" path="m1876,1705l1863,1705,1853,1700,1835,1683,1831,1672,1831,1647,1835,1637,1853,1619,1863,1615,1888,1615,1899,1619,1916,1637,1921,1647,1921,1660,1921,1672,1916,1683,1899,1700,1888,1705,1876,1705xe" filled="true" fillcolor="#000000" stroked="false">
            <v:path arrowok="t"/>
            <v:fill type="solid"/>
            <w10:wrap type="none"/>
          </v:shape>
        </w:pict>
      </w:r>
      <w:r>
        <w:rPr/>
        <w:t>Кобалава Ж. Д. Конради А. О. Недогода С. В. Шляхто Е. В.</w:t>
      </w:r>
    </w:p>
    <w:p>
      <w:pPr>
        <w:pStyle w:val="Heading3"/>
        <w:spacing w:before="272"/>
        <w:ind w:left="380"/>
      </w:pPr>
      <w:r>
        <w:rPr/>
        <w:t>Другие члены рабочей группы:</w:t>
      </w:r>
    </w:p>
    <w:p>
      <w:pPr>
        <w:pStyle w:val="BodyText"/>
        <w:spacing w:line="256" w:lineRule="auto" w:before="296"/>
        <w:ind w:left="695" w:right="5685"/>
        <w:jc w:val="left"/>
      </w:pPr>
      <w:r>
        <w:rPr/>
        <w:pict>
          <v:shape style="position:absolute;margin-left:91.538452pt;margin-top:22.219402pt;width:4.55pt;height:4.55pt;mso-position-horizontal-relative:page;mso-position-vertical-relative:paragraph;z-index:15872512"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pict>
          <v:shape style="position:absolute;margin-left:91.538452pt;margin-top:41.7276pt;width:4.55pt;height:4.55pt;mso-position-horizontal-relative:page;mso-position-vertical-relative:paragraph;z-index:15873024" coordorigin="1831,835" coordsize="91,91" path="m1876,925l1863,924,1853,920,1835,902,1831,892,1831,867,1835,856,1853,839,1863,835,1888,835,1899,839,1916,856,1921,867,1921,880,1921,892,1916,902,1899,920,1888,924,1876,925xe" filled="true" fillcolor="#000000" stroked="false">
            <v:path arrowok="t"/>
            <v:fill type="solid"/>
            <w10:wrap type="none"/>
          </v:shape>
        </w:pict>
      </w:r>
      <w:r>
        <w:rPr/>
        <w:pict>
          <v:shape style="position:absolute;margin-left:91.538452pt;margin-top:61.235798pt;width:4.55pt;height:4.55pt;mso-position-horizontal-relative:page;mso-position-vertical-relative:paragraph;z-index:15873536" coordorigin="1831,1225" coordsize="91,91" path="m1876,1315l1863,1315,1853,1310,1835,1293,1831,1282,1831,1257,1835,1247,1853,1229,1863,1225,1888,1225,1899,1229,1916,1247,1921,1257,1921,1270,1921,1282,1916,1293,1899,1310,1888,1315,1876,1315xe" filled="true" fillcolor="#000000" stroked="false">
            <v:path arrowok="t"/>
            <v:fill type="solid"/>
            <w10:wrap type="none"/>
          </v:shape>
        </w:pict>
      </w:r>
      <w:r>
        <w:rPr/>
        <w:pict>
          <v:shape style="position:absolute;margin-left:91.538452pt;margin-top:80.743996pt;width:4.55pt;height:4.55pt;mso-position-horizontal-relative:page;mso-position-vertical-relative:paragraph;z-index:15874048" coordorigin="1831,1615" coordsize="91,91" path="m1876,1705l1863,1705,1853,1700,1835,1683,1831,1672,1831,1647,1835,1637,1853,1619,1863,1615,1888,1615,1899,1619,1916,1637,1921,1647,1921,1660,1921,1672,1916,1683,1899,1700,1888,1705,1876,1705xe" filled="true" fillcolor="#000000" stroked="false">
            <v:path arrowok="t"/>
            <v:fill type="solid"/>
            <w10:wrap type="none"/>
          </v:shape>
        </w:pict>
      </w:r>
      <w:r>
        <w:rPr/>
        <w:pict>
          <v:shape style="position:absolute;margin-left:91.538452pt;margin-top:100.25219pt;width:4.55pt;height:4.55pt;mso-position-horizontal-relative:page;mso-position-vertical-relative:paragraph;z-index:15874560" coordorigin="1831,2005" coordsize="91,91" path="m1876,2095l1863,2095,1853,2091,1835,2073,1831,2062,1831,2038,1835,2027,1853,2009,1863,2005,1888,2005,1899,2009,1916,2027,1921,2038,1921,2050,1921,2062,1916,2073,1899,2091,1888,2095,1876,2095xe" filled="true" fillcolor="#000000" stroked="false">
            <v:path arrowok="t"/>
            <v:fill type="solid"/>
            <w10:wrap type="none"/>
          </v:shape>
        </w:pict>
      </w:r>
      <w:r>
        <w:rPr/>
        <w:pict>
          <v:shape style="position:absolute;margin-left:91.538452pt;margin-top:119.760384pt;width:4.55pt;height:4.55pt;mso-position-horizontal-relative:page;mso-position-vertical-relative:paragraph;z-index:15875072" coordorigin="1831,2395" coordsize="91,91" path="m1876,2485l1863,2485,1853,2481,1835,2463,1831,2453,1831,2428,1835,2417,1853,2400,1863,2395,1888,2395,1899,2400,1916,2417,1921,2428,1921,2440,1921,2453,1916,2463,1899,2481,1888,2485,1876,2485xe" filled="true" fillcolor="#000000" stroked="false">
            <v:path arrowok="t"/>
            <v:fill type="solid"/>
            <w10:wrap type="none"/>
          </v:shape>
        </w:pict>
      </w:r>
      <w:r>
        <w:rPr/>
        <w:pict>
          <v:shape style="position:absolute;margin-left:91.538452pt;margin-top:139.268585pt;width:4.55pt;height:4.55pt;mso-position-horizontal-relative:page;mso-position-vertical-relative:paragraph;z-index:15875584" coordorigin="1831,2785" coordsize="91,91" path="m1876,2875l1863,2875,1853,2871,1835,2853,1831,2843,1831,2818,1835,2807,1853,2790,1863,2785,1888,2785,1899,2790,1916,2807,1921,2818,1921,2830,1921,2843,1916,2853,1899,2871,1888,2875,1876,2875xe" filled="true" fillcolor="#000000" stroked="false">
            <v:path arrowok="t"/>
            <v:fill type="solid"/>
            <w10:wrap type="none"/>
          </v:shape>
        </w:pict>
      </w:r>
      <w:r>
        <w:rPr/>
        <w:pict>
          <v:shape style="position:absolute;margin-left:91.538452pt;margin-top:158.776779pt;width:4.55pt;height:4.55pt;mso-position-horizontal-relative:page;mso-position-vertical-relative:paragraph;z-index:15876096" coordorigin="1831,3176" coordsize="91,91" path="m1876,3266l1863,3265,1853,3261,1835,3243,1831,3233,1831,3208,1835,3197,1853,3180,1863,3176,1888,3176,1899,3180,1916,3197,1921,3208,1921,3221,1921,3233,1916,3243,1899,3261,1888,3265,1876,3266xe" filled="true" fillcolor="#000000" stroked="false">
            <v:path arrowok="t"/>
            <v:fill type="solid"/>
            <w10:wrap type="none"/>
          </v:shape>
        </w:pict>
      </w:r>
      <w:r>
        <w:rPr/>
        <w:pict>
          <v:shape style="position:absolute;margin-left:91.538452pt;margin-top:178.284973pt;width:4.55pt;height:4.55pt;mso-position-horizontal-relative:page;mso-position-vertical-relative:paragraph;z-index:15876608" coordorigin="1831,3566" coordsize="91,91" path="m1876,3656l1863,3656,1853,3651,1835,3634,1831,3623,1831,3598,1835,3588,1853,3570,1863,3566,1888,3566,1899,3570,1916,3588,1921,3598,1921,3611,1921,3623,1916,3634,1899,3651,1888,3656,1876,3656xe" filled="true" fillcolor="#000000" stroked="false">
            <v:path arrowok="t"/>
            <v:fill type="solid"/>
            <w10:wrap type="none"/>
          </v:shape>
        </w:pict>
      </w:r>
      <w:r>
        <w:rPr/>
        <w:pict>
          <v:shape style="position:absolute;margin-left:91.538452pt;margin-top:197.793167pt;width:4.55pt;height:4.55pt;mso-position-horizontal-relative:page;mso-position-vertical-relative:paragraph;z-index:15877120" coordorigin="1831,3956" coordsize="91,91" path="m1876,4046l1863,4046,1853,4041,1835,4024,1831,4013,1831,3988,1835,3978,1853,3960,1863,3956,1888,3956,1899,3960,1916,3978,1921,3988,1921,4001,1921,4013,1916,4024,1899,4041,1888,4046,1876,4046xe" filled="true" fillcolor="#000000" stroked="false">
            <v:path arrowok="t"/>
            <v:fill type="solid"/>
            <w10:wrap type="none"/>
          </v:shape>
        </w:pict>
      </w:r>
      <w:r>
        <w:rPr/>
        <w:pict>
          <v:shape style="position:absolute;margin-left:91.538452pt;margin-top:217.301361pt;width:4.55pt;height:4.55pt;mso-position-horizontal-relative:page;mso-position-vertical-relative:paragraph;z-index:15877632" coordorigin="1831,4346" coordsize="91,91" path="m1876,4436l1863,4436,1853,4432,1835,4414,1831,4403,1831,4379,1835,4368,1853,4350,1863,4346,1888,4346,1899,4350,1916,4368,1921,4379,1921,4391,1921,4403,1916,4414,1899,4432,1888,4436,1876,4436xe" filled="true" fillcolor="#000000" stroked="false">
            <v:path arrowok="t"/>
            <v:fill type="solid"/>
            <w10:wrap type="none"/>
          </v:shape>
        </w:pict>
      </w:r>
      <w:r>
        <w:rPr/>
        <w:pict>
          <v:shape style="position:absolute;margin-left:91.538452pt;margin-top:236.80957pt;width:4.55pt;height:4.55pt;mso-position-horizontal-relative:page;mso-position-vertical-relative:paragraph;z-index:15878144" coordorigin="1831,4736" coordsize="91,91" path="m1876,4826l1863,4826,1853,4822,1835,4804,1831,4794,1831,4769,1835,4758,1853,4741,1863,4736,1888,4736,1899,4741,1916,4758,1921,4769,1921,4781,1921,4794,1916,4804,1899,4822,1888,4826,1876,4826xe" filled="true" fillcolor="#000000" stroked="false">
            <v:path arrowok="t"/>
            <v:fill type="solid"/>
            <w10:wrap type="none"/>
          </v:shape>
        </w:pict>
      </w:r>
      <w:r>
        <w:rPr/>
        <w:pict>
          <v:shape style="position:absolute;margin-left:91.538452pt;margin-top:256.317749pt;width:4.55pt;height:4.55pt;mso-position-horizontal-relative:page;mso-position-vertical-relative:paragraph;z-index:15878656" coordorigin="1831,5126" coordsize="91,91" path="m1876,5216l1863,5216,1853,5212,1835,5194,1831,5184,1831,5159,1835,5148,1853,5131,1863,5126,1888,5126,1899,5131,1916,5148,1921,5159,1921,5171,1921,5184,1916,5194,1899,5212,1888,5216,1876,5216xe" filled="true" fillcolor="#000000" stroked="false">
            <v:path arrowok="t"/>
            <v:fill type="solid"/>
            <w10:wrap type="none"/>
          </v:shape>
        </w:pict>
      </w:r>
      <w:r>
        <w:rPr/>
        <w:pict>
          <v:shape style="position:absolute;margin-left:91.538452pt;margin-top:275.825958pt;width:4.55pt;height:4.55pt;mso-position-horizontal-relative:page;mso-position-vertical-relative:paragraph;z-index:15879168" coordorigin="1831,5517" coordsize="91,91" path="m1876,5607l1863,5606,1853,5602,1835,5584,1831,5574,1831,5549,1835,5538,1853,5521,1863,5517,1888,5517,1899,5521,1916,5538,1921,5549,1921,5562,1921,5574,1916,5584,1899,5602,1888,5606,1876,5607xe" filled="true" fillcolor="#000000" stroked="false">
            <v:path arrowok="t"/>
            <v:fill type="solid"/>
            <w10:wrap type="none"/>
          </v:shape>
        </w:pict>
      </w:r>
      <w:r>
        <w:rPr/>
        <w:pict>
          <v:shape style="position:absolute;margin-left:91.538452pt;margin-top:295.334167pt;width:4.55pt;height:4.55pt;mso-position-horizontal-relative:page;mso-position-vertical-relative:paragraph;z-index:15879680" coordorigin="1831,5907" coordsize="91,91" path="m1888,5997l1863,5997,1853,5992,1835,5975,1831,5964,1831,5939,1835,5929,1853,5911,1863,5907,1888,5907,1899,5911,1916,5929,1921,5939,1921,5952,1921,5964,1916,5975,1899,5992,1888,5997xe" filled="true" fillcolor="#000000" stroked="false">
            <v:path arrowok="t"/>
            <v:fill type="solid"/>
            <w10:wrap type="none"/>
          </v:shape>
        </w:pict>
      </w:r>
      <w:r>
        <w:rPr/>
        <w:pict>
          <v:shape style="position:absolute;margin-left:91.538452pt;margin-top:314.842346pt;width:4.55pt;height:4.55pt;mso-position-horizontal-relative:page;mso-position-vertical-relative:paragraph;z-index:15880192" coordorigin="1831,6297" coordsize="91,91" path="m1876,6387l1863,6387,1853,6382,1835,6365,1831,6354,1831,6329,1835,6319,1853,6301,1863,6297,1888,6297,1899,6301,1916,6319,1921,6329,1921,6342,1921,6354,1916,6365,1899,6382,1888,6387,1876,6387xe" filled="true" fillcolor="#000000" stroked="false">
            <v:path arrowok="t"/>
            <v:fill type="solid"/>
            <w10:wrap type="none"/>
          </v:shape>
        </w:pict>
      </w:r>
      <w:r>
        <w:rPr/>
        <w:pict>
          <v:shape style="position:absolute;margin-left:91.538452pt;margin-top:334.350555pt;width:4.55pt;height:4.55pt;mso-position-horizontal-relative:page;mso-position-vertical-relative:paragraph;z-index:15880704" coordorigin="1831,6687" coordsize="91,91" path="m1876,6777l1863,6777,1853,6772,1835,6755,1831,6744,1831,6719,1835,6709,1853,6691,1863,6687,1888,6687,1899,6691,1916,6709,1921,6719,1921,6732,1921,6744,1916,6755,1899,6772,1888,6777,1876,6777xe" filled="true" fillcolor="#000000" stroked="false">
            <v:path arrowok="t"/>
            <v:fill type="solid"/>
            <w10:wrap type="none"/>
          </v:shape>
        </w:pict>
      </w:r>
      <w:r>
        <w:rPr/>
        <w:pict>
          <v:shape style="position:absolute;margin-left:91.538452pt;margin-top:353.858734pt;width:4.55pt;height:4.55pt;mso-position-horizontal-relative:page;mso-position-vertical-relative:paragraph;z-index:15881216" coordorigin="1831,7077" coordsize="91,91" path="m1876,7167l1863,7167,1853,7163,1835,7145,1831,7134,1831,7110,1835,7099,1853,7082,1863,7077,1888,7077,1899,7082,1916,7099,1921,7110,1921,7122,1921,7134,1916,7145,1899,7163,1888,7167,1876,7167xe" filled="true" fillcolor="#000000" stroked="false">
            <v:path arrowok="t"/>
            <v:fill type="solid"/>
            <w10:wrap type="none"/>
          </v:shape>
        </w:pict>
      </w:r>
      <w:r>
        <w:rPr/>
        <w:pict>
          <v:shape style="position:absolute;margin-left:91.538452pt;margin-top:373.366943pt;width:4.55pt;height:4.55pt;mso-position-horizontal-relative:page;mso-position-vertical-relative:paragraph;z-index:15881728" coordorigin="1831,7467" coordsize="91,91" path="m1876,7557l1863,7557,1853,7553,1835,7535,1831,7525,1831,7500,1835,7489,1853,7472,1863,7467,1888,7467,1899,7472,1916,7489,1921,7500,1921,7512,1921,7525,1916,7535,1899,7553,1888,7557,1876,7557xe" filled="true" fillcolor="#000000" stroked="false">
            <v:path arrowok="t"/>
            <v:fill type="solid"/>
            <w10:wrap type="none"/>
          </v:shape>
        </w:pict>
      </w:r>
      <w:r>
        <w:rPr/>
        <w:pict>
          <v:shape style="position:absolute;margin-left:91.538452pt;margin-top:392.875122pt;width:4.55pt;height:4.55pt;mso-position-horizontal-relative:page;mso-position-vertical-relative:paragraph;z-index:15882240" coordorigin="1831,7858" coordsize="91,91" path="m1876,7948l1863,7947,1853,7943,1835,7925,1831,7915,1831,7890,1835,7879,1853,7862,1863,7858,1888,7858,1899,7862,1916,7879,1921,7890,1921,7903,1921,7915,1916,7925,1899,7943,1888,7947,1876,7948xe" filled="true" fillcolor="#000000" stroked="false">
            <v:path arrowok="t"/>
            <v:fill type="solid"/>
            <w10:wrap type="none"/>
          </v:shape>
        </w:pict>
      </w:r>
      <w:r>
        <w:rPr/>
        <w:pict>
          <v:shape style="position:absolute;margin-left:91.538452pt;margin-top:412.383331pt;width:4.55pt;height:4.55pt;mso-position-horizontal-relative:page;mso-position-vertical-relative:paragraph;z-index:15882752" coordorigin="1831,8248" coordsize="91,91" path="m1876,8338l1863,8338,1853,8333,1835,8316,1831,8305,1831,8280,1835,8270,1853,8252,1863,8248,1888,8248,1899,8252,1916,8270,1921,8280,1921,8293,1921,8305,1916,8316,1899,8333,1888,8338,1876,8338xe" filled="true" fillcolor="#000000" stroked="false">
            <v:path arrowok="t"/>
            <v:fill type="solid"/>
            <w10:wrap type="none"/>
          </v:shape>
        </w:pict>
      </w:r>
      <w:r>
        <w:rPr/>
        <w:pict>
          <v:shape style="position:absolute;margin-left:91.538452pt;margin-top:431.891541pt;width:4.55pt;height:4.55pt;mso-position-horizontal-relative:page;mso-position-vertical-relative:paragraph;z-index:15883264" coordorigin="1831,8638" coordsize="91,91" path="m1876,8728l1863,8728,1853,8723,1835,8706,1831,8695,1831,8670,1835,8660,1853,8642,1863,8638,1888,8638,1899,8642,1916,8660,1921,8670,1921,8683,1921,8695,1916,8706,1899,8723,1888,8728,1876,8728xe" filled="true" fillcolor="#000000" stroked="false">
            <v:path arrowok="t"/>
            <v:fill type="solid"/>
            <w10:wrap type="none"/>
          </v:shape>
        </w:pict>
      </w:r>
      <w:r>
        <w:rPr/>
        <w:pict>
          <v:shape style="position:absolute;margin-left:91.538452pt;margin-top:451.399719pt;width:4.55pt;height:4.55pt;mso-position-horizontal-relative:page;mso-position-vertical-relative:paragraph;z-index:15883776" coordorigin="1831,9028" coordsize="91,91" path="m1876,9118l1863,9118,1853,9113,1835,9096,1831,9085,1831,9061,1835,9050,1853,9032,1863,9028,1888,9028,1899,9032,1916,9050,1921,9061,1921,9073,1921,9085,1916,9096,1899,9113,1888,9118,1876,9118xe" filled="true" fillcolor="#000000" stroked="false">
            <v:path arrowok="t"/>
            <v:fill type="solid"/>
            <w10:wrap type="none"/>
          </v:shape>
        </w:pict>
      </w:r>
      <w:r>
        <w:rPr/>
        <w:pict>
          <v:shape style="position:absolute;margin-left:91.538452pt;margin-top:470.907928pt;width:4.55pt;height:4.55pt;mso-position-horizontal-relative:page;mso-position-vertical-relative:paragraph;z-index:15884288" coordorigin="1831,9418" coordsize="91,91" path="m1876,9508l1863,9508,1853,9504,1835,9486,1831,9476,1831,9451,1835,9440,1853,9423,1863,9418,1888,9418,1899,9423,1916,9440,1921,9451,1921,9463,1921,9476,1916,9486,1899,9504,1888,9508,1876,9508xe" filled="true" fillcolor="#000000" stroked="false">
            <v:path arrowok="t"/>
            <v:fill type="solid"/>
            <w10:wrap type="none"/>
          </v:shape>
        </w:pict>
      </w:r>
      <w:r>
        <w:rPr/>
        <w:pict>
          <v:shape style="position:absolute;margin-left:91.538452pt;margin-top:490.416107pt;width:4.55pt;height:4.55pt;mso-position-horizontal-relative:page;mso-position-vertical-relative:paragraph;z-index:15884800" coordorigin="1831,9808" coordsize="91,91" path="m1888,9898l1863,9898,1853,9894,1835,9876,1831,9866,1831,9841,1835,9830,1853,9813,1863,9808,1888,9808,1899,9813,1916,9830,1921,9841,1921,9853,1921,9866,1916,9876,1899,9894,1888,9898xe" filled="true" fillcolor="#000000" stroked="false">
            <v:path arrowok="t"/>
            <v:fill type="solid"/>
            <w10:wrap type="none"/>
          </v:shape>
        </w:pict>
      </w:r>
      <w:r>
        <w:rPr/>
        <w:pict>
          <v:shape style="position:absolute;margin-left:91.538452pt;margin-top:509.924316pt;width:4.55pt;height:4.55pt;mso-position-horizontal-relative:page;mso-position-vertical-relative:paragraph;z-index:15885312" coordorigin="1831,10198" coordsize="91,91" path="m1876,10289l1863,10288,1853,10284,1835,10266,1831,10256,1831,10231,1835,10220,1853,10203,1863,10198,1888,10198,1899,10203,1916,10220,1921,10231,1921,10244,1921,10256,1916,10266,1899,10284,1888,10288,1876,10289xe" filled="true" fillcolor="#000000" stroked="false">
            <v:path arrowok="t"/>
            <v:fill type="solid"/>
            <w10:wrap type="none"/>
          </v:shape>
        </w:pict>
      </w:r>
      <w:r>
        <w:rPr/>
        <w:pict>
          <v:shape style="position:absolute;margin-left:91.538452pt;margin-top:529.432495pt;width:4.55pt;height:4.55pt;mso-position-horizontal-relative:page;mso-position-vertical-relative:paragraph;z-index:15885824" coordorigin="1831,10589" coordsize="91,91" path="m1888,10679l1863,10679,1853,10674,1835,10657,1831,10646,1831,10621,1835,10610,1853,10593,1863,10589,1888,10589,1899,10593,1916,10610,1921,10621,1921,10634,1921,10646,1916,10657,1899,10674,1888,10679xe" filled="true" fillcolor="#000000" stroked="false">
            <v:path arrowok="t"/>
            <v:fill type="solid"/>
            <w10:wrap type="none"/>
          </v:shape>
        </w:pict>
      </w:r>
      <w:r>
        <w:rPr/>
        <w:pict>
          <v:shape style="position:absolute;margin-left:91.538452pt;margin-top:548.940735pt;width:4.55pt;height:4.55pt;mso-position-horizontal-relative:page;mso-position-vertical-relative:paragraph;z-index:15886336" coordorigin="1831,10979" coordsize="91,91" path="m1888,11069l1863,11069,1853,11064,1835,11047,1831,11036,1831,11011,1835,11001,1853,10983,1863,10979,1888,10979,1899,10983,1916,11001,1921,11011,1921,11024,1921,11036,1916,11047,1899,11064,1888,11069xe" filled="true" fillcolor="#000000" stroked="false">
            <v:path arrowok="t"/>
            <v:fill type="solid"/>
            <w10:wrap type="none"/>
          </v:shape>
        </w:pict>
      </w:r>
      <w:r>
        <w:rPr/>
        <w:pict>
          <v:shape style="position:absolute;margin-left:91.538452pt;margin-top:568.448914pt;width:4.55pt;height:4.55pt;mso-position-horizontal-relative:page;mso-position-vertical-relative:paragraph;z-index:15886848" coordorigin="1831,11369" coordsize="91,91" path="m1876,11459l1863,11459,1853,11454,1835,11437,1831,11426,1831,11402,1835,11391,1853,11373,1863,11369,1888,11369,1899,11373,1916,11391,1921,11402,1921,11414,1921,11426,1916,11437,1899,11454,1888,11459,1876,11459xe" filled="true" fillcolor="#000000" stroked="false">
            <v:path arrowok="t"/>
            <v:fill type="solid"/>
            <w10:wrap type="none"/>
          </v:shape>
        </w:pict>
      </w:r>
      <w:r>
        <w:rPr/>
        <w:t>Арутюнов Г. П., Баранова Е. И., Барбараш О. Л., Бойцов С. А., Вавилова Т. В., Виллевальде С. В., Галявич А. С., Глезер М. Г., Гринева Е. Н., Гринштейн Ю. И., Драпкина О. М., Жернакова Ю. В., Звартау Н. Э., Кисляк О. А., Козиолова Н. А., Космачева Е. Д., Котовская Ю. В., Либис Р. А., Лопатин Ю. М., Небиридзе Д. В., Недошивин А. О. Остроумова О. Д., Ощепкова Е. В., Ратова Л. Г., Скибицкий В. В., Ткачева О. Н., Чазова И. Е, Чесникова А. И., Чумакова Г. А.,</w:t>
      </w:r>
    </w:p>
    <w:p>
      <w:pPr>
        <w:spacing w:after="0" w:line="256" w:lineRule="auto"/>
        <w:jc w:val="left"/>
        <w:sectPr>
          <w:pgSz w:w="11900" w:h="16840"/>
          <w:pgMar w:top="600" w:bottom="0" w:left="1420" w:right="1520"/>
        </w:sectPr>
      </w:pPr>
    </w:p>
    <w:p>
      <w:pPr>
        <w:pStyle w:val="BodyText"/>
        <w:spacing w:line="256" w:lineRule="auto" w:before="16"/>
        <w:ind w:left="695" w:right="5506"/>
        <w:jc w:val="left"/>
      </w:pPr>
      <w:r>
        <w:rPr/>
        <w:pict>
          <v:shape style="position:absolute;margin-left:91.538452pt;margin-top:8.219378pt;width:4.55pt;height:4.55pt;mso-position-horizontal-relative:page;mso-position-vertical-relative:paragraph;z-index:15887360" coordorigin="1831,164" coordsize="91,91" path="m1876,254l1863,254,1853,250,1835,232,1831,222,1831,197,1835,186,1853,169,1863,164,1888,164,1899,169,1916,186,1921,197,1921,209,1921,222,1916,232,1899,250,1888,254,1876,254xe" filled="true" fillcolor="#000000" stroked="false">
            <v:path arrowok="t"/>
            <v:fill type="solid"/>
            <w10:wrap type="none"/>
          </v:shape>
        </w:pict>
      </w:r>
      <w:r>
        <w:rPr/>
        <w:pict>
          <v:shape style="position:absolute;margin-left:91.538452pt;margin-top:27.727573pt;width:4.55pt;height:4.55pt;mso-position-horizontal-relative:page;mso-position-vertical-relative:paragraph;z-index:15887872" coordorigin="1831,555" coordsize="91,91" path="m1876,645l1863,644,1853,640,1835,623,1831,612,1831,587,1835,576,1853,559,1863,555,1888,555,1899,559,1916,576,1921,587,1921,600,1921,612,1916,623,1899,640,1888,644,1876,645xe" filled="true" fillcolor="#000000" stroked="false">
            <v:path arrowok="t"/>
            <v:fill type="solid"/>
            <w10:wrap type="none"/>
          </v:shape>
        </w:pict>
      </w:r>
      <w:r>
        <w:rPr/>
        <w:pict>
          <v:shape style="position:absolute;margin-left:91.538452pt;margin-top:47.235771pt;width:4.55pt;height:4.55pt;mso-position-horizontal-relative:page;mso-position-vertical-relative:paragraph;z-index:15888384" coordorigin="1831,945" coordsize="91,91" path="m1888,1035l1863,1035,1853,1030,1835,1013,1831,1002,1831,977,1835,967,1853,949,1863,945,1888,945,1899,949,1916,967,1921,977,1921,990,1921,1002,1916,1013,1899,1030,1888,1035xe" filled="true" fillcolor="#000000" stroked="false">
            <v:path arrowok="t"/>
            <v:fill type="solid"/>
            <w10:wrap type="none"/>
          </v:shape>
        </w:pict>
      </w:r>
      <w:r>
        <w:rPr/>
        <w:pict>
          <v:shape style="position:absolute;margin-left:91.538452pt;margin-top:66.743965pt;width:4.55pt;height:4.55pt;mso-position-horizontal-relative:page;mso-position-vertical-relative:paragraph;z-index:15888896" coordorigin="1831,1335" coordsize="91,91" path="m1876,1425l1863,1425,1853,1420,1835,1403,1831,1392,1831,1367,1835,1357,1853,1339,1863,1335,1888,1335,1899,1339,1916,1357,1921,1367,1921,1380,1921,1392,1916,1403,1899,1420,1888,1425,1876,1425xe" filled="true" fillcolor="#000000" stroked="false">
            <v:path arrowok="t"/>
            <v:fill type="solid"/>
            <w10:wrap type="none"/>
          </v:shape>
        </w:pict>
      </w:r>
      <w:r>
        <w:rPr/>
        <w:t>Шальнова С. А., Шестакова М. В., Якушин С. С., Янишевский С. Н.</w:t>
      </w:r>
    </w:p>
    <w:p>
      <w:pPr>
        <w:pStyle w:val="BodyText"/>
        <w:spacing w:before="0"/>
        <w:ind w:left="0"/>
        <w:jc w:val="left"/>
        <w:rPr>
          <w:sz w:val="36"/>
        </w:rPr>
      </w:pPr>
    </w:p>
    <w:p>
      <w:pPr>
        <w:pStyle w:val="BodyText"/>
        <w:ind w:left="0"/>
        <w:jc w:val="left"/>
        <w:rPr>
          <w:sz w:val="33"/>
        </w:rPr>
      </w:pPr>
    </w:p>
    <w:p>
      <w:pPr>
        <w:pStyle w:val="BodyText"/>
        <w:spacing w:line="256" w:lineRule="auto"/>
        <w:ind w:left="380" w:right="135"/>
      </w:pPr>
      <w:r>
        <w:rPr/>
        <w:t>Члены Рабочей группы подтвердили отсутствие финансовой поддержки/конфликта интересов. В случае сообщения о наличии конфликта интересов член(ы) рабочей группы был(и) исключен(ы) из обсуждения разделов, связанных с областью конфликта</w:t>
      </w:r>
      <w:r>
        <w:rPr>
          <w:spacing w:val="-2"/>
        </w:rPr>
        <w:t> </w:t>
      </w:r>
      <w:r>
        <w:rPr/>
        <w:t>интересов.</w:t>
      </w:r>
    </w:p>
    <w:p>
      <w:pPr>
        <w:spacing w:after="0" w:line="256" w:lineRule="auto"/>
        <w:sectPr>
          <w:pgSz w:w="11900" w:h="16840"/>
          <w:pgMar w:top="0" w:bottom="280" w:left="1420" w:right="1520"/>
        </w:sectPr>
      </w:pPr>
    </w:p>
    <w:p>
      <w:pPr>
        <w:pStyle w:val="Heading1"/>
        <w:spacing w:line="177" w:lineRule="auto" w:before="197"/>
        <w:ind w:right="1279"/>
      </w:pPr>
      <w:r>
        <w:rPr/>
        <w:t>Приложение А2.</w:t>
      </w:r>
      <w:r>
        <w:rPr>
          <w:spacing w:val="-59"/>
        </w:rPr>
        <w:t> </w:t>
      </w:r>
      <w:r>
        <w:rPr>
          <w:spacing w:val="-5"/>
        </w:rPr>
        <w:t>Методология </w:t>
      </w:r>
      <w:r>
        <w:rPr/>
        <w:t>разработки клинических рекомендаций</w:t>
      </w:r>
    </w:p>
    <w:p>
      <w:pPr>
        <w:pStyle w:val="BodyText"/>
        <w:spacing w:line="256" w:lineRule="auto" w:before="423"/>
        <w:ind w:left="380" w:right="130"/>
      </w:pPr>
      <w:r>
        <w:rPr/>
        <w:t>Представленные Рекомендации разработаны на основе Рекомендаций РМОАГ 2019 г. по диагностике и лечению артериальной гипертензии и Рекомендаций по лечению артериальной гипертензии Европейского общества кардиологов 2018 года [28, 29].</w:t>
      </w:r>
    </w:p>
    <w:p>
      <w:pPr>
        <w:pStyle w:val="BodyText"/>
        <w:spacing w:line="256" w:lineRule="auto" w:before="272"/>
        <w:ind w:left="380" w:right="129"/>
      </w:pPr>
      <w:r>
        <w:rPr/>
        <w:t>В Рекомендациях, основанных на результатах крупнейших эпидемиологических, рандомизированных клинических исследований и метаанализов, обобщены и изложены основные принципы лечения пациентов с АГ в целом и в особых клинических ситуациях. Основная цель Рекомендаций — облегчить принятие решения при выборе оптимальной стратегии лечения конкретного пациента с АГ. Тем не менее окончательное решение о лечении должно быть принято сучетом индивидуальныхособенностей механизмов развития и течения заболевания (например, солечувствительность, вторичный гиперальдостеронизм, индивидуальная чувствительность к АГП).</w:t>
      </w:r>
    </w:p>
    <w:p>
      <w:pPr>
        <w:pStyle w:val="Heading3"/>
        <w:spacing w:before="275"/>
        <w:ind w:left="380"/>
        <w:jc w:val="both"/>
      </w:pPr>
      <w:r>
        <w:rPr/>
        <w:t>Целевая аудитория данных клинических рекомендаций:</w:t>
      </w:r>
    </w:p>
    <w:p>
      <w:pPr>
        <w:pStyle w:val="ListParagraph"/>
        <w:numPr>
          <w:ilvl w:val="1"/>
          <w:numId w:val="12"/>
        </w:numPr>
        <w:tabs>
          <w:tab w:pos="666" w:val="left" w:leader="none"/>
        </w:tabs>
        <w:spacing w:line="240" w:lineRule="auto" w:before="296" w:after="0"/>
        <w:ind w:left="665" w:right="0" w:hanging="286"/>
        <w:jc w:val="left"/>
        <w:rPr>
          <w:sz w:val="27"/>
        </w:rPr>
      </w:pPr>
      <w:r>
        <w:rPr>
          <w:w w:val="105"/>
          <w:sz w:val="27"/>
        </w:rPr>
        <w:t>Врач-кардиолог.</w:t>
      </w:r>
    </w:p>
    <w:p>
      <w:pPr>
        <w:pStyle w:val="ListParagraph"/>
        <w:numPr>
          <w:ilvl w:val="1"/>
          <w:numId w:val="12"/>
        </w:numPr>
        <w:tabs>
          <w:tab w:pos="666" w:val="left" w:leader="none"/>
        </w:tabs>
        <w:spacing w:line="240" w:lineRule="auto" w:before="296" w:after="0"/>
        <w:ind w:left="665" w:right="0" w:hanging="286"/>
        <w:jc w:val="left"/>
        <w:rPr>
          <w:sz w:val="27"/>
        </w:rPr>
      </w:pPr>
      <w:r>
        <w:rPr>
          <w:w w:val="105"/>
          <w:sz w:val="27"/>
        </w:rPr>
        <w:t>Врач-терапевт.</w:t>
      </w:r>
    </w:p>
    <w:p>
      <w:pPr>
        <w:pStyle w:val="ListParagraph"/>
        <w:numPr>
          <w:ilvl w:val="1"/>
          <w:numId w:val="12"/>
        </w:numPr>
        <w:tabs>
          <w:tab w:pos="666" w:val="left" w:leader="none"/>
        </w:tabs>
        <w:spacing w:line="240" w:lineRule="auto" w:before="296" w:after="0"/>
        <w:ind w:left="665" w:right="0" w:hanging="286"/>
        <w:jc w:val="left"/>
        <w:rPr>
          <w:sz w:val="27"/>
        </w:rPr>
      </w:pPr>
      <w:r>
        <w:rPr>
          <w:sz w:val="27"/>
        </w:rPr>
        <w:t>Врач общей</w:t>
      </w:r>
      <w:r>
        <w:rPr>
          <w:spacing w:val="-5"/>
          <w:sz w:val="27"/>
        </w:rPr>
        <w:t> </w:t>
      </w:r>
      <w:r>
        <w:rPr>
          <w:sz w:val="27"/>
        </w:rPr>
        <w:t>практики.</w:t>
      </w:r>
    </w:p>
    <w:p>
      <w:pPr>
        <w:pStyle w:val="ListParagraph"/>
        <w:numPr>
          <w:ilvl w:val="1"/>
          <w:numId w:val="12"/>
        </w:numPr>
        <w:tabs>
          <w:tab w:pos="666" w:val="left" w:leader="none"/>
        </w:tabs>
        <w:spacing w:line="240" w:lineRule="auto" w:before="296" w:after="0"/>
        <w:ind w:left="665" w:right="0" w:hanging="286"/>
        <w:jc w:val="left"/>
        <w:rPr>
          <w:sz w:val="27"/>
        </w:rPr>
      </w:pPr>
      <w:r>
        <w:rPr>
          <w:sz w:val="27"/>
        </w:rPr>
        <w:t>Врач-эндокринолог.</w:t>
      </w:r>
    </w:p>
    <w:p>
      <w:pPr>
        <w:pStyle w:val="ListParagraph"/>
        <w:numPr>
          <w:ilvl w:val="1"/>
          <w:numId w:val="12"/>
        </w:numPr>
        <w:tabs>
          <w:tab w:pos="666" w:val="left" w:leader="none"/>
        </w:tabs>
        <w:spacing w:line="240" w:lineRule="auto" w:before="296" w:after="0"/>
        <w:ind w:left="665" w:right="0" w:hanging="286"/>
        <w:jc w:val="left"/>
        <w:rPr>
          <w:sz w:val="27"/>
        </w:rPr>
      </w:pPr>
      <w:r>
        <w:rPr>
          <w:w w:val="105"/>
          <w:sz w:val="27"/>
        </w:rPr>
        <w:t>Врач-невролог</w:t>
      </w:r>
    </w:p>
    <w:p>
      <w:pPr>
        <w:pStyle w:val="BodyText"/>
        <w:spacing w:line="256" w:lineRule="auto" w:before="296"/>
        <w:ind w:left="380" w:right="128"/>
      </w:pPr>
      <w:r>
        <w:rPr/>
        <w:t>Вследствие того, что члены Российского кардиологического общества входят в состав Европейского общества кардиологов и также являются его членами, все рекомендации Европейского общества</w:t>
      </w:r>
      <w:r>
        <w:rPr>
          <w:spacing w:val="-11"/>
        </w:rPr>
        <w:t> </w:t>
      </w:r>
      <w:r>
        <w:rPr/>
        <w:t>кардиологов</w:t>
      </w:r>
      <w:r>
        <w:rPr>
          <w:spacing w:val="-11"/>
        </w:rPr>
        <w:t> </w:t>
      </w:r>
      <w:r>
        <w:rPr/>
        <w:t>(ЕОК)</w:t>
      </w:r>
      <w:r>
        <w:rPr>
          <w:spacing w:val="-11"/>
        </w:rPr>
        <w:t> </w:t>
      </w:r>
      <w:r>
        <w:rPr/>
        <w:t>формируются</w:t>
      </w:r>
      <w:r>
        <w:rPr>
          <w:spacing w:val="-11"/>
        </w:rPr>
        <w:t> </w:t>
      </w:r>
      <w:r>
        <w:rPr/>
        <w:t>с</w:t>
      </w:r>
      <w:r>
        <w:rPr>
          <w:spacing w:val="-11"/>
        </w:rPr>
        <w:t> </w:t>
      </w:r>
      <w:r>
        <w:rPr/>
        <w:t>участием</w:t>
      </w:r>
      <w:r>
        <w:rPr>
          <w:spacing w:val="-11"/>
        </w:rPr>
        <w:t> </w:t>
      </w:r>
      <w:r>
        <w:rPr/>
        <w:t>российских экспертов, которые являются соавторами европейских рекомендаций. Таким образом, существующие рекомендации ЕОК отражают общее мнение ведущих российских и европейских кардиологов.</w:t>
      </w:r>
      <w:r>
        <w:rPr>
          <w:spacing w:val="18"/>
        </w:rPr>
        <w:t> </w:t>
      </w:r>
      <w:r>
        <w:rPr/>
        <w:t>В</w:t>
      </w:r>
      <w:r>
        <w:rPr>
          <w:spacing w:val="19"/>
        </w:rPr>
        <w:t> </w:t>
      </w:r>
      <w:r>
        <w:rPr/>
        <w:t>связи</w:t>
      </w:r>
      <w:r>
        <w:rPr>
          <w:spacing w:val="19"/>
        </w:rPr>
        <w:t> </w:t>
      </w:r>
      <w:r>
        <w:rPr/>
        <w:t>с</w:t>
      </w:r>
      <w:r>
        <w:rPr>
          <w:spacing w:val="19"/>
        </w:rPr>
        <w:t> </w:t>
      </w:r>
      <w:r>
        <w:rPr/>
        <w:t>этим</w:t>
      </w:r>
      <w:r>
        <w:rPr>
          <w:spacing w:val="19"/>
        </w:rPr>
        <w:t> </w:t>
      </w:r>
      <w:r>
        <w:rPr/>
        <w:t>формирование</w:t>
      </w:r>
      <w:r>
        <w:rPr>
          <w:spacing w:val="19"/>
        </w:rPr>
        <w:t> </w:t>
      </w:r>
      <w:r>
        <w:rPr/>
        <w:t>Национальных</w:t>
      </w:r>
    </w:p>
    <w:p>
      <w:pPr>
        <w:spacing w:after="0" w:line="256" w:lineRule="auto"/>
        <w:sectPr>
          <w:pgSz w:w="11900" w:h="16840"/>
          <w:pgMar w:top="600" w:bottom="0" w:left="1420" w:right="1520"/>
        </w:sectPr>
      </w:pPr>
    </w:p>
    <w:p>
      <w:pPr>
        <w:pStyle w:val="BodyText"/>
        <w:spacing w:line="256" w:lineRule="auto" w:before="16"/>
        <w:ind w:left="380" w:right="129"/>
      </w:pPr>
      <w:r>
        <w:rPr/>
        <w:t>рекомендаций проводилось на основе рекомендаций ЕОК, с учетом национальной специфики, особенностей обследования, лечения, учитывающие доступность медицинской помощи. По этой причине в тексте настоящих клинических рекомендаций, одновременно использованы две шкалы оценки достоверности доказательств тезисов рекомендаций: уровни достоверности доказательств ЕОК с УУР и УДД. Добавлены классы</w:t>
      </w:r>
      <w:r>
        <w:rPr>
          <w:spacing w:val="-22"/>
        </w:rPr>
        <w:t> </w:t>
      </w:r>
      <w:r>
        <w:rPr/>
        <w:t>рекомендаций ЕОК, позволяющие оценить необходимость выполнения тезиса рекомендаций (Таблицы 1, 2, 3, 4,5</w:t>
      </w:r>
      <w:r>
        <w:rPr>
          <w:spacing w:val="-7"/>
        </w:rPr>
        <w:t> </w:t>
      </w:r>
      <w:r>
        <w:rPr/>
        <w:t>).</w:t>
      </w:r>
    </w:p>
    <w:p>
      <w:pPr>
        <w:pStyle w:val="Heading3"/>
        <w:spacing w:line="256" w:lineRule="auto" w:before="274"/>
        <w:ind w:left="380" w:right="132"/>
        <w:jc w:val="both"/>
      </w:pPr>
      <w:r>
        <w:rPr/>
        <w:t>Таблица 1/А2 — Шкала оценки классов рекомендаций Европейского общества кардиологов (ЕОК).</w:t>
      </w:r>
    </w:p>
    <w:p>
      <w:pPr>
        <w:pStyle w:val="BodyText"/>
        <w:spacing w:before="1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76"/>
        <w:gridCol w:w="4292"/>
        <w:gridCol w:w="2266"/>
      </w:tblGrid>
      <w:tr>
        <w:trPr>
          <w:trHeight w:val="790" w:hRule="atLeast"/>
        </w:trPr>
        <w:tc>
          <w:tcPr>
            <w:tcW w:w="1876" w:type="dxa"/>
          </w:tcPr>
          <w:p>
            <w:pPr>
              <w:pStyle w:val="TableParagraph"/>
              <w:spacing w:line="204" w:lineRule="auto" w:before="161"/>
              <w:ind w:right="167"/>
              <w:rPr>
                <w:sz w:val="16"/>
              </w:rPr>
            </w:pPr>
            <w:r>
              <w:rPr>
                <w:w w:val="105"/>
                <w:sz w:val="16"/>
              </w:rPr>
              <w:t>Класс </w:t>
            </w:r>
            <w:r>
              <w:rPr>
                <w:sz w:val="16"/>
              </w:rPr>
              <w:t>рекомендаций </w:t>
            </w:r>
            <w:r>
              <w:rPr>
                <w:w w:val="105"/>
                <w:sz w:val="16"/>
              </w:rPr>
              <w:t>ЕОК</w:t>
            </w:r>
          </w:p>
        </w:tc>
        <w:tc>
          <w:tcPr>
            <w:tcW w:w="4292" w:type="dxa"/>
          </w:tcPr>
          <w:p>
            <w:pPr>
              <w:pStyle w:val="TableParagraph"/>
              <w:ind w:left="154"/>
              <w:rPr>
                <w:sz w:val="16"/>
              </w:rPr>
            </w:pPr>
            <w:r>
              <w:rPr>
                <w:w w:val="105"/>
                <w:sz w:val="16"/>
              </w:rPr>
              <w:t>Определение</w:t>
            </w:r>
          </w:p>
        </w:tc>
        <w:tc>
          <w:tcPr>
            <w:tcW w:w="2266" w:type="dxa"/>
          </w:tcPr>
          <w:p>
            <w:pPr>
              <w:pStyle w:val="TableParagraph"/>
              <w:spacing w:line="204" w:lineRule="auto" w:before="161"/>
              <w:ind w:left="154" w:right="646"/>
              <w:rPr>
                <w:sz w:val="16"/>
              </w:rPr>
            </w:pPr>
            <w:r>
              <w:rPr>
                <w:w w:val="105"/>
                <w:sz w:val="16"/>
              </w:rPr>
              <w:t>Предлагаемая </w:t>
            </w:r>
            <w:r>
              <w:rPr>
                <w:sz w:val="16"/>
              </w:rPr>
              <w:t>формулировка</w:t>
            </w:r>
          </w:p>
        </w:tc>
      </w:tr>
      <w:tr>
        <w:trPr>
          <w:trHeight w:val="955" w:hRule="atLeast"/>
        </w:trPr>
        <w:tc>
          <w:tcPr>
            <w:tcW w:w="1876" w:type="dxa"/>
          </w:tcPr>
          <w:p>
            <w:pPr>
              <w:pStyle w:val="TableParagraph"/>
              <w:rPr>
                <w:sz w:val="16"/>
              </w:rPr>
            </w:pPr>
            <w:r>
              <w:rPr>
                <w:w w:val="103"/>
                <w:sz w:val="16"/>
              </w:rPr>
              <w:t>I</w:t>
            </w:r>
          </w:p>
        </w:tc>
        <w:tc>
          <w:tcPr>
            <w:tcW w:w="4292" w:type="dxa"/>
          </w:tcPr>
          <w:p>
            <w:pPr>
              <w:pStyle w:val="TableParagraph"/>
              <w:spacing w:line="204" w:lineRule="auto" w:before="161"/>
              <w:ind w:left="154" w:right="139"/>
              <w:jc w:val="both"/>
              <w:rPr>
                <w:sz w:val="16"/>
              </w:rPr>
            </w:pPr>
            <w:r>
              <w:rPr>
                <w:w w:val="105"/>
                <w:sz w:val="16"/>
              </w:rPr>
              <w:t>Доказано или общепризнанно, что диагностическая процедура,</w:t>
            </w:r>
            <w:r>
              <w:rPr>
                <w:spacing w:val="-18"/>
                <w:w w:val="105"/>
                <w:sz w:val="16"/>
              </w:rPr>
              <w:t> </w:t>
            </w:r>
            <w:r>
              <w:rPr>
                <w:w w:val="105"/>
                <w:sz w:val="16"/>
              </w:rPr>
              <w:t>вмешательство/ лечение являются эффективными </w:t>
            </w:r>
            <w:r>
              <w:rPr>
                <w:spacing w:val="-10"/>
                <w:w w:val="105"/>
                <w:sz w:val="16"/>
              </w:rPr>
              <w:t>и </w:t>
            </w:r>
            <w:r>
              <w:rPr>
                <w:w w:val="105"/>
                <w:sz w:val="16"/>
              </w:rPr>
              <w:t>полезными</w:t>
            </w:r>
          </w:p>
        </w:tc>
        <w:tc>
          <w:tcPr>
            <w:tcW w:w="2266" w:type="dxa"/>
          </w:tcPr>
          <w:p>
            <w:pPr>
              <w:pStyle w:val="TableParagraph"/>
              <w:spacing w:line="204" w:lineRule="auto" w:before="161"/>
              <w:ind w:left="154" w:right="646"/>
              <w:rPr>
                <w:sz w:val="16"/>
              </w:rPr>
            </w:pPr>
            <w:r>
              <w:rPr>
                <w:sz w:val="16"/>
              </w:rPr>
              <w:t>Рекомендовано/ </w:t>
            </w:r>
            <w:r>
              <w:rPr>
                <w:w w:val="105"/>
                <w:sz w:val="16"/>
              </w:rPr>
              <w:t>показано</w:t>
            </w:r>
          </w:p>
        </w:tc>
      </w:tr>
      <w:tr>
        <w:trPr>
          <w:trHeight w:val="790" w:hRule="atLeast"/>
        </w:trPr>
        <w:tc>
          <w:tcPr>
            <w:tcW w:w="1876" w:type="dxa"/>
          </w:tcPr>
          <w:p>
            <w:pPr>
              <w:pStyle w:val="TableParagraph"/>
              <w:rPr>
                <w:sz w:val="16"/>
              </w:rPr>
            </w:pPr>
            <w:r>
              <w:rPr>
                <w:w w:val="105"/>
                <w:sz w:val="16"/>
              </w:rPr>
              <w:t>II</w:t>
            </w:r>
          </w:p>
        </w:tc>
        <w:tc>
          <w:tcPr>
            <w:tcW w:w="4292" w:type="dxa"/>
          </w:tcPr>
          <w:p>
            <w:pPr>
              <w:pStyle w:val="TableParagraph"/>
              <w:spacing w:line="204" w:lineRule="auto" w:before="161"/>
              <w:ind w:left="154" w:right="141"/>
              <w:jc w:val="both"/>
              <w:rPr>
                <w:sz w:val="16"/>
              </w:rPr>
            </w:pPr>
            <w:r>
              <w:rPr>
                <w:w w:val="105"/>
                <w:sz w:val="16"/>
              </w:rPr>
              <w:t>Противоречивые данные и /или мнения об эффективности/пользе диагностической процедуры, вмешательства, лечения</w:t>
            </w:r>
          </w:p>
        </w:tc>
        <w:tc>
          <w:tcPr>
            <w:tcW w:w="2266" w:type="dxa"/>
          </w:tcPr>
          <w:p>
            <w:pPr>
              <w:pStyle w:val="TableParagraph"/>
              <w:spacing w:line="204" w:lineRule="auto" w:before="161"/>
              <w:ind w:left="154" w:right="646"/>
              <w:rPr>
                <w:sz w:val="16"/>
              </w:rPr>
            </w:pPr>
            <w:r>
              <w:rPr>
                <w:sz w:val="16"/>
              </w:rPr>
              <w:t>Целесообразно </w:t>
            </w:r>
            <w:r>
              <w:rPr>
                <w:w w:val="105"/>
                <w:sz w:val="16"/>
              </w:rPr>
              <w:t>применять</w:t>
            </w:r>
          </w:p>
        </w:tc>
      </w:tr>
      <w:tr>
        <w:trPr>
          <w:trHeight w:val="790" w:hRule="atLeast"/>
        </w:trPr>
        <w:tc>
          <w:tcPr>
            <w:tcW w:w="1876" w:type="dxa"/>
          </w:tcPr>
          <w:p>
            <w:pPr>
              <w:pStyle w:val="TableParagraph"/>
              <w:rPr>
                <w:sz w:val="16"/>
              </w:rPr>
            </w:pPr>
            <w:r>
              <w:rPr>
                <w:w w:val="105"/>
                <w:sz w:val="16"/>
              </w:rPr>
              <w:t>IIa</w:t>
            </w:r>
          </w:p>
        </w:tc>
        <w:tc>
          <w:tcPr>
            <w:tcW w:w="4292" w:type="dxa"/>
          </w:tcPr>
          <w:p>
            <w:pPr>
              <w:pStyle w:val="TableParagraph"/>
              <w:spacing w:line="204" w:lineRule="auto" w:before="161"/>
              <w:ind w:left="154" w:right="140"/>
              <w:jc w:val="both"/>
              <w:rPr>
                <w:sz w:val="16"/>
              </w:rPr>
            </w:pPr>
            <w:r>
              <w:rPr>
                <w:w w:val="105"/>
                <w:sz w:val="16"/>
              </w:rPr>
              <w:t>Большинство данных/мнений в пользу эффективности/пользы диагностической процедуры, вмешательства, лечения</w:t>
            </w:r>
          </w:p>
        </w:tc>
        <w:tc>
          <w:tcPr>
            <w:tcW w:w="2266" w:type="dxa"/>
          </w:tcPr>
          <w:p>
            <w:pPr>
              <w:pStyle w:val="TableParagraph"/>
              <w:spacing w:line="204" w:lineRule="auto" w:before="161"/>
              <w:ind w:left="154" w:right="646"/>
              <w:rPr>
                <w:sz w:val="16"/>
              </w:rPr>
            </w:pPr>
            <w:r>
              <w:rPr>
                <w:sz w:val="16"/>
              </w:rPr>
              <w:t>Целесообразно </w:t>
            </w:r>
            <w:r>
              <w:rPr>
                <w:w w:val="105"/>
                <w:sz w:val="16"/>
              </w:rPr>
              <w:t>применять</w:t>
            </w:r>
          </w:p>
        </w:tc>
      </w:tr>
      <w:tr>
        <w:trPr>
          <w:trHeight w:val="790" w:hRule="atLeast"/>
        </w:trPr>
        <w:tc>
          <w:tcPr>
            <w:tcW w:w="1876" w:type="dxa"/>
          </w:tcPr>
          <w:p>
            <w:pPr>
              <w:pStyle w:val="TableParagraph"/>
              <w:rPr>
                <w:sz w:val="16"/>
              </w:rPr>
            </w:pPr>
            <w:r>
              <w:rPr>
                <w:w w:val="105"/>
                <w:sz w:val="16"/>
              </w:rPr>
              <w:t>IIb</w:t>
            </w:r>
          </w:p>
        </w:tc>
        <w:tc>
          <w:tcPr>
            <w:tcW w:w="4292" w:type="dxa"/>
          </w:tcPr>
          <w:p>
            <w:pPr>
              <w:pStyle w:val="TableParagraph"/>
              <w:spacing w:line="204" w:lineRule="auto" w:before="161"/>
              <w:ind w:left="154" w:right="143"/>
              <w:jc w:val="both"/>
              <w:rPr>
                <w:sz w:val="16"/>
              </w:rPr>
            </w:pPr>
            <w:r>
              <w:rPr>
                <w:w w:val="105"/>
                <w:sz w:val="16"/>
              </w:rPr>
              <w:t>Эффективность/польза диагностической процедуры, вмешательства, лечения установлены менее убедительно</w:t>
            </w:r>
          </w:p>
        </w:tc>
        <w:tc>
          <w:tcPr>
            <w:tcW w:w="2266" w:type="dxa"/>
          </w:tcPr>
          <w:p>
            <w:pPr>
              <w:pStyle w:val="TableParagraph"/>
              <w:spacing w:line="204" w:lineRule="auto" w:before="161"/>
              <w:ind w:left="154" w:right="646"/>
              <w:rPr>
                <w:sz w:val="16"/>
              </w:rPr>
            </w:pPr>
            <w:r>
              <w:rPr>
                <w:w w:val="105"/>
                <w:sz w:val="16"/>
              </w:rPr>
              <w:t>Можно </w:t>
            </w:r>
            <w:r>
              <w:rPr>
                <w:sz w:val="16"/>
              </w:rPr>
              <w:t>применять</w:t>
            </w:r>
          </w:p>
        </w:tc>
      </w:tr>
      <w:tr>
        <w:trPr>
          <w:trHeight w:val="955" w:hRule="atLeast"/>
        </w:trPr>
        <w:tc>
          <w:tcPr>
            <w:tcW w:w="1876" w:type="dxa"/>
          </w:tcPr>
          <w:p>
            <w:pPr>
              <w:pStyle w:val="TableParagraph"/>
              <w:rPr>
                <w:sz w:val="16"/>
              </w:rPr>
            </w:pPr>
            <w:r>
              <w:rPr>
                <w:w w:val="105"/>
                <w:sz w:val="16"/>
              </w:rPr>
              <w:t>III</w:t>
            </w:r>
          </w:p>
        </w:tc>
        <w:tc>
          <w:tcPr>
            <w:tcW w:w="4292" w:type="dxa"/>
          </w:tcPr>
          <w:p>
            <w:pPr>
              <w:pStyle w:val="TableParagraph"/>
              <w:spacing w:line="204" w:lineRule="auto" w:before="161"/>
              <w:ind w:left="154" w:right="139"/>
              <w:jc w:val="both"/>
              <w:rPr>
                <w:sz w:val="16"/>
              </w:rPr>
            </w:pPr>
            <w:r>
              <w:rPr>
                <w:w w:val="105"/>
                <w:sz w:val="16"/>
              </w:rPr>
              <w:t>Данные или единое мнение, что диагностическая процедура, вмешательство, лечение бесполезны/неэффективны, а в ряде случаев могут приносить вред.</w:t>
            </w:r>
          </w:p>
        </w:tc>
        <w:tc>
          <w:tcPr>
            <w:tcW w:w="2266" w:type="dxa"/>
          </w:tcPr>
          <w:p>
            <w:pPr>
              <w:pStyle w:val="TableParagraph"/>
              <w:spacing w:line="204" w:lineRule="auto" w:before="161"/>
              <w:ind w:left="154"/>
              <w:rPr>
                <w:sz w:val="16"/>
              </w:rPr>
            </w:pPr>
            <w:r>
              <w:rPr>
                <w:w w:val="105"/>
                <w:sz w:val="16"/>
              </w:rPr>
              <w:t>Не рекомендуется применять</w:t>
            </w:r>
          </w:p>
        </w:tc>
      </w:tr>
    </w:tbl>
    <w:p>
      <w:pPr>
        <w:pStyle w:val="BodyText"/>
        <w:spacing w:before="2"/>
        <w:ind w:left="0"/>
        <w:jc w:val="left"/>
        <w:rPr>
          <w:b/>
          <w:sz w:val="50"/>
        </w:rPr>
      </w:pPr>
    </w:p>
    <w:p>
      <w:pPr>
        <w:spacing w:line="256" w:lineRule="auto" w:before="0"/>
        <w:ind w:left="380" w:right="135" w:firstLine="0"/>
        <w:jc w:val="both"/>
        <w:rPr>
          <w:b/>
          <w:sz w:val="27"/>
        </w:rPr>
      </w:pPr>
      <w:r>
        <w:rPr>
          <w:b/>
          <w:sz w:val="27"/>
        </w:rPr>
        <w:t>Таблица 2/А2 — Шкала оценки уровней достоверности доказательств Европейского общества кардиологов (ЕОК).</w:t>
      </w:r>
    </w:p>
    <w:p>
      <w:pPr>
        <w:pStyle w:val="BodyText"/>
        <w:spacing w:before="0"/>
        <w:ind w:left="0"/>
        <w:jc w:val="left"/>
        <w:rPr>
          <w:b/>
          <w:sz w:val="20"/>
        </w:rPr>
      </w:pPr>
    </w:p>
    <w:p>
      <w:pPr>
        <w:pStyle w:val="BodyText"/>
        <w:spacing w:before="0"/>
        <w:ind w:left="0"/>
        <w:jc w:val="left"/>
        <w:rPr>
          <w:b/>
          <w:sz w:val="20"/>
        </w:rPr>
      </w:pPr>
    </w:p>
    <w:p>
      <w:pPr>
        <w:pStyle w:val="BodyText"/>
        <w:spacing w:before="11"/>
        <w:ind w:left="0"/>
        <w:jc w:val="left"/>
        <w:rPr>
          <w:b/>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6"/>
        <w:gridCol w:w="7128"/>
      </w:tblGrid>
      <w:tr>
        <w:trPr>
          <w:trHeight w:val="460" w:hRule="atLeast"/>
        </w:trPr>
        <w:tc>
          <w:tcPr>
            <w:tcW w:w="1306" w:type="dxa"/>
          </w:tcPr>
          <w:p>
            <w:pPr>
              <w:pStyle w:val="TableParagraph"/>
              <w:spacing w:before="0"/>
              <w:ind w:left="0"/>
              <w:rPr>
                <w:rFonts w:ascii="Times New Roman"/>
                <w:sz w:val="20"/>
              </w:rPr>
            </w:pPr>
          </w:p>
        </w:tc>
        <w:tc>
          <w:tcPr>
            <w:tcW w:w="7128" w:type="dxa"/>
          </w:tcPr>
          <w:p>
            <w:pPr>
              <w:pStyle w:val="TableParagraph"/>
              <w:ind w:left="212"/>
              <w:rPr>
                <w:sz w:val="16"/>
              </w:rPr>
            </w:pPr>
            <w:r>
              <w:rPr>
                <w:w w:val="105"/>
                <w:sz w:val="16"/>
              </w:rPr>
              <w:t>Уровни достоверности доказательств ЕОК</w:t>
            </w:r>
          </w:p>
        </w:tc>
      </w:tr>
      <w:tr>
        <w:trPr>
          <w:trHeight w:val="625" w:hRule="atLeast"/>
        </w:trPr>
        <w:tc>
          <w:tcPr>
            <w:tcW w:w="1306" w:type="dxa"/>
          </w:tcPr>
          <w:p>
            <w:pPr>
              <w:pStyle w:val="TableParagraph"/>
              <w:rPr>
                <w:sz w:val="16"/>
              </w:rPr>
            </w:pPr>
            <w:r>
              <w:rPr>
                <w:w w:val="103"/>
                <w:sz w:val="16"/>
              </w:rPr>
              <w:t>A</w:t>
            </w:r>
          </w:p>
        </w:tc>
        <w:tc>
          <w:tcPr>
            <w:tcW w:w="7128" w:type="dxa"/>
          </w:tcPr>
          <w:p>
            <w:pPr>
              <w:pStyle w:val="TableParagraph"/>
              <w:spacing w:line="204" w:lineRule="auto" w:before="161"/>
              <w:ind w:left="154" w:right="50"/>
              <w:rPr>
                <w:sz w:val="16"/>
              </w:rPr>
            </w:pPr>
            <w:r>
              <w:rPr>
                <w:w w:val="105"/>
                <w:sz w:val="16"/>
              </w:rPr>
              <w:t>Данные многочисленных рандомизированных клинических исследований или метаанализов.</w:t>
            </w:r>
          </w:p>
        </w:tc>
      </w:tr>
      <w:tr>
        <w:trPr>
          <w:trHeight w:val="625" w:hRule="atLeast"/>
        </w:trPr>
        <w:tc>
          <w:tcPr>
            <w:tcW w:w="1306" w:type="dxa"/>
          </w:tcPr>
          <w:p>
            <w:pPr>
              <w:pStyle w:val="TableParagraph"/>
              <w:rPr>
                <w:sz w:val="16"/>
              </w:rPr>
            </w:pPr>
            <w:r>
              <w:rPr>
                <w:w w:val="103"/>
                <w:sz w:val="16"/>
              </w:rPr>
              <w:t>B</w:t>
            </w:r>
          </w:p>
        </w:tc>
        <w:tc>
          <w:tcPr>
            <w:tcW w:w="7128" w:type="dxa"/>
          </w:tcPr>
          <w:p>
            <w:pPr>
              <w:pStyle w:val="TableParagraph"/>
              <w:spacing w:line="204" w:lineRule="auto" w:before="161"/>
              <w:ind w:left="154" w:right="123"/>
              <w:rPr>
                <w:sz w:val="16"/>
              </w:rPr>
            </w:pPr>
            <w:r>
              <w:rPr>
                <w:w w:val="105"/>
                <w:sz w:val="16"/>
              </w:rPr>
              <w:t>Данные получены по результатам одного рандомизированного клинического исследования или крупных нерандомизированных исследований.</w:t>
            </w:r>
          </w:p>
        </w:tc>
      </w:tr>
      <w:tr>
        <w:trPr>
          <w:trHeight w:val="625" w:hRule="atLeast"/>
        </w:trPr>
        <w:tc>
          <w:tcPr>
            <w:tcW w:w="1306" w:type="dxa"/>
          </w:tcPr>
          <w:p>
            <w:pPr>
              <w:pStyle w:val="TableParagraph"/>
              <w:rPr>
                <w:sz w:val="16"/>
              </w:rPr>
            </w:pPr>
            <w:r>
              <w:rPr>
                <w:w w:val="103"/>
                <w:sz w:val="16"/>
              </w:rPr>
              <w:t>C</w:t>
            </w:r>
          </w:p>
        </w:tc>
        <w:tc>
          <w:tcPr>
            <w:tcW w:w="7128" w:type="dxa"/>
          </w:tcPr>
          <w:p>
            <w:pPr>
              <w:pStyle w:val="TableParagraph"/>
              <w:tabs>
                <w:tab w:pos="1980" w:val="left" w:leader="none"/>
                <w:tab w:pos="2875" w:val="left" w:leader="none"/>
                <w:tab w:pos="4006" w:val="left" w:leader="none"/>
                <w:tab w:pos="4769" w:val="left" w:leader="none"/>
                <w:tab w:pos="6013" w:val="left" w:leader="none"/>
              </w:tabs>
              <w:spacing w:line="204" w:lineRule="auto" w:before="161"/>
              <w:ind w:left="270" w:right="142" w:firstLine="152"/>
              <w:rPr>
                <w:sz w:val="16"/>
              </w:rPr>
            </w:pPr>
            <w:r>
              <w:rPr>
                <w:w w:val="105"/>
                <w:sz w:val="16"/>
              </w:rPr>
              <w:t>Согласованное</w:t>
              <w:tab/>
              <w:t>мнение</w:t>
              <w:tab/>
              <w:t>экспертов</w:t>
              <w:tab/>
              <w:t>и/или</w:t>
              <w:tab/>
              <w:t>результаты</w:t>
              <w:tab/>
            </w:r>
            <w:r>
              <w:rPr>
                <w:spacing w:val="-1"/>
                <w:sz w:val="16"/>
              </w:rPr>
              <w:t>небольших </w:t>
            </w:r>
            <w:r>
              <w:rPr>
                <w:w w:val="105"/>
                <w:sz w:val="16"/>
              </w:rPr>
              <w:t>исследований, ретроспективных исследований,</w:t>
            </w:r>
            <w:r>
              <w:rPr>
                <w:spacing w:val="-14"/>
                <w:w w:val="105"/>
                <w:sz w:val="16"/>
              </w:rPr>
              <w:t> </w:t>
            </w:r>
            <w:r>
              <w:rPr>
                <w:w w:val="105"/>
                <w:sz w:val="16"/>
              </w:rPr>
              <w:t>регистров.</w:t>
            </w:r>
          </w:p>
        </w:tc>
      </w:tr>
    </w:tbl>
    <w:p>
      <w:pPr>
        <w:pStyle w:val="BodyText"/>
        <w:spacing w:before="0"/>
        <w:ind w:left="0"/>
        <w:jc w:val="left"/>
        <w:rPr>
          <w:b/>
          <w:sz w:val="20"/>
        </w:rPr>
      </w:pPr>
    </w:p>
    <w:p>
      <w:pPr>
        <w:pStyle w:val="BodyText"/>
        <w:spacing w:before="13"/>
        <w:ind w:left="0"/>
        <w:jc w:val="left"/>
        <w:rPr>
          <w:b/>
          <w:sz w:val="22"/>
        </w:rPr>
      </w:pPr>
    </w:p>
    <w:p>
      <w:pPr>
        <w:pStyle w:val="Heading3"/>
        <w:tabs>
          <w:tab w:pos="3488" w:val="left" w:leader="none"/>
          <w:tab w:pos="7427" w:val="left" w:leader="none"/>
        </w:tabs>
        <w:spacing w:line="256" w:lineRule="auto" w:before="97"/>
        <w:ind w:left="380" w:right="128"/>
        <w:jc w:val="both"/>
      </w:pPr>
      <w:r>
        <w:rPr>
          <w:spacing w:val="-3"/>
        </w:rPr>
        <w:t>Таблица </w:t>
      </w:r>
      <w:r>
        <w:rPr/>
        <w:t>3/А2 — Шкала оценки уровней достоверности доказательств (УДД) для методов профилактики, лечения и реабилитации</w:t>
        <w:tab/>
        <w:t>(профилактических,</w:t>
        <w:tab/>
      </w:r>
      <w:r>
        <w:rPr>
          <w:spacing w:val="-4"/>
        </w:rPr>
        <w:t>лечебных,</w:t>
      </w:r>
    </w:p>
    <w:p>
      <w:pPr>
        <w:spacing w:after="0" w:line="256" w:lineRule="auto"/>
        <w:jc w:val="both"/>
        <w:sectPr>
          <w:pgSz w:w="11900" w:h="16840"/>
          <w:pgMar w:top="0" w:bottom="0" w:left="1420" w:right="1520"/>
        </w:sectPr>
      </w:pPr>
    </w:p>
    <w:p>
      <w:pPr>
        <w:spacing w:before="16"/>
        <w:ind w:left="380" w:right="0" w:firstLine="0"/>
        <w:jc w:val="both"/>
        <w:rPr>
          <w:b/>
          <w:sz w:val="27"/>
        </w:rPr>
      </w:pPr>
      <w:r>
        <w:rPr>
          <w:b/>
          <w:sz w:val="27"/>
        </w:rPr>
        <w:t>реабилитационных вмешательств)</w:t>
      </w:r>
    </w:p>
    <w:p>
      <w:pPr>
        <w:pStyle w:val="BodyText"/>
        <w:spacing w:before="10"/>
        <w:ind w:left="0"/>
        <w:jc w:val="left"/>
        <w:rPr>
          <w:b/>
          <w:sz w:val="20"/>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11"/>
        <w:gridCol w:w="7023"/>
      </w:tblGrid>
      <w:tr>
        <w:trPr>
          <w:trHeight w:val="1285" w:hRule="atLeast"/>
        </w:trPr>
        <w:tc>
          <w:tcPr>
            <w:tcW w:w="8434" w:type="dxa"/>
            <w:gridSpan w:val="2"/>
          </w:tcPr>
          <w:p>
            <w:pPr>
              <w:pStyle w:val="TableParagraph"/>
              <w:spacing w:line="180" w:lineRule="exact"/>
              <w:jc w:val="both"/>
              <w:rPr>
                <w:sz w:val="16"/>
              </w:rPr>
            </w:pPr>
            <w:r>
              <w:rPr>
                <w:w w:val="105"/>
                <w:sz w:val="16"/>
              </w:rPr>
              <w:t>Уровни достоверности доказательств (УДД)</w:t>
            </w:r>
          </w:p>
          <w:p>
            <w:pPr>
              <w:pStyle w:val="TableParagraph"/>
              <w:spacing w:line="204" w:lineRule="auto" w:before="10"/>
              <w:ind w:right="138"/>
              <w:jc w:val="both"/>
              <w:rPr>
                <w:sz w:val="16"/>
              </w:rPr>
            </w:pPr>
            <w:r>
              <w:rPr>
                <w:w w:val="105"/>
                <w:sz w:val="16"/>
              </w:rPr>
              <w:t>Приказ Министерства здравоохранения Российской Федерации от 28.02.2019 № 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научнойобоснованности включаемой в клинические рекомендации информации» (Зарегистрирован 08.05.2019 № 54588)</w:t>
            </w:r>
          </w:p>
        </w:tc>
      </w:tr>
      <w:tr>
        <w:trPr>
          <w:trHeight w:val="625" w:hRule="atLeast"/>
        </w:trPr>
        <w:tc>
          <w:tcPr>
            <w:tcW w:w="1411" w:type="dxa"/>
          </w:tcPr>
          <w:p>
            <w:pPr>
              <w:pStyle w:val="TableParagraph"/>
              <w:rPr>
                <w:sz w:val="16"/>
              </w:rPr>
            </w:pPr>
            <w:r>
              <w:rPr>
                <w:w w:val="103"/>
                <w:sz w:val="16"/>
              </w:rPr>
              <w:t>1</w:t>
            </w:r>
          </w:p>
        </w:tc>
        <w:tc>
          <w:tcPr>
            <w:tcW w:w="7023" w:type="dxa"/>
          </w:tcPr>
          <w:p>
            <w:pPr>
              <w:pStyle w:val="TableParagraph"/>
              <w:spacing w:line="204" w:lineRule="auto" w:before="161"/>
              <w:ind w:left="154" w:right="142"/>
              <w:rPr>
                <w:sz w:val="16"/>
              </w:rPr>
            </w:pPr>
            <w:r>
              <w:rPr>
                <w:w w:val="105"/>
                <w:sz w:val="16"/>
              </w:rPr>
              <w:t>Систематический обзор рандомизированных клинических исследований с применением метаанализа</w:t>
            </w:r>
          </w:p>
        </w:tc>
      </w:tr>
      <w:tr>
        <w:trPr>
          <w:trHeight w:val="955" w:hRule="atLeast"/>
        </w:trPr>
        <w:tc>
          <w:tcPr>
            <w:tcW w:w="1411" w:type="dxa"/>
          </w:tcPr>
          <w:p>
            <w:pPr>
              <w:pStyle w:val="TableParagraph"/>
              <w:rPr>
                <w:sz w:val="16"/>
              </w:rPr>
            </w:pPr>
            <w:r>
              <w:rPr>
                <w:w w:val="103"/>
                <w:sz w:val="16"/>
              </w:rPr>
              <w:t>2</w:t>
            </w:r>
          </w:p>
        </w:tc>
        <w:tc>
          <w:tcPr>
            <w:tcW w:w="7023" w:type="dxa"/>
          </w:tcPr>
          <w:p>
            <w:pPr>
              <w:pStyle w:val="TableParagraph"/>
              <w:spacing w:line="204" w:lineRule="auto" w:before="161"/>
              <w:ind w:left="154" w:right="138"/>
              <w:jc w:val="both"/>
              <w:rPr>
                <w:sz w:val="16"/>
              </w:rPr>
            </w:pPr>
            <w:r>
              <w:rPr>
                <w:w w:val="105"/>
                <w:sz w:val="16"/>
              </w:rPr>
              <w:t>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trPr>
          <w:trHeight w:val="625" w:hRule="atLeast"/>
        </w:trPr>
        <w:tc>
          <w:tcPr>
            <w:tcW w:w="1411" w:type="dxa"/>
          </w:tcPr>
          <w:p>
            <w:pPr>
              <w:pStyle w:val="TableParagraph"/>
              <w:rPr>
                <w:sz w:val="16"/>
              </w:rPr>
            </w:pPr>
            <w:r>
              <w:rPr>
                <w:w w:val="103"/>
                <w:sz w:val="16"/>
              </w:rPr>
              <w:t>3</w:t>
            </w:r>
          </w:p>
        </w:tc>
        <w:tc>
          <w:tcPr>
            <w:tcW w:w="7023" w:type="dxa"/>
          </w:tcPr>
          <w:p>
            <w:pPr>
              <w:pStyle w:val="TableParagraph"/>
              <w:spacing w:line="204" w:lineRule="auto" w:before="161"/>
              <w:ind w:left="154" w:right="142"/>
              <w:rPr>
                <w:sz w:val="16"/>
              </w:rPr>
            </w:pPr>
            <w:r>
              <w:rPr>
                <w:w w:val="105"/>
                <w:sz w:val="16"/>
              </w:rPr>
              <w:t>Нерандомизированные</w:t>
            </w:r>
            <w:r>
              <w:rPr>
                <w:spacing w:val="-19"/>
                <w:w w:val="105"/>
                <w:sz w:val="16"/>
              </w:rPr>
              <w:t> </w:t>
            </w:r>
            <w:r>
              <w:rPr>
                <w:w w:val="105"/>
                <w:sz w:val="16"/>
              </w:rPr>
              <w:t>сравнительные</w:t>
            </w:r>
            <w:r>
              <w:rPr>
                <w:spacing w:val="-19"/>
                <w:w w:val="105"/>
                <w:sz w:val="16"/>
              </w:rPr>
              <w:t> </w:t>
            </w:r>
            <w:r>
              <w:rPr>
                <w:w w:val="105"/>
                <w:sz w:val="16"/>
              </w:rPr>
              <w:t>исследования,</w:t>
            </w:r>
            <w:r>
              <w:rPr>
                <w:spacing w:val="-19"/>
                <w:w w:val="105"/>
                <w:sz w:val="16"/>
              </w:rPr>
              <w:t> </w:t>
            </w:r>
            <w:r>
              <w:rPr>
                <w:w w:val="105"/>
                <w:sz w:val="16"/>
              </w:rPr>
              <w:t>в</w:t>
            </w:r>
            <w:r>
              <w:rPr>
                <w:spacing w:val="-19"/>
                <w:w w:val="105"/>
                <w:sz w:val="16"/>
              </w:rPr>
              <w:t> </w:t>
            </w:r>
            <w:r>
              <w:rPr>
                <w:w w:val="105"/>
                <w:sz w:val="16"/>
              </w:rPr>
              <w:t>том</w:t>
            </w:r>
            <w:r>
              <w:rPr>
                <w:spacing w:val="-19"/>
                <w:w w:val="105"/>
                <w:sz w:val="16"/>
              </w:rPr>
              <w:t> </w:t>
            </w:r>
            <w:r>
              <w:rPr>
                <w:w w:val="105"/>
                <w:sz w:val="16"/>
              </w:rPr>
              <w:t>числе</w:t>
            </w:r>
            <w:r>
              <w:rPr>
                <w:spacing w:val="-19"/>
                <w:w w:val="105"/>
                <w:sz w:val="16"/>
              </w:rPr>
              <w:t> </w:t>
            </w:r>
            <w:r>
              <w:rPr>
                <w:w w:val="105"/>
                <w:sz w:val="16"/>
              </w:rPr>
              <w:t>когортные исследования</w:t>
            </w:r>
          </w:p>
        </w:tc>
      </w:tr>
      <w:tr>
        <w:trPr>
          <w:trHeight w:val="625" w:hRule="atLeast"/>
        </w:trPr>
        <w:tc>
          <w:tcPr>
            <w:tcW w:w="1411" w:type="dxa"/>
          </w:tcPr>
          <w:p>
            <w:pPr>
              <w:pStyle w:val="TableParagraph"/>
              <w:rPr>
                <w:sz w:val="16"/>
              </w:rPr>
            </w:pPr>
            <w:r>
              <w:rPr>
                <w:w w:val="103"/>
                <w:sz w:val="16"/>
              </w:rPr>
              <w:t>4</w:t>
            </w:r>
          </w:p>
        </w:tc>
        <w:tc>
          <w:tcPr>
            <w:tcW w:w="7023" w:type="dxa"/>
          </w:tcPr>
          <w:p>
            <w:pPr>
              <w:pStyle w:val="TableParagraph"/>
              <w:spacing w:line="204" w:lineRule="auto" w:before="161"/>
              <w:ind w:left="154" w:right="142"/>
              <w:rPr>
                <w:sz w:val="16"/>
              </w:rPr>
            </w:pPr>
            <w:r>
              <w:rPr>
                <w:w w:val="105"/>
                <w:sz w:val="16"/>
              </w:rPr>
              <w:t>Несравнительные исследования, описание клинического случая или серии случаев, исследование «случай–контроль»</w:t>
            </w:r>
          </w:p>
        </w:tc>
      </w:tr>
      <w:tr>
        <w:trPr>
          <w:trHeight w:val="625" w:hRule="atLeast"/>
        </w:trPr>
        <w:tc>
          <w:tcPr>
            <w:tcW w:w="1411" w:type="dxa"/>
          </w:tcPr>
          <w:p>
            <w:pPr>
              <w:pStyle w:val="TableParagraph"/>
              <w:rPr>
                <w:sz w:val="16"/>
              </w:rPr>
            </w:pPr>
            <w:r>
              <w:rPr>
                <w:w w:val="103"/>
                <w:sz w:val="16"/>
              </w:rPr>
              <w:t>5</w:t>
            </w:r>
          </w:p>
        </w:tc>
        <w:tc>
          <w:tcPr>
            <w:tcW w:w="7023" w:type="dxa"/>
          </w:tcPr>
          <w:p>
            <w:pPr>
              <w:pStyle w:val="TableParagraph"/>
              <w:tabs>
                <w:tab w:pos="1148" w:val="left" w:leader="none"/>
                <w:tab w:pos="1884" w:val="left" w:leader="none"/>
                <w:tab w:pos="3275" w:val="left" w:leader="none"/>
                <w:tab w:pos="4485" w:val="left" w:leader="none"/>
                <w:tab w:pos="5554" w:val="left" w:leader="none"/>
              </w:tabs>
              <w:spacing w:line="204" w:lineRule="auto" w:before="161"/>
              <w:ind w:left="154" w:right="146"/>
              <w:rPr>
                <w:sz w:val="16"/>
              </w:rPr>
            </w:pPr>
            <w:r>
              <w:rPr>
                <w:w w:val="105"/>
                <w:sz w:val="16"/>
              </w:rPr>
              <w:t>Имеется</w:t>
              <w:tab/>
              <w:t>лишь</w:t>
              <w:tab/>
              <w:t>обоснование</w:t>
              <w:tab/>
              <w:t>механизма</w:t>
              <w:tab/>
              <w:t>действия</w:t>
              <w:tab/>
            </w:r>
            <w:r>
              <w:rPr>
                <w:spacing w:val="-2"/>
                <w:sz w:val="16"/>
              </w:rPr>
              <w:t>вмешательства </w:t>
            </w:r>
            <w:r>
              <w:rPr>
                <w:w w:val="105"/>
                <w:sz w:val="16"/>
              </w:rPr>
              <w:t>(доклинические исследования) или мнение</w:t>
            </w:r>
            <w:r>
              <w:rPr>
                <w:spacing w:val="-16"/>
                <w:w w:val="105"/>
                <w:sz w:val="16"/>
              </w:rPr>
              <w:t> </w:t>
            </w:r>
            <w:r>
              <w:rPr>
                <w:w w:val="105"/>
                <w:sz w:val="16"/>
              </w:rPr>
              <w:t>экспертов</w:t>
            </w:r>
          </w:p>
        </w:tc>
      </w:tr>
    </w:tbl>
    <w:p>
      <w:pPr>
        <w:pStyle w:val="BodyText"/>
        <w:spacing w:before="2"/>
        <w:ind w:left="0"/>
        <w:jc w:val="left"/>
        <w:rPr>
          <w:b/>
          <w:sz w:val="50"/>
        </w:rPr>
      </w:pPr>
    </w:p>
    <w:p>
      <w:pPr>
        <w:pStyle w:val="Heading3"/>
        <w:spacing w:line="256" w:lineRule="auto" w:before="0"/>
        <w:ind w:left="380" w:right="142"/>
        <w:jc w:val="both"/>
      </w:pPr>
      <w:r>
        <w:rPr/>
        <w:t>Таблица 4/А2. Шкала оценки уровней достоверности доказательств (УДД) для методов диагностики (диагностических вмешательств)</w:t>
      </w:r>
    </w:p>
    <w:p>
      <w:pPr>
        <w:pStyle w:val="BodyText"/>
        <w:spacing w:before="12"/>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75"/>
        <w:gridCol w:w="7758"/>
      </w:tblGrid>
      <w:tr>
        <w:trPr>
          <w:trHeight w:val="460" w:hRule="atLeast"/>
        </w:trPr>
        <w:tc>
          <w:tcPr>
            <w:tcW w:w="675" w:type="dxa"/>
          </w:tcPr>
          <w:p>
            <w:pPr>
              <w:pStyle w:val="TableParagraph"/>
              <w:rPr>
                <w:sz w:val="16"/>
              </w:rPr>
            </w:pPr>
            <w:r>
              <w:rPr>
                <w:w w:val="105"/>
                <w:sz w:val="16"/>
              </w:rPr>
              <w:t>УДД</w:t>
            </w:r>
          </w:p>
        </w:tc>
        <w:tc>
          <w:tcPr>
            <w:tcW w:w="7758" w:type="dxa"/>
          </w:tcPr>
          <w:p>
            <w:pPr>
              <w:pStyle w:val="TableParagraph"/>
              <w:rPr>
                <w:sz w:val="16"/>
              </w:rPr>
            </w:pPr>
            <w:r>
              <w:rPr>
                <w:w w:val="105"/>
                <w:sz w:val="16"/>
              </w:rPr>
              <w:t>Расшифровка</w:t>
            </w:r>
          </w:p>
        </w:tc>
      </w:tr>
      <w:tr>
        <w:trPr>
          <w:trHeight w:val="790" w:hRule="atLeast"/>
        </w:trPr>
        <w:tc>
          <w:tcPr>
            <w:tcW w:w="675" w:type="dxa"/>
          </w:tcPr>
          <w:p>
            <w:pPr>
              <w:pStyle w:val="TableParagraph"/>
              <w:rPr>
                <w:sz w:val="16"/>
              </w:rPr>
            </w:pPr>
            <w:r>
              <w:rPr>
                <w:w w:val="105"/>
                <w:sz w:val="16"/>
              </w:rPr>
              <w:t>1.</w:t>
            </w:r>
          </w:p>
        </w:tc>
        <w:tc>
          <w:tcPr>
            <w:tcW w:w="7758" w:type="dxa"/>
          </w:tcPr>
          <w:p>
            <w:pPr>
              <w:pStyle w:val="TableParagraph"/>
              <w:spacing w:line="204" w:lineRule="auto" w:before="161"/>
              <w:ind w:right="145"/>
              <w:jc w:val="both"/>
              <w:rPr>
                <w:sz w:val="16"/>
              </w:rPr>
            </w:pPr>
            <w:r>
              <w:rPr>
                <w:w w:val="105"/>
                <w:sz w:val="16"/>
              </w:rPr>
              <w:t>Систематические обзоры исследований с контролем референсным методом или систематический обзор рандомизированных клинических исследований с применением метаанализа</w:t>
            </w:r>
          </w:p>
        </w:tc>
      </w:tr>
      <w:tr>
        <w:trPr>
          <w:trHeight w:val="955" w:hRule="atLeast"/>
        </w:trPr>
        <w:tc>
          <w:tcPr>
            <w:tcW w:w="675" w:type="dxa"/>
          </w:tcPr>
          <w:p>
            <w:pPr>
              <w:pStyle w:val="TableParagraph"/>
              <w:rPr>
                <w:sz w:val="16"/>
              </w:rPr>
            </w:pPr>
            <w:r>
              <w:rPr>
                <w:w w:val="105"/>
                <w:sz w:val="16"/>
              </w:rPr>
              <w:t>2.</w:t>
            </w:r>
          </w:p>
        </w:tc>
        <w:tc>
          <w:tcPr>
            <w:tcW w:w="7758" w:type="dxa"/>
          </w:tcPr>
          <w:p>
            <w:pPr>
              <w:pStyle w:val="TableParagraph"/>
              <w:spacing w:line="204" w:lineRule="auto" w:before="161"/>
              <w:ind w:right="140"/>
              <w:jc w:val="both"/>
              <w:rPr>
                <w:sz w:val="16"/>
              </w:rPr>
            </w:pPr>
            <w:r>
              <w:rPr>
                <w:w w:val="105"/>
                <w:sz w:val="16"/>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trPr>
          <w:trHeight w:val="955" w:hRule="atLeast"/>
        </w:trPr>
        <w:tc>
          <w:tcPr>
            <w:tcW w:w="675" w:type="dxa"/>
          </w:tcPr>
          <w:p>
            <w:pPr>
              <w:pStyle w:val="TableParagraph"/>
              <w:rPr>
                <w:sz w:val="16"/>
              </w:rPr>
            </w:pPr>
            <w:r>
              <w:rPr>
                <w:w w:val="105"/>
                <w:sz w:val="16"/>
              </w:rPr>
              <w:t>3.</w:t>
            </w:r>
          </w:p>
        </w:tc>
        <w:tc>
          <w:tcPr>
            <w:tcW w:w="7758" w:type="dxa"/>
          </w:tcPr>
          <w:p>
            <w:pPr>
              <w:pStyle w:val="TableParagraph"/>
              <w:spacing w:line="204" w:lineRule="auto" w:before="161"/>
              <w:ind w:right="140"/>
              <w:jc w:val="both"/>
              <w:rPr>
                <w:sz w:val="16"/>
              </w:rPr>
            </w:pPr>
            <w:r>
              <w:rPr>
                <w:w w:val="105"/>
                <w:sz w:val="16"/>
              </w:rPr>
              <w:t>Исследования без последовательного контроля референсным методом или исследования с референсным методом, не являющимся независимым </w:t>
            </w:r>
            <w:r>
              <w:rPr>
                <w:spacing w:val="-8"/>
                <w:w w:val="105"/>
                <w:sz w:val="16"/>
              </w:rPr>
              <w:t>от </w:t>
            </w:r>
            <w:r>
              <w:rPr>
                <w:w w:val="105"/>
                <w:sz w:val="16"/>
              </w:rPr>
              <w:t>исследуемого</w:t>
            </w:r>
            <w:r>
              <w:rPr>
                <w:spacing w:val="-17"/>
                <w:w w:val="105"/>
                <w:sz w:val="16"/>
              </w:rPr>
              <w:t> </w:t>
            </w:r>
            <w:r>
              <w:rPr>
                <w:w w:val="105"/>
                <w:sz w:val="16"/>
              </w:rPr>
              <w:t>метода</w:t>
            </w:r>
            <w:r>
              <w:rPr>
                <w:spacing w:val="-17"/>
                <w:w w:val="105"/>
                <w:sz w:val="16"/>
              </w:rPr>
              <w:t> </w:t>
            </w:r>
            <w:r>
              <w:rPr>
                <w:w w:val="105"/>
                <w:sz w:val="16"/>
              </w:rPr>
              <w:t>или</w:t>
            </w:r>
            <w:r>
              <w:rPr>
                <w:spacing w:val="-17"/>
                <w:w w:val="105"/>
                <w:sz w:val="16"/>
              </w:rPr>
              <w:t> </w:t>
            </w:r>
            <w:r>
              <w:rPr>
                <w:w w:val="105"/>
                <w:sz w:val="16"/>
              </w:rPr>
              <w:t>нерандомизированные</w:t>
            </w:r>
            <w:r>
              <w:rPr>
                <w:spacing w:val="-17"/>
                <w:w w:val="105"/>
                <w:sz w:val="16"/>
              </w:rPr>
              <w:t> </w:t>
            </w:r>
            <w:r>
              <w:rPr>
                <w:w w:val="105"/>
                <w:sz w:val="16"/>
              </w:rPr>
              <w:t>сравнительные</w:t>
            </w:r>
            <w:r>
              <w:rPr>
                <w:spacing w:val="-17"/>
                <w:w w:val="105"/>
                <w:sz w:val="16"/>
              </w:rPr>
              <w:t> </w:t>
            </w:r>
            <w:r>
              <w:rPr>
                <w:w w:val="105"/>
                <w:sz w:val="16"/>
              </w:rPr>
              <w:t>исследования,</w:t>
            </w:r>
            <w:r>
              <w:rPr>
                <w:spacing w:val="-17"/>
                <w:w w:val="105"/>
                <w:sz w:val="16"/>
              </w:rPr>
              <w:t> </w:t>
            </w:r>
            <w:r>
              <w:rPr>
                <w:w w:val="105"/>
                <w:sz w:val="16"/>
              </w:rPr>
              <w:t>в</w:t>
            </w:r>
            <w:r>
              <w:rPr>
                <w:spacing w:val="-17"/>
                <w:w w:val="105"/>
                <w:sz w:val="16"/>
              </w:rPr>
              <w:t> </w:t>
            </w:r>
            <w:r>
              <w:rPr>
                <w:w w:val="105"/>
                <w:sz w:val="16"/>
              </w:rPr>
              <w:t>том числе когортные</w:t>
            </w:r>
            <w:r>
              <w:rPr>
                <w:spacing w:val="-5"/>
                <w:w w:val="105"/>
                <w:sz w:val="16"/>
              </w:rPr>
              <w:t> </w:t>
            </w:r>
            <w:r>
              <w:rPr>
                <w:w w:val="105"/>
                <w:sz w:val="16"/>
              </w:rPr>
              <w:t>исследования</w:t>
            </w:r>
          </w:p>
        </w:tc>
      </w:tr>
      <w:tr>
        <w:trPr>
          <w:trHeight w:val="460" w:hRule="atLeast"/>
        </w:trPr>
        <w:tc>
          <w:tcPr>
            <w:tcW w:w="675" w:type="dxa"/>
          </w:tcPr>
          <w:p>
            <w:pPr>
              <w:pStyle w:val="TableParagraph"/>
              <w:rPr>
                <w:sz w:val="16"/>
              </w:rPr>
            </w:pPr>
            <w:r>
              <w:rPr>
                <w:w w:val="105"/>
                <w:sz w:val="16"/>
              </w:rPr>
              <w:t>4.</w:t>
            </w:r>
          </w:p>
        </w:tc>
        <w:tc>
          <w:tcPr>
            <w:tcW w:w="7758" w:type="dxa"/>
          </w:tcPr>
          <w:p>
            <w:pPr>
              <w:pStyle w:val="TableParagraph"/>
              <w:rPr>
                <w:sz w:val="16"/>
              </w:rPr>
            </w:pPr>
            <w:r>
              <w:rPr>
                <w:w w:val="105"/>
                <w:sz w:val="16"/>
              </w:rPr>
              <w:t>Несравнительные исследования, описание клинического случая</w:t>
            </w:r>
          </w:p>
        </w:tc>
      </w:tr>
      <w:tr>
        <w:trPr>
          <w:trHeight w:val="460" w:hRule="atLeast"/>
        </w:trPr>
        <w:tc>
          <w:tcPr>
            <w:tcW w:w="675" w:type="dxa"/>
          </w:tcPr>
          <w:p>
            <w:pPr>
              <w:pStyle w:val="TableParagraph"/>
              <w:rPr>
                <w:sz w:val="16"/>
              </w:rPr>
            </w:pPr>
            <w:r>
              <w:rPr>
                <w:w w:val="105"/>
                <w:sz w:val="16"/>
              </w:rPr>
              <w:t>5.</w:t>
            </w:r>
          </w:p>
        </w:tc>
        <w:tc>
          <w:tcPr>
            <w:tcW w:w="7758" w:type="dxa"/>
          </w:tcPr>
          <w:p>
            <w:pPr>
              <w:pStyle w:val="TableParagraph"/>
              <w:rPr>
                <w:sz w:val="16"/>
              </w:rPr>
            </w:pPr>
            <w:r>
              <w:rPr>
                <w:w w:val="105"/>
                <w:sz w:val="16"/>
              </w:rPr>
              <w:t>Имеется лишь обоснование механизма действия или мнение экспертов</w:t>
            </w:r>
          </w:p>
        </w:tc>
      </w:tr>
    </w:tbl>
    <w:p>
      <w:pPr>
        <w:pStyle w:val="BodyText"/>
        <w:spacing w:before="2"/>
        <w:ind w:left="0"/>
        <w:jc w:val="left"/>
        <w:rPr>
          <w:b/>
          <w:sz w:val="50"/>
        </w:rPr>
      </w:pPr>
    </w:p>
    <w:p>
      <w:pPr>
        <w:tabs>
          <w:tab w:pos="3771" w:val="left" w:leader="none"/>
          <w:tab w:pos="6131" w:val="left" w:leader="none"/>
        </w:tabs>
        <w:spacing w:line="256" w:lineRule="auto" w:before="0"/>
        <w:ind w:left="380" w:right="135" w:firstLine="0"/>
        <w:jc w:val="both"/>
        <w:rPr>
          <w:b/>
          <w:sz w:val="27"/>
        </w:rPr>
      </w:pPr>
      <w:r>
        <w:rPr>
          <w:b/>
          <w:spacing w:val="-3"/>
          <w:sz w:val="27"/>
        </w:rPr>
        <w:t>Таблица </w:t>
      </w:r>
      <w:r>
        <w:rPr>
          <w:b/>
          <w:sz w:val="27"/>
        </w:rPr>
        <w:t>5/А2. Шкала оценки уровней убедительности рекомендаций(УУР) для методов профилактики, диагностики, лечения и реабилитации (профилактических, диагностических,</w:t>
        <w:tab/>
        <w:t>лечебных,</w:t>
        <w:tab/>
      </w:r>
      <w:r>
        <w:rPr>
          <w:b/>
          <w:spacing w:val="-1"/>
          <w:sz w:val="27"/>
        </w:rPr>
        <w:t>реабилитационных </w:t>
      </w:r>
      <w:r>
        <w:rPr>
          <w:b/>
          <w:sz w:val="27"/>
        </w:rPr>
        <w:t>вмешательств)</w:t>
      </w:r>
    </w:p>
    <w:p>
      <w:pPr>
        <w:pStyle w:val="BodyText"/>
        <w:spacing w:before="0"/>
        <w:ind w:left="0"/>
        <w:jc w:val="left"/>
        <w:rPr>
          <w:b/>
          <w:sz w:val="20"/>
        </w:rPr>
      </w:pPr>
    </w:p>
    <w:p>
      <w:pPr>
        <w:pStyle w:val="BodyText"/>
        <w:spacing w:before="0"/>
        <w:ind w:left="0"/>
        <w:jc w:val="left"/>
        <w:rPr>
          <w:b/>
          <w:sz w:val="20"/>
        </w:rPr>
      </w:pPr>
    </w:p>
    <w:p>
      <w:pPr>
        <w:pStyle w:val="BodyText"/>
        <w:spacing w:before="12"/>
        <w:ind w:left="0"/>
        <w:jc w:val="left"/>
        <w:rPr>
          <w:b/>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1285" w:hRule="atLeast"/>
        </w:trPr>
        <w:tc>
          <w:tcPr>
            <w:tcW w:w="8434" w:type="dxa"/>
          </w:tcPr>
          <w:p>
            <w:pPr>
              <w:pStyle w:val="TableParagraph"/>
              <w:spacing w:line="204" w:lineRule="auto" w:before="161"/>
              <w:ind w:right="138"/>
              <w:jc w:val="both"/>
              <w:rPr>
                <w:sz w:val="16"/>
              </w:rPr>
            </w:pPr>
            <w:r>
              <w:rPr>
                <w:w w:val="105"/>
                <w:sz w:val="16"/>
              </w:rPr>
              <w:t>Уровень убедительности рекомендации (УРР), Приказ Министерства здравоохранения Российской Федерации от 28.02.2019 № 103н «Об утверждении порядка и сроков разработки клинических рекомендаций, их пересмотра, типовой формы клинических рекомендаций</w:t>
            </w:r>
            <w:r>
              <w:rPr>
                <w:spacing w:val="-7"/>
                <w:w w:val="105"/>
                <w:sz w:val="16"/>
              </w:rPr>
              <w:t> </w:t>
            </w:r>
            <w:r>
              <w:rPr>
                <w:w w:val="105"/>
                <w:sz w:val="16"/>
              </w:rPr>
              <w:t>и</w:t>
            </w:r>
            <w:r>
              <w:rPr>
                <w:spacing w:val="-7"/>
                <w:w w:val="105"/>
                <w:sz w:val="16"/>
              </w:rPr>
              <w:t> </w:t>
            </w:r>
            <w:r>
              <w:rPr>
                <w:w w:val="105"/>
                <w:sz w:val="16"/>
              </w:rPr>
              <w:t>требований</w:t>
            </w:r>
            <w:r>
              <w:rPr>
                <w:spacing w:val="-7"/>
                <w:w w:val="105"/>
                <w:sz w:val="16"/>
              </w:rPr>
              <w:t> </w:t>
            </w:r>
            <w:r>
              <w:rPr>
                <w:w w:val="105"/>
                <w:sz w:val="16"/>
              </w:rPr>
              <w:t>к</w:t>
            </w:r>
            <w:r>
              <w:rPr>
                <w:spacing w:val="-7"/>
                <w:w w:val="105"/>
                <w:sz w:val="16"/>
              </w:rPr>
              <w:t> </w:t>
            </w:r>
            <w:r>
              <w:rPr>
                <w:w w:val="105"/>
                <w:sz w:val="16"/>
              </w:rPr>
              <w:t>их</w:t>
            </w:r>
            <w:r>
              <w:rPr>
                <w:spacing w:val="-7"/>
                <w:w w:val="105"/>
                <w:sz w:val="16"/>
              </w:rPr>
              <w:t> </w:t>
            </w:r>
            <w:r>
              <w:rPr>
                <w:w w:val="105"/>
                <w:sz w:val="16"/>
              </w:rPr>
              <w:t>структуре,</w:t>
            </w:r>
            <w:r>
              <w:rPr>
                <w:spacing w:val="-6"/>
                <w:w w:val="105"/>
                <w:sz w:val="16"/>
              </w:rPr>
              <w:t> </w:t>
            </w:r>
            <w:r>
              <w:rPr>
                <w:w w:val="105"/>
                <w:sz w:val="16"/>
              </w:rPr>
              <w:t>составу</w:t>
            </w:r>
            <w:r>
              <w:rPr>
                <w:spacing w:val="-7"/>
                <w:w w:val="105"/>
                <w:sz w:val="16"/>
              </w:rPr>
              <w:t> </w:t>
            </w:r>
            <w:r>
              <w:rPr>
                <w:w w:val="105"/>
                <w:sz w:val="16"/>
              </w:rPr>
              <w:t>и</w:t>
            </w:r>
            <w:r>
              <w:rPr>
                <w:spacing w:val="-7"/>
                <w:w w:val="105"/>
                <w:sz w:val="16"/>
              </w:rPr>
              <w:t> </w:t>
            </w:r>
            <w:r>
              <w:rPr>
                <w:w w:val="105"/>
                <w:sz w:val="16"/>
              </w:rPr>
              <w:t>научной</w:t>
            </w:r>
            <w:r>
              <w:rPr>
                <w:spacing w:val="-7"/>
                <w:w w:val="105"/>
                <w:sz w:val="16"/>
              </w:rPr>
              <w:t> </w:t>
            </w:r>
            <w:r>
              <w:rPr>
                <w:w w:val="105"/>
                <w:sz w:val="16"/>
              </w:rPr>
              <w:t>обоснованности</w:t>
            </w:r>
            <w:r>
              <w:rPr>
                <w:spacing w:val="-7"/>
                <w:w w:val="105"/>
                <w:sz w:val="16"/>
              </w:rPr>
              <w:t> </w:t>
            </w:r>
            <w:r>
              <w:rPr>
                <w:w w:val="105"/>
                <w:sz w:val="16"/>
              </w:rPr>
              <w:t>включаемой в клинические рекомендации</w:t>
            </w:r>
            <w:r>
              <w:rPr>
                <w:spacing w:val="-8"/>
                <w:w w:val="105"/>
                <w:sz w:val="16"/>
              </w:rPr>
              <w:t> </w:t>
            </w:r>
            <w:r>
              <w:rPr>
                <w:w w:val="105"/>
                <w:sz w:val="16"/>
              </w:rPr>
              <w:t>информации»</w:t>
            </w:r>
          </w:p>
          <w:p>
            <w:pPr>
              <w:pStyle w:val="TableParagraph"/>
              <w:spacing w:line="169" w:lineRule="exact" w:before="0"/>
              <w:jc w:val="both"/>
              <w:rPr>
                <w:sz w:val="16"/>
              </w:rPr>
            </w:pPr>
            <w:r>
              <w:rPr>
                <w:w w:val="105"/>
                <w:sz w:val="16"/>
              </w:rPr>
              <w:t>(Зарегистрирован 08.05.2019 № 54588)</w:t>
            </w:r>
          </w:p>
        </w:tc>
      </w:tr>
    </w:tbl>
    <w:p>
      <w:pPr>
        <w:spacing w:after="0" w:line="169" w:lineRule="exact"/>
        <w:jc w:val="both"/>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1"/>
        <w:gridCol w:w="6543"/>
      </w:tblGrid>
      <w:tr>
        <w:trPr>
          <w:trHeight w:val="955" w:hRule="atLeast"/>
        </w:trPr>
        <w:tc>
          <w:tcPr>
            <w:tcW w:w="1891" w:type="dxa"/>
          </w:tcPr>
          <w:p>
            <w:pPr>
              <w:pStyle w:val="TableParagraph"/>
              <w:rPr>
                <w:sz w:val="16"/>
              </w:rPr>
            </w:pPr>
            <w:r>
              <w:rPr>
                <w:w w:val="103"/>
                <w:sz w:val="16"/>
              </w:rPr>
              <w:t>А</w:t>
            </w:r>
          </w:p>
        </w:tc>
        <w:tc>
          <w:tcPr>
            <w:tcW w:w="6543" w:type="dxa"/>
          </w:tcPr>
          <w:p>
            <w:pPr>
              <w:pStyle w:val="TableParagraph"/>
              <w:spacing w:line="204" w:lineRule="auto" w:before="161"/>
              <w:ind w:left="154" w:right="145"/>
              <w:jc w:val="both"/>
              <w:rPr>
                <w:sz w:val="16"/>
              </w:rPr>
            </w:pPr>
            <w:r>
              <w:rPr>
                <w:w w:val="105"/>
                <w:sz w:val="16"/>
              </w:rPr>
              <w:t>Сильная рекомендация (все рассматриваемые критерии эффективности (исходы) являются важными, все исследования</w:t>
            </w:r>
            <w:r>
              <w:rPr>
                <w:spacing w:val="-20"/>
                <w:w w:val="105"/>
                <w:sz w:val="16"/>
              </w:rPr>
              <w:t> </w:t>
            </w:r>
            <w:r>
              <w:rPr>
                <w:w w:val="105"/>
                <w:sz w:val="16"/>
              </w:rPr>
              <w:t>имеют высокое или удовлетворительное методологическое качество, </w:t>
            </w:r>
            <w:r>
              <w:rPr>
                <w:spacing w:val="-8"/>
                <w:w w:val="105"/>
                <w:sz w:val="16"/>
              </w:rPr>
              <w:t>их </w:t>
            </w:r>
            <w:r>
              <w:rPr>
                <w:w w:val="105"/>
                <w:sz w:val="16"/>
              </w:rPr>
              <w:t>выводы по интересующим исходам являются</w:t>
            </w:r>
            <w:r>
              <w:rPr>
                <w:spacing w:val="-34"/>
                <w:w w:val="105"/>
                <w:sz w:val="16"/>
              </w:rPr>
              <w:t> </w:t>
            </w:r>
            <w:r>
              <w:rPr>
                <w:w w:val="105"/>
                <w:sz w:val="16"/>
              </w:rPr>
              <w:t>согласованными)</w:t>
            </w:r>
          </w:p>
        </w:tc>
      </w:tr>
      <w:tr>
        <w:trPr>
          <w:trHeight w:val="1120" w:hRule="atLeast"/>
        </w:trPr>
        <w:tc>
          <w:tcPr>
            <w:tcW w:w="1891" w:type="dxa"/>
          </w:tcPr>
          <w:p>
            <w:pPr>
              <w:pStyle w:val="TableParagraph"/>
              <w:rPr>
                <w:sz w:val="16"/>
              </w:rPr>
            </w:pPr>
            <w:r>
              <w:rPr>
                <w:w w:val="103"/>
                <w:sz w:val="16"/>
              </w:rPr>
              <w:t>В</w:t>
            </w:r>
          </w:p>
        </w:tc>
        <w:tc>
          <w:tcPr>
            <w:tcW w:w="6543" w:type="dxa"/>
          </w:tcPr>
          <w:p>
            <w:pPr>
              <w:pStyle w:val="TableParagraph"/>
              <w:spacing w:line="204" w:lineRule="auto" w:before="161"/>
              <w:ind w:left="154" w:right="141"/>
              <w:jc w:val="both"/>
              <w:rPr>
                <w:sz w:val="16"/>
              </w:rPr>
            </w:pPr>
            <w:r>
              <w:rPr>
                <w:w w:val="105"/>
                <w:sz w:val="16"/>
              </w:rPr>
              <w:t>Условная рекомендация (не все рассматриваемые критерии эффективности (исходы) являются важными, не все </w:t>
            </w:r>
            <w:r>
              <w:rPr>
                <w:spacing w:val="-2"/>
                <w:w w:val="105"/>
                <w:sz w:val="16"/>
              </w:rPr>
              <w:t>исследования </w:t>
            </w:r>
            <w:r>
              <w:rPr>
                <w:w w:val="105"/>
                <w:sz w:val="16"/>
              </w:rPr>
              <w:t>имеют</w:t>
            </w:r>
            <w:r>
              <w:rPr>
                <w:spacing w:val="-13"/>
                <w:w w:val="105"/>
                <w:sz w:val="16"/>
              </w:rPr>
              <w:t> </w:t>
            </w:r>
            <w:r>
              <w:rPr>
                <w:w w:val="105"/>
                <w:sz w:val="16"/>
              </w:rPr>
              <w:t>высокое</w:t>
            </w:r>
            <w:r>
              <w:rPr>
                <w:spacing w:val="-13"/>
                <w:w w:val="105"/>
                <w:sz w:val="16"/>
              </w:rPr>
              <w:t> </w:t>
            </w:r>
            <w:r>
              <w:rPr>
                <w:w w:val="105"/>
                <w:sz w:val="16"/>
              </w:rPr>
              <w:t>или</w:t>
            </w:r>
            <w:r>
              <w:rPr>
                <w:spacing w:val="-13"/>
                <w:w w:val="105"/>
                <w:sz w:val="16"/>
              </w:rPr>
              <w:t> </w:t>
            </w:r>
            <w:r>
              <w:rPr>
                <w:w w:val="105"/>
                <w:sz w:val="16"/>
              </w:rPr>
              <w:t>удовлетворительное</w:t>
            </w:r>
            <w:r>
              <w:rPr>
                <w:spacing w:val="-13"/>
                <w:w w:val="105"/>
                <w:sz w:val="16"/>
              </w:rPr>
              <w:t> </w:t>
            </w:r>
            <w:r>
              <w:rPr>
                <w:w w:val="105"/>
                <w:sz w:val="16"/>
              </w:rPr>
              <w:t>методологическое</w:t>
            </w:r>
            <w:r>
              <w:rPr>
                <w:spacing w:val="-13"/>
                <w:w w:val="105"/>
                <w:sz w:val="16"/>
              </w:rPr>
              <w:t> </w:t>
            </w:r>
            <w:r>
              <w:rPr>
                <w:w w:val="105"/>
                <w:sz w:val="16"/>
              </w:rPr>
              <w:t>качество</w:t>
            </w:r>
            <w:r>
              <w:rPr>
                <w:spacing w:val="-13"/>
                <w:w w:val="105"/>
                <w:sz w:val="16"/>
              </w:rPr>
              <w:t> </w:t>
            </w:r>
            <w:r>
              <w:rPr>
                <w:spacing w:val="-7"/>
                <w:w w:val="105"/>
                <w:sz w:val="16"/>
              </w:rPr>
              <w:t>и/ </w:t>
            </w:r>
            <w:r>
              <w:rPr>
                <w:w w:val="105"/>
                <w:sz w:val="16"/>
              </w:rPr>
              <w:t>или их выводы по интересующим исходам не являются согласованными).</w:t>
            </w:r>
          </w:p>
        </w:tc>
      </w:tr>
      <w:tr>
        <w:trPr>
          <w:trHeight w:val="1120" w:hRule="atLeast"/>
        </w:trPr>
        <w:tc>
          <w:tcPr>
            <w:tcW w:w="1891" w:type="dxa"/>
          </w:tcPr>
          <w:p>
            <w:pPr>
              <w:pStyle w:val="TableParagraph"/>
              <w:rPr>
                <w:sz w:val="16"/>
              </w:rPr>
            </w:pPr>
            <w:r>
              <w:rPr>
                <w:w w:val="103"/>
                <w:sz w:val="16"/>
              </w:rPr>
              <w:t>С</w:t>
            </w:r>
          </w:p>
        </w:tc>
        <w:tc>
          <w:tcPr>
            <w:tcW w:w="6543" w:type="dxa"/>
          </w:tcPr>
          <w:p>
            <w:pPr>
              <w:pStyle w:val="TableParagraph"/>
              <w:spacing w:line="204" w:lineRule="auto" w:before="161"/>
              <w:ind w:left="154" w:right="139"/>
              <w:jc w:val="both"/>
              <w:rPr>
                <w:sz w:val="16"/>
              </w:rPr>
            </w:pPr>
            <w:r>
              <w:rPr>
                <w:w w:val="105"/>
                <w:sz w:val="16"/>
              </w:rP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w:t>
            </w:r>
            <w:r>
              <w:rPr>
                <w:spacing w:val="-3"/>
                <w:w w:val="105"/>
                <w:sz w:val="16"/>
              </w:rPr>
              <w:t>низкое </w:t>
            </w:r>
            <w:r>
              <w:rPr>
                <w:w w:val="105"/>
                <w:sz w:val="16"/>
              </w:rPr>
              <w:t>методологическое</w:t>
            </w:r>
            <w:r>
              <w:rPr>
                <w:spacing w:val="-6"/>
                <w:w w:val="105"/>
                <w:sz w:val="16"/>
              </w:rPr>
              <w:t> </w:t>
            </w:r>
            <w:r>
              <w:rPr>
                <w:w w:val="105"/>
                <w:sz w:val="16"/>
              </w:rPr>
              <w:t>качество</w:t>
            </w:r>
            <w:r>
              <w:rPr>
                <w:spacing w:val="-6"/>
                <w:w w:val="105"/>
                <w:sz w:val="16"/>
              </w:rPr>
              <w:t> </w:t>
            </w:r>
            <w:r>
              <w:rPr>
                <w:w w:val="105"/>
                <w:sz w:val="16"/>
              </w:rPr>
              <w:t>и</w:t>
            </w:r>
            <w:r>
              <w:rPr>
                <w:spacing w:val="-6"/>
                <w:w w:val="105"/>
                <w:sz w:val="16"/>
              </w:rPr>
              <w:t> </w:t>
            </w:r>
            <w:r>
              <w:rPr>
                <w:w w:val="105"/>
                <w:sz w:val="16"/>
              </w:rPr>
              <w:t>их</w:t>
            </w:r>
            <w:r>
              <w:rPr>
                <w:spacing w:val="-6"/>
                <w:w w:val="105"/>
                <w:sz w:val="16"/>
              </w:rPr>
              <w:t> </w:t>
            </w:r>
            <w:r>
              <w:rPr>
                <w:w w:val="105"/>
                <w:sz w:val="16"/>
              </w:rPr>
              <w:t>выводы</w:t>
            </w:r>
            <w:r>
              <w:rPr>
                <w:spacing w:val="-6"/>
                <w:w w:val="105"/>
                <w:sz w:val="16"/>
              </w:rPr>
              <w:t> </w:t>
            </w:r>
            <w:r>
              <w:rPr>
                <w:w w:val="105"/>
                <w:sz w:val="16"/>
              </w:rPr>
              <w:t>по</w:t>
            </w:r>
            <w:r>
              <w:rPr>
                <w:spacing w:val="-6"/>
                <w:w w:val="105"/>
                <w:sz w:val="16"/>
              </w:rPr>
              <w:t> </w:t>
            </w:r>
            <w:r>
              <w:rPr>
                <w:w w:val="105"/>
                <w:sz w:val="16"/>
              </w:rPr>
              <w:t>интересующим</w:t>
            </w:r>
            <w:r>
              <w:rPr>
                <w:spacing w:val="-6"/>
                <w:w w:val="105"/>
                <w:sz w:val="16"/>
              </w:rPr>
              <w:t> </w:t>
            </w:r>
            <w:r>
              <w:rPr>
                <w:w w:val="105"/>
                <w:sz w:val="16"/>
              </w:rPr>
              <w:t>исходам</w:t>
            </w:r>
            <w:r>
              <w:rPr>
                <w:spacing w:val="-6"/>
                <w:w w:val="105"/>
                <w:sz w:val="16"/>
              </w:rPr>
              <w:t> </w:t>
            </w:r>
            <w:r>
              <w:rPr>
                <w:spacing w:val="-7"/>
                <w:w w:val="105"/>
                <w:sz w:val="16"/>
              </w:rPr>
              <w:t>не </w:t>
            </w:r>
            <w:r>
              <w:rPr>
                <w:w w:val="105"/>
                <w:sz w:val="16"/>
              </w:rPr>
              <w:t>являются</w:t>
            </w:r>
            <w:r>
              <w:rPr>
                <w:spacing w:val="-3"/>
                <w:w w:val="105"/>
                <w:sz w:val="16"/>
              </w:rPr>
              <w:t> </w:t>
            </w:r>
            <w:r>
              <w:rPr>
                <w:w w:val="105"/>
                <w:sz w:val="16"/>
              </w:rPr>
              <w:t>согласованными).</w:t>
            </w:r>
          </w:p>
        </w:tc>
      </w:tr>
    </w:tbl>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11"/>
        <w:ind w:left="0"/>
        <w:jc w:val="left"/>
        <w:rPr>
          <w:b/>
          <w:sz w:val="20"/>
        </w:rPr>
      </w:pPr>
    </w:p>
    <w:p>
      <w:pPr>
        <w:pStyle w:val="Heading3"/>
        <w:spacing w:before="97"/>
        <w:ind w:left="380"/>
        <w:jc w:val="both"/>
      </w:pPr>
      <w:r>
        <w:rPr/>
        <w:t>Порядок обновления клинических рекомендаций</w:t>
      </w:r>
    </w:p>
    <w:p>
      <w:pPr>
        <w:pStyle w:val="BodyText"/>
        <w:tabs>
          <w:tab w:pos="3492" w:val="left" w:leader="none"/>
          <w:tab w:pos="3767" w:val="left" w:leader="none"/>
          <w:tab w:pos="6457" w:val="left" w:leader="none"/>
          <w:tab w:pos="6541" w:val="left" w:leader="none"/>
        </w:tabs>
        <w:spacing w:line="256" w:lineRule="auto" w:before="296"/>
        <w:ind w:left="380" w:right="130"/>
      </w:pPr>
      <w:r>
        <w:rPr/>
        <w:t>Механизм обновления клинических рекомендаций предусматривает их систематическую актуализацию — не </w:t>
      </w:r>
      <w:r>
        <w:rPr>
          <w:spacing w:val="-3"/>
        </w:rPr>
        <w:t>реже </w:t>
      </w:r>
      <w:r>
        <w:rPr/>
        <w:t>чем один раз в три года или при появлении новой информации о тактике ведения пациентов с данным заболеванием. Решение об обновлении принимает МЗ </w:t>
      </w:r>
      <w:r>
        <w:rPr>
          <w:spacing w:val="-3"/>
        </w:rPr>
        <w:t>РФ </w:t>
      </w:r>
      <w:r>
        <w:rPr/>
        <w:t>на основе предложений, представленных</w:t>
        <w:tab/>
        <w:t>медицинскими</w:t>
        <w:tab/>
      </w:r>
      <w:r>
        <w:rPr>
          <w:spacing w:val="-1"/>
        </w:rPr>
        <w:t>некоммерческими </w:t>
      </w:r>
      <w:r>
        <w:rPr/>
        <w:t>профессиональными</w:t>
        <w:tab/>
        <w:tab/>
        <w:t>организациями.</w:t>
        <w:tab/>
        <w:tab/>
      </w:r>
      <w:r>
        <w:rPr>
          <w:spacing w:val="-1"/>
        </w:rPr>
        <w:t>Сформированные </w:t>
      </w:r>
      <w:r>
        <w:rPr/>
        <w:t>предложения должны учитывать результаты комплексной оценки лекарственных препаратов, медицинских изделий, а также результаты клинической</w:t>
      </w:r>
      <w:r>
        <w:rPr>
          <w:spacing w:val="-5"/>
        </w:rPr>
        <w:t> </w:t>
      </w:r>
      <w:r>
        <w:rPr/>
        <w:t>апробации.</w:t>
      </w:r>
    </w:p>
    <w:p>
      <w:pPr>
        <w:spacing w:after="0" w:line="256" w:lineRule="auto"/>
        <w:sectPr>
          <w:pgSz w:w="11900" w:h="16840"/>
          <w:pgMar w:top="0" w:bottom="280" w:left="1420" w:right="1520"/>
        </w:sectPr>
      </w:pPr>
    </w:p>
    <w:p>
      <w:pPr>
        <w:pStyle w:val="Heading1"/>
        <w:spacing w:line="177" w:lineRule="auto" w:before="197"/>
        <w:ind w:right="1803"/>
      </w:pPr>
      <w:r>
        <w:rPr/>
        <w:t>Приложение А3. Связанные документы</w:t>
      </w:r>
    </w:p>
    <w:p>
      <w:pPr>
        <w:pStyle w:val="BodyText"/>
        <w:spacing w:before="5"/>
        <w:ind w:left="0"/>
        <w:jc w:val="left"/>
        <w:rPr>
          <w:b/>
          <w:sz w:val="54"/>
        </w:rPr>
      </w:pPr>
    </w:p>
    <w:p>
      <w:pPr>
        <w:pStyle w:val="Heading2"/>
        <w:spacing w:line="177" w:lineRule="auto"/>
        <w:ind w:firstLine="89"/>
      </w:pPr>
      <w:r>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pPr>
        <w:pStyle w:val="BodyText"/>
        <w:spacing w:before="10"/>
        <w:ind w:left="0"/>
        <w:jc w:val="left"/>
        <w:rPr>
          <w:b/>
          <w:sz w:val="32"/>
        </w:rPr>
      </w:pPr>
    </w:p>
    <w:p>
      <w:pPr>
        <w:pStyle w:val="ListParagraph"/>
        <w:numPr>
          <w:ilvl w:val="0"/>
          <w:numId w:val="13"/>
        </w:numPr>
        <w:tabs>
          <w:tab w:pos="678" w:val="left" w:leader="none"/>
        </w:tabs>
        <w:spacing w:line="256" w:lineRule="auto" w:before="0" w:after="0"/>
        <w:ind w:left="380" w:right="129" w:firstLine="0"/>
        <w:jc w:val="both"/>
        <w:rPr>
          <w:sz w:val="27"/>
        </w:rPr>
      </w:pPr>
      <w:r>
        <w:rPr>
          <w:sz w:val="27"/>
        </w:rPr>
        <w:t>Приказ Министерства здравоохранения Российской Федерации </w:t>
      </w:r>
      <w:r>
        <w:rPr>
          <w:spacing w:val="-3"/>
          <w:w w:val="105"/>
          <w:sz w:val="27"/>
        </w:rPr>
        <w:t>от</w:t>
      </w:r>
      <w:r>
        <w:rPr>
          <w:spacing w:val="-14"/>
          <w:w w:val="105"/>
          <w:sz w:val="27"/>
        </w:rPr>
        <w:t> </w:t>
      </w:r>
      <w:r>
        <w:rPr>
          <w:w w:val="105"/>
          <w:sz w:val="27"/>
        </w:rPr>
        <w:t>15</w:t>
      </w:r>
      <w:r>
        <w:rPr>
          <w:spacing w:val="-14"/>
          <w:w w:val="105"/>
          <w:sz w:val="27"/>
        </w:rPr>
        <w:t> </w:t>
      </w:r>
      <w:r>
        <w:rPr>
          <w:w w:val="105"/>
          <w:sz w:val="27"/>
        </w:rPr>
        <w:t>ноября</w:t>
      </w:r>
      <w:r>
        <w:rPr>
          <w:spacing w:val="-14"/>
          <w:w w:val="105"/>
          <w:sz w:val="27"/>
        </w:rPr>
        <w:t> </w:t>
      </w:r>
      <w:r>
        <w:rPr>
          <w:w w:val="105"/>
          <w:sz w:val="27"/>
        </w:rPr>
        <w:t>2012</w:t>
      </w:r>
      <w:r>
        <w:rPr>
          <w:spacing w:val="-13"/>
          <w:w w:val="105"/>
          <w:sz w:val="27"/>
        </w:rPr>
        <w:t> </w:t>
      </w:r>
      <w:r>
        <w:rPr>
          <w:w w:val="105"/>
          <w:sz w:val="27"/>
        </w:rPr>
        <w:t>г.</w:t>
      </w:r>
      <w:r>
        <w:rPr>
          <w:spacing w:val="-14"/>
          <w:w w:val="105"/>
          <w:sz w:val="27"/>
        </w:rPr>
        <w:t> </w:t>
      </w:r>
      <w:r>
        <w:rPr>
          <w:w w:val="105"/>
          <w:sz w:val="27"/>
        </w:rPr>
        <w:t>№</w:t>
      </w:r>
      <w:r>
        <w:rPr>
          <w:spacing w:val="1"/>
          <w:w w:val="105"/>
          <w:sz w:val="27"/>
        </w:rPr>
        <w:t> </w:t>
      </w:r>
      <w:r>
        <w:rPr>
          <w:w w:val="105"/>
          <w:sz w:val="27"/>
        </w:rPr>
        <w:t>918н</w:t>
      </w:r>
      <w:r>
        <w:rPr>
          <w:spacing w:val="-13"/>
          <w:w w:val="105"/>
          <w:sz w:val="27"/>
        </w:rPr>
        <w:t> </w:t>
      </w:r>
      <w:r>
        <w:rPr>
          <w:w w:val="105"/>
          <w:sz w:val="27"/>
        </w:rPr>
        <w:t>«Об</w:t>
      </w:r>
      <w:r>
        <w:rPr>
          <w:spacing w:val="-14"/>
          <w:w w:val="105"/>
          <w:sz w:val="27"/>
        </w:rPr>
        <w:t> </w:t>
      </w:r>
      <w:r>
        <w:rPr>
          <w:w w:val="105"/>
          <w:sz w:val="27"/>
        </w:rPr>
        <w:t>утверждении</w:t>
      </w:r>
      <w:r>
        <w:rPr>
          <w:spacing w:val="-14"/>
          <w:w w:val="105"/>
          <w:sz w:val="27"/>
        </w:rPr>
        <w:t> </w:t>
      </w:r>
      <w:r>
        <w:rPr>
          <w:w w:val="105"/>
          <w:sz w:val="27"/>
        </w:rPr>
        <w:t>Порядка</w:t>
      </w:r>
      <w:r>
        <w:rPr>
          <w:spacing w:val="-13"/>
          <w:w w:val="105"/>
          <w:sz w:val="27"/>
        </w:rPr>
        <w:t> </w:t>
      </w:r>
      <w:r>
        <w:rPr>
          <w:w w:val="105"/>
          <w:sz w:val="27"/>
        </w:rPr>
        <w:t>оказания медицинской помощи больным с сердечно-сосудистыми заболеваниями».</w:t>
      </w:r>
    </w:p>
    <w:p>
      <w:pPr>
        <w:pStyle w:val="ListParagraph"/>
        <w:numPr>
          <w:ilvl w:val="0"/>
          <w:numId w:val="13"/>
        </w:numPr>
        <w:tabs>
          <w:tab w:pos="843" w:val="left" w:leader="none"/>
        </w:tabs>
        <w:spacing w:line="256" w:lineRule="auto" w:before="272" w:after="0"/>
        <w:ind w:left="380" w:right="135" w:firstLine="0"/>
        <w:jc w:val="both"/>
        <w:rPr>
          <w:sz w:val="27"/>
        </w:rPr>
      </w:pPr>
      <w:r>
        <w:rPr>
          <w:sz w:val="27"/>
        </w:rPr>
        <w:t>Стандарт медицинской помощи больным эссенциальной первичной артериальной гипертензией (при оказании специализированной помощи), утвержден приказом Министерства здравоохранения и социального развития Российской Федерации </w:t>
      </w:r>
      <w:r>
        <w:rPr>
          <w:spacing w:val="-3"/>
          <w:sz w:val="27"/>
        </w:rPr>
        <w:t>от </w:t>
      </w:r>
      <w:r>
        <w:rPr>
          <w:sz w:val="27"/>
        </w:rPr>
        <w:t>13 июня 2007г. №</w:t>
      </w:r>
      <w:r>
        <w:rPr>
          <w:spacing w:val="4"/>
          <w:sz w:val="27"/>
        </w:rPr>
        <w:t> </w:t>
      </w:r>
      <w:r>
        <w:rPr>
          <w:sz w:val="27"/>
        </w:rPr>
        <w:t>419.</w:t>
      </w:r>
    </w:p>
    <w:p>
      <w:pPr>
        <w:pStyle w:val="ListParagraph"/>
        <w:numPr>
          <w:ilvl w:val="0"/>
          <w:numId w:val="13"/>
        </w:numPr>
        <w:tabs>
          <w:tab w:pos="678" w:val="left" w:leader="none"/>
        </w:tabs>
        <w:spacing w:line="256" w:lineRule="auto" w:before="272" w:after="0"/>
        <w:ind w:left="380" w:right="131" w:firstLine="0"/>
        <w:jc w:val="both"/>
        <w:rPr>
          <w:sz w:val="27"/>
        </w:rPr>
      </w:pPr>
      <w:r>
        <w:rPr>
          <w:sz w:val="27"/>
        </w:rPr>
        <w:t>Приказ Министерства здравоохранения Российской Федерации </w:t>
      </w:r>
      <w:r>
        <w:rPr>
          <w:spacing w:val="-3"/>
          <w:sz w:val="27"/>
        </w:rPr>
        <w:t>от </w:t>
      </w:r>
      <w:r>
        <w:rPr>
          <w:sz w:val="27"/>
        </w:rPr>
        <w:t>15 июля 2016 г. № 520н «Об утверждении критериев оценки качества медицинской</w:t>
      </w:r>
      <w:r>
        <w:rPr>
          <w:spacing w:val="-4"/>
          <w:sz w:val="27"/>
        </w:rPr>
        <w:t> </w:t>
      </w:r>
      <w:r>
        <w:rPr>
          <w:sz w:val="27"/>
        </w:rPr>
        <w:t>помощи»</w:t>
      </w:r>
    </w:p>
    <w:p>
      <w:pPr>
        <w:pStyle w:val="ListParagraph"/>
        <w:numPr>
          <w:ilvl w:val="0"/>
          <w:numId w:val="13"/>
        </w:numPr>
        <w:tabs>
          <w:tab w:pos="678" w:val="left" w:leader="none"/>
        </w:tabs>
        <w:spacing w:line="256" w:lineRule="auto" w:before="271" w:after="0"/>
        <w:ind w:left="380" w:right="133" w:firstLine="0"/>
        <w:jc w:val="both"/>
        <w:rPr>
          <w:sz w:val="27"/>
        </w:rPr>
      </w:pPr>
      <w:r>
        <w:rPr>
          <w:sz w:val="27"/>
        </w:rPr>
        <w:t>Приказ Министерства здравоохранения Российской Федерации </w:t>
      </w:r>
      <w:r>
        <w:rPr>
          <w:spacing w:val="-3"/>
          <w:sz w:val="27"/>
        </w:rPr>
        <w:t>от </w:t>
      </w:r>
      <w:r>
        <w:rPr>
          <w:sz w:val="27"/>
        </w:rPr>
        <w:t>28.02.2019 № 103н «Об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 (Зарегистрирован 08.05.2019 № 54588)</w:t>
      </w:r>
    </w:p>
    <w:p>
      <w:pPr>
        <w:spacing w:after="0" w:line="256" w:lineRule="auto"/>
        <w:jc w:val="both"/>
        <w:rPr>
          <w:sz w:val="27"/>
        </w:rPr>
        <w:sectPr>
          <w:pgSz w:w="11900" w:h="16840"/>
          <w:pgMar w:top="600" w:bottom="280" w:left="1420" w:right="1520"/>
        </w:sectPr>
      </w:pPr>
    </w:p>
    <w:p>
      <w:pPr>
        <w:pStyle w:val="Heading1"/>
        <w:spacing w:line="177" w:lineRule="auto" w:before="197"/>
        <w:ind w:right="1986"/>
      </w:pPr>
      <w:r>
        <w:rPr/>
        <w:t>Приложение Б.</w:t>
      </w:r>
      <w:r>
        <w:rPr>
          <w:spacing w:val="-61"/>
        </w:rPr>
        <w:t> </w:t>
      </w:r>
      <w:r>
        <w:rPr/>
        <w:t>Алгоритмы ведения пациента</w:t>
      </w:r>
    </w:p>
    <w:p>
      <w:pPr>
        <w:pStyle w:val="BodyText"/>
        <w:spacing w:before="10"/>
        <w:ind w:left="0"/>
        <w:jc w:val="left"/>
        <w:rPr>
          <w:b/>
          <w:sz w:val="47"/>
        </w:rPr>
      </w:pPr>
    </w:p>
    <w:p>
      <w:pPr>
        <w:pStyle w:val="Heading2"/>
      </w:pPr>
      <w:r>
        <w:rPr/>
        <w:t>Приложение Б1. Тактика ведения пациентов</w:t>
      </w:r>
    </w:p>
    <w:p>
      <w:pPr>
        <w:pStyle w:val="BodyText"/>
        <w:spacing w:before="5"/>
        <w:ind w:left="0"/>
        <w:jc w:val="left"/>
        <w:rPr>
          <w:b/>
          <w:sz w:val="29"/>
        </w:rPr>
      </w:pPr>
      <w:r>
        <w:rPr/>
        <w:drawing>
          <wp:anchor distT="0" distB="0" distL="0" distR="0" allowOverlap="1" layoutInCell="1" locked="0" behindDoc="0" simplePos="0" relativeHeight="314">
            <wp:simplePos x="0" y="0"/>
            <wp:positionH relativeFrom="page">
              <wp:posOffset>1158522</wp:posOffset>
            </wp:positionH>
            <wp:positionV relativeFrom="paragraph">
              <wp:posOffset>276986</wp:posOffset>
            </wp:positionV>
            <wp:extent cx="5322441" cy="4058792"/>
            <wp:effectExtent l="0" t="0" r="0" b="0"/>
            <wp:wrapTopAndBottom/>
            <wp:docPr id="23" name="image6.png"/>
            <wp:cNvGraphicFramePr>
              <a:graphicFrameLocks noChangeAspect="1"/>
            </wp:cNvGraphicFramePr>
            <a:graphic>
              <a:graphicData uri="http://schemas.openxmlformats.org/drawingml/2006/picture">
                <pic:pic>
                  <pic:nvPicPr>
                    <pic:cNvPr id="24" name="image6.png"/>
                    <pic:cNvPicPr/>
                  </pic:nvPicPr>
                  <pic:blipFill>
                    <a:blip r:embed="rId13" cstate="print"/>
                    <a:stretch>
                      <a:fillRect/>
                    </a:stretch>
                  </pic:blipFill>
                  <pic:spPr>
                    <a:xfrm>
                      <a:off x="0" y="0"/>
                      <a:ext cx="5322441" cy="4058792"/>
                    </a:xfrm>
                    <a:prstGeom prst="rect">
                      <a:avLst/>
                    </a:prstGeom>
                  </pic:spPr>
                </pic:pic>
              </a:graphicData>
            </a:graphic>
          </wp:anchor>
        </w:drawing>
      </w:r>
    </w:p>
    <w:p>
      <w:pPr>
        <w:pStyle w:val="BodyText"/>
        <w:spacing w:before="0"/>
        <w:ind w:left="0"/>
        <w:jc w:val="left"/>
        <w:rPr>
          <w:b/>
          <w:sz w:val="20"/>
        </w:rPr>
      </w:pPr>
    </w:p>
    <w:p>
      <w:pPr>
        <w:pStyle w:val="BodyText"/>
        <w:spacing w:before="0"/>
        <w:ind w:left="0"/>
        <w:jc w:val="left"/>
        <w:rPr>
          <w:b/>
          <w:sz w:val="20"/>
        </w:rPr>
      </w:pPr>
    </w:p>
    <w:p>
      <w:pPr>
        <w:spacing w:before="96"/>
        <w:ind w:left="380" w:right="0" w:firstLine="0"/>
        <w:jc w:val="both"/>
        <w:rPr>
          <w:b/>
          <w:sz w:val="33"/>
        </w:rPr>
      </w:pPr>
      <w:r>
        <w:rPr>
          <w:b/>
          <w:sz w:val="33"/>
        </w:rPr>
        <w:t>Приложение Б2. Алгоритм лечения АГ I–II стадий</w:t>
      </w:r>
    </w:p>
    <w:p>
      <w:pPr>
        <w:pStyle w:val="BodyText"/>
        <w:spacing w:before="9"/>
        <w:ind w:left="0"/>
        <w:jc w:val="left"/>
        <w:rPr>
          <w:b/>
          <w:sz w:val="30"/>
        </w:rPr>
      </w:pPr>
    </w:p>
    <w:p>
      <w:pPr>
        <w:pStyle w:val="BodyText"/>
        <w:spacing w:line="256" w:lineRule="auto" w:before="0"/>
        <w:ind w:left="380" w:right="128"/>
      </w:pPr>
      <w:r>
        <w:rPr/>
        <w:t>Этот алгоритм подходит для большинства пациентов с ПОМ, а также может быть использован при лечении пациентов с цереброваскулярной болезнью, СД или заболеваниями периферических артерий.</w:t>
      </w:r>
    </w:p>
    <w:p>
      <w:pPr>
        <w:spacing w:after="0" w:line="256" w:lineRule="auto"/>
        <w:sectPr>
          <w:pgSz w:w="11900" w:h="16840"/>
          <w:pgMar w:top="600" w:bottom="280" w:left="1420" w:right="1520"/>
        </w:sectPr>
      </w:pPr>
    </w:p>
    <w:p>
      <w:pPr>
        <w:pStyle w:val="BodyText"/>
        <w:spacing w:before="0"/>
        <w:ind w:left="563"/>
        <w:jc w:val="left"/>
        <w:rPr>
          <w:sz w:val="20"/>
        </w:rPr>
      </w:pPr>
      <w:r>
        <w:rPr>
          <w:sz w:val="20"/>
        </w:rPr>
        <w:drawing>
          <wp:inline distT="0" distB="0" distL="0" distR="0">
            <wp:extent cx="5018453" cy="3590925"/>
            <wp:effectExtent l="0" t="0" r="0" b="0"/>
            <wp:docPr id="25" name="image7.png"/>
            <wp:cNvGraphicFramePr>
              <a:graphicFrameLocks noChangeAspect="1"/>
            </wp:cNvGraphicFramePr>
            <a:graphic>
              <a:graphicData uri="http://schemas.openxmlformats.org/drawingml/2006/picture">
                <pic:pic>
                  <pic:nvPicPr>
                    <pic:cNvPr id="26" name="image7.png"/>
                    <pic:cNvPicPr/>
                  </pic:nvPicPr>
                  <pic:blipFill>
                    <a:blip r:embed="rId14" cstate="print"/>
                    <a:stretch>
                      <a:fillRect/>
                    </a:stretch>
                  </pic:blipFill>
                  <pic:spPr>
                    <a:xfrm>
                      <a:off x="0" y="0"/>
                      <a:ext cx="5018453" cy="3590925"/>
                    </a:xfrm>
                    <a:prstGeom prst="rect">
                      <a:avLst/>
                    </a:prstGeom>
                  </pic:spPr>
                </pic:pic>
              </a:graphicData>
            </a:graphic>
          </wp:inline>
        </w:drawing>
      </w:r>
      <w:r>
        <w:rPr>
          <w:sz w:val="20"/>
        </w:rPr>
      </w: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0"/>
        <w:ind w:left="0"/>
        <w:jc w:val="left"/>
        <w:rPr>
          <w:sz w:val="20"/>
        </w:rPr>
      </w:pPr>
    </w:p>
    <w:p>
      <w:pPr>
        <w:pStyle w:val="BodyText"/>
        <w:spacing w:before="10"/>
        <w:ind w:left="0"/>
        <w:jc w:val="left"/>
        <w:rPr>
          <w:sz w:val="23"/>
        </w:rPr>
      </w:pPr>
    </w:p>
    <w:p>
      <w:pPr>
        <w:pStyle w:val="Heading2"/>
        <w:spacing w:line="177" w:lineRule="auto" w:before="187"/>
        <w:ind w:right="1390"/>
      </w:pPr>
      <w:r>
        <w:rPr/>
        <w:t>Приложение Б3. Стратегия лекарственной терапии при сочетании АГ и ХБП</w:t>
      </w:r>
    </w:p>
    <w:p>
      <w:pPr>
        <w:pStyle w:val="BodyText"/>
        <w:spacing w:before="0"/>
        <w:ind w:left="0"/>
        <w:jc w:val="left"/>
        <w:rPr>
          <w:b/>
          <w:sz w:val="20"/>
        </w:rPr>
      </w:pPr>
    </w:p>
    <w:p>
      <w:pPr>
        <w:pStyle w:val="BodyText"/>
        <w:spacing w:before="11"/>
        <w:ind w:left="0"/>
        <w:jc w:val="left"/>
        <w:rPr>
          <w:b/>
          <w:sz w:val="21"/>
        </w:rPr>
      </w:pPr>
      <w:r>
        <w:rPr/>
        <w:drawing>
          <wp:anchor distT="0" distB="0" distL="0" distR="0" allowOverlap="1" layoutInCell="1" locked="0" behindDoc="0" simplePos="0" relativeHeight="315">
            <wp:simplePos x="0" y="0"/>
            <wp:positionH relativeFrom="page">
              <wp:posOffset>1388283</wp:posOffset>
            </wp:positionH>
            <wp:positionV relativeFrom="paragraph">
              <wp:posOffset>211885</wp:posOffset>
            </wp:positionV>
            <wp:extent cx="4993653" cy="3431381"/>
            <wp:effectExtent l="0" t="0" r="0" b="0"/>
            <wp:wrapTopAndBottom/>
            <wp:docPr id="27" name="image8.png"/>
            <wp:cNvGraphicFramePr>
              <a:graphicFrameLocks noChangeAspect="1"/>
            </wp:cNvGraphicFramePr>
            <a:graphic>
              <a:graphicData uri="http://schemas.openxmlformats.org/drawingml/2006/picture">
                <pic:pic>
                  <pic:nvPicPr>
                    <pic:cNvPr id="28" name="image8.png"/>
                    <pic:cNvPicPr/>
                  </pic:nvPicPr>
                  <pic:blipFill>
                    <a:blip r:embed="rId15" cstate="print"/>
                    <a:stretch>
                      <a:fillRect/>
                    </a:stretch>
                  </pic:blipFill>
                  <pic:spPr>
                    <a:xfrm>
                      <a:off x="0" y="0"/>
                      <a:ext cx="4993653" cy="3431381"/>
                    </a:xfrm>
                    <a:prstGeom prst="rect">
                      <a:avLst/>
                    </a:prstGeom>
                  </pic:spPr>
                </pic:pic>
              </a:graphicData>
            </a:graphic>
          </wp:anchor>
        </w:drawing>
      </w:r>
    </w:p>
    <w:p>
      <w:pPr>
        <w:pStyle w:val="BodyText"/>
        <w:spacing w:before="7"/>
        <w:ind w:left="0"/>
        <w:jc w:val="left"/>
        <w:rPr>
          <w:b/>
          <w:sz w:val="19"/>
        </w:rPr>
      </w:pPr>
    </w:p>
    <w:p>
      <w:pPr>
        <w:pStyle w:val="BodyText"/>
        <w:spacing w:line="256" w:lineRule="auto" w:before="92"/>
        <w:ind w:left="380" w:right="136"/>
      </w:pPr>
      <w:r>
        <w:rPr>
          <w:position w:val="14"/>
        </w:rPr>
        <w:t>1</w:t>
      </w:r>
      <w:r>
        <w:rPr/>
        <w:t>У пациентов с ХБП, получающих антигипертензивную терапию, особенно ИАПФ или </w:t>
      </w:r>
      <w:r>
        <w:rPr>
          <w:spacing w:val="-5"/>
        </w:rPr>
        <w:t>БРА, </w:t>
      </w:r>
      <w:r>
        <w:rPr/>
        <w:t>можно ожидать повышения уровня креатинина. Значительное повышение уровня креатинина на фоне назначения блокаторов </w:t>
      </w:r>
      <w:r>
        <w:rPr>
          <w:spacing w:val="-9"/>
        </w:rPr>
        <w:t>РААС </w:t>
      </w:r>
      <w:r>
        <w:rPr/>
        <w:t>требует обследования пациента для исключения реноваскулярного</w:t>
      </w:r>
      <w:r>
        <w:rPr>
          <w:spacing w:val="-3"/>
        </w:rPr>
        <w:t> </w:t>
      </w:r>
      <w:r>
        <w:rPr/>
        <w:t>заболевания.</w:t>
      </w:r>
    </w:p>
    <w:p>
      <w:pPr>
        <w:spacing w:after="0" w:line="256" w:lineRule="auto"/>
        <w:sectPr>
          <w:pgSz w:w="11900" w:h="16840"/>
          <w:pgMar w:top="200" w:bottom="0" w:left="1420" w:right="1520"/>
        </w:sectPr>
      </w:pPr>
    </w:p>
    <w:p>
      <w:pPr>
        <w:pStyle w:val="BodyText"/>
        <w:spacing w:line="256" w:lineRule="auto" w:before="16"/>
        <w:ind w:left="380" w:right="139"/>
        <w:rPr>
          <w:b/>
        </w:rPr>
      </w:pPr>
      <w:r>
        <w:rPr/>
        <w:t>²Диуретик — тиазидный или тиазидоподобный диуретик. Оценить целесообразность назначения петлевых диуретиков у пациентов с отеками</w:t>
      </w:r>
      <w:r>
        <w:rPr>
          <w:b/>
        </w:rPr>
        <w:t>.</w:t>
      </w:r>
    </w:p>
    <w:p>
      <w:pPr>
        <w:pStyle w:val="BodyText"/>
        <w:spacing w:line="184" w:lineRule="auto" w:before="197"/>
        <w:ind w:left="380" w:right="129"/>
        <w:jc w:val="left"/>
      </w:pPr>
      <w:r>
        <w:rPr>
          <w:position w:val="14"/>
        </w:rPr>
        <w:t>3</w:t>
      </w:r>
      <w:r>
        <w:rPr/>
        <w:t>Риск гиперкалиемии при назначении спиронолактона, особенно при исходной СКФ &lt;45 мл/мин/1,73 м</w:t>
      </w:r>
      <w:r>
        <w:rPr>
          <w:position w:val="14"/>
        </w:rPr>
        <w:t>2 </w:t>
      </w:r>
      <w:r>
        <w:rPr/>
        <w:t>и уровне калия 4,5 ммоль/</w:t>
      </w:r>
    </w:p>
    <w:p>
      <w:pPr>
        <w:pStyle w:val="BodyText"/>
        <w:spacing w:before="14"/>
        <w:ind w:left="380"/>
        <w:jc w:val="left"/>
      </w:pPr>
      <w:r>
        <w:rPr>
          <w:w w:val="105"/>
        </w:rPr>
        <w:t>л.</w:t>
      </w:r>
    </w:p>
    <w:p>
      <w:pPr>
        <w:pStyle w:val="BodyText"/>
        <w:spacing w:before="0"/>
        <w:ind w:left="0"/>
        <w:jc w:val="left"/>
        <w:rPr>
          <w:sz w:val="36"/>
        </w:rPr>
      </w:pPr>
    </w:p>
    <w:p>
      <w:pPr>
        <w:pStyle w:val="BodyText"/>
        <w:spacing w:before="0"/>
        <w:ind w:left="0"/>
        <w:jc w:val="left"/>
        <w:rPr>
          <w:sz w:val="36"/>
        </w:rPr>
      </w:pPr>
    </w:p>
    <w:p>
      <w:pPr>
        <w:pStyle w:val="BodyText"/>
        <w:spacing w:before="5"/>
        <w:ind w:left="0"/>
        <w:jc w:val="left"/>
        <w:rPr>
          <w:sz w:val="35"/>
        </w:rPr>
      </w:pPr>
    </w:p>
    <w:p>
      <w:pPr>
        <w:pStyle w:val="Heading2"/>
        <w:spacing w:line="177" w:lineRule="auto"/>
        <w:ind w:right="1390"/>
      </w:pPr>
      <w:r>
        <w:rPr/>
        <w:t>Приложение Б4. Стратегия лекарственной терапии при сочетании АГ и ИБС</w:t>
      </w:r>
    </w:p>
    <w:p>
      <w:pPr>
        <w:pStyle w:val="BodyText"/>
        <w:spacing w:before="0"/>
        <w:ind w:left="0"/>
        <w:jc w:val="left"/>
        <w:rPr>
          <w:b/>
          <w:sz w:val="20"/>
        </w:rPr>
      </w:pPr>
    </w:p>
    <w:p>
      <w:pPr>
        <w:pStyle w:val="BodyText"/>
        <w:spacing w:before="7"/>
        <w:ind w:left="0"/>
        <w:jc w:val="left"/>
        <w:rPr>
          <w:b/>
          <w:sz w:val="20"/>
        </w:rPr>
      </w:pPr>
      <w:r>
        <w:rPr/>
        <w:drawing>
          <wp:anchor distT="0" distB="0" distL="0" distR="0" allowOverlap="1" layoutInCell="1" locked="0" behindDoc="0" simplePos="0" relativeHeight="316">
            <wp:simplePos x="0" y="0"/>
            <wp:positionH relativeFrom="page">
              <wp:posOffset>1478474</wp:posOffset>
            </wp:positionH>
            <wp:positionV relativeFrom="paragraph">
              <wp:posOffset>200843</wp:posOffset>
            </wp:positionV>
            <wp:extent cx="4804771" cy="3199638"/>
            <wp:effectExtent l="0" t="0" r="0" b="0"/>
            <wp:wrapTopAndBottom/>
            <wp:docPr id="29" name="image9.png"/>
            <wp:cNvGraphicFramePr>
              <a:graphicFrameLocks noChangeAspect="1"/>
            </wp:cNvGraphicFramePr>
            <a:graphic>
              <a:graphicData uri="http://schemas.openxmlformats.org/drawingml/2006/picture">
                <pic:pic>
                  <pic:nvPicPr>
                    <pic:cNvPr id="30" name="image9.png"/>
                    <pic:cNvPicPr/>
                  </pic:nvPicPr>
                  <pic:blipFill>
                    <a:blip r:embed="rId16" cstate="print"/>
                    <a:stretch>
                      <a:fillRect/>
                    </a:stretch>
                  </pic:blipFill>
                  <pic:spPr>
                    <a:xfrm>
                      <a:off x="0" y="0"/>
                      <a:ext cx="4804771" cy="3199638"/>
                    </a:xfrm>
                    <a:prstGeom prst="rect">
                      <a:avLst/>
                    </a:prstGeom>
                  </pic:spPr>
                </pic:pic>
              </a:graphicData>
            </a:graphic>
          </wp:anchor>
        </w:drawing>
      </w:r>
    </w:p>
    <w:p>
      <w:pPr>
        <w:pStyle w:val="BodyText"/>
        <w:spacing w:before="0"/>
        <w:ind w:left="0"/>
        <w:jc w:val="left"/>
        <w:rPr>
          <w:b/>
          <w:sz w:val="20"/>
        </w:rPr>
      </w:pPr>
    </w:p>
    <w:p>
      <w:pPr>
        <w:pStyle w:val="BodyText"/>
        <w:spacing w:before="0"/>
        <w:ind w:left="0"/>
        <w:jc w:val="left"/>
        <w:rPr>
          <w:b/>
          <w:sz w:val="20"/>
        </w:rPr>
      </w:pPr>
    </w:p>
    <w:p>
      <w:pPr>
        <w:pStyle w:val="BodyText"/>
        <w:spacing w:before="4"/>
        <w:ind w:left="0"/>
        <w:jc w:val="left"/>
        <w:rPr>
          <w:b/>
          <w:sz w:val="23"/>
        </w:rPr>
      </w:pPr>
    </w:p>
    <w:p>
      <w:pPr>
        <w:spacing w:line="177" w:lineRule="auto" w:before="186"/>
        <w:ind w:left="380" w:right="504" w:firstLine="0"/>
        <w:jc w:val="left"/>
        <w:rPr>
          <w:b/>
          <w:sz w:val="33"/>
        </w:rPr>
      </w:pPr>
      <w:r>
        <w:rPr>
          <w:b/>
          <w:sz w:val="33"/>
        </w:rPr>
        <w:t>Приложение Б5. Стратегия лекарственной терапии при сочетании АГ и </w:t>
      </w:r>
      <w:r>
        <w:rPr>
          <w:b/>
          <w:spacing w:val="-5"/>
          <w:sz w:val="33"/>
        </w:rPr>
        <w:t>ХСН </w:t>
      </w:r>
      <w:r>
        <w:rPr>
          <w:b/>
          <w:spacing w:val="-3"/>
          <w:sz w:val="33"/>
        </w:rPr>
        <w:t>со </w:t>
      </w:r>
      <w:r>
        <w:rPr>
          <w:b/>
          <w:sz w:val="33"/>
        </w:rPr>
        <w:t>сниженной ФВ левого </w:t>
      </w:r>
      <w:r>
        <w:rPr>
          <w:b/>
          <w:spacing w:val="-3"/>
          <w:sz w:val="33"/>
        </w:rPr>
        <w:t>желудочка</w:t>
      </w:r>
    </w:p>
    <w:p>
      <w:pPr>
        <w:spacing w:after="0" w:line="177" w:lineRule="auto"/>
        <w:jc w:val="left"/>
        <w:rPr>
          <w:sz w:val="33"/>
        </w:rPr>
        <w:sectPr>
          <w:pgSz w:w="11900" w:h="16840"/>
          <w:pgMar w:top="0" w:bottom="280" w:left="1420" w:right="1520"/>
        </w:sectPr>
      </w:pPr>
    </w:p>
    <w:p>
      <w:pPr>
        <w:pStyle w:val="BodyText"/>
        <w:spacing w:before="0"/>
        <w:ind w:left="625"/>
        <w:jc w:val="left"/>
        <w:rPr>
          <w:sz w:val="20"/>
        </w:rPr>
      </w:pPr>
      <w:r>
        <w:rPr>
          <w:sz w:val="20"/>
        </w:rPr>
        <w:drawing>
          <wp:inline distT="0" distB="0" distL="0" distR="0">
            <wp:extent cx="4957406" cy="2544318"/>
            <wp:effectExtent l="0" t="0" r="0" b="0"/>
            <wp:docPr id="31" name="image10.png"/>
            <wp:cNvGraphicFramePr>
              <a:graphicFrameLocks noChangeAspect="1"/>
            </wp:cNvGraphicFramePr>
            <a:graphic>
              <a:graphicData uri="http://schemas.openxmlformats.org/drawingml/2006/picture">
                <pic:pic>
                  <pic:nvPicPr>
                    <pic:cNvPr id="32" name="image10.png"/>
                    <pic:cNvPicPr/>
                  </pic:nvPicPr>
                  <pic:blipFill>
                    <a:blip r:embed="rId17" cstate="print"/>
                    <a:stretch>
                      <a:fillRect/>
                    </a:stretch>
                  </pic:blipFill>
                  <pic:spPr>
                    <a:xfrm>
                      <a:off x="0" y="0"/>
                      <a:ext cx="4957406" cy="2544318"/>
                    </a:xfrm>
                    <a:prstGeom prst="rect">
                      <a:avLst/>
                    </a:prstGeom>
                  </pic:spPr>
                </pic:pic>
              </a:graphicData>
            </a:graphic>
          </wp:inline>
        </w:drawing>
      </w:r>
      <w:r>
        <w:rPr>
          <w:sz w:val="20"/>
        </w:rPr>
      </w: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12"/>
        <w:ind w:left="0"/>
        <w:jc w:val="left"/>
        <w:rPr>
          <w:b/>
          <w:sz w:val="26"/>
        </w:rPr>
      </w:pPr>
    </w:p>
    <w:p>
      <w:pPr>
        <w:pStyle w:val="Heading2"/>
        <w:spacing w:line="177" w:lineRule="auto" w:before="187"/>
        <w:ind w:right="1390"/>
      </w:pPr>
      <w:r>
        <w:rPr/>
        <w:t>Приложение Б6. Стратегия лекарственной терапии при сочетании АГ и ФП</w:t>
      </w:r>
    </w:p>
    <w:p>
      <w:pPr>
        <w:pStyle w:val="BodyText"/>
        <w:spacing w:before="0"/>
        <w:ind w:left="0"/>
        <w:jc w:val="left"/>
        <w:rPr>
          <w:b/>
          <w:sz w:val="20"/>
        </w:rPr>
      </w:pPr>
    </w:p>
    <w:p>
      <w:pPr>
        <w:pStyle w:val="BodyText"/>
        <w:ind w:left="0"/>
        <w:jc w:val="left"/>
        <w:rPr>
          <w:b/>
          <w:sz w:val="23"/>
        </w:rPr>
      </w:pPr>
      <w:r>
        <w:rPr/>
        <w:drawing>
          <wp:anchor distT="0" distB="0" distL="0" distR="0" allowOverlap="1" layoutInCell="1" locked="0" behindDoc="0" simplePos="0" relativeHeight="317">
            <wp:simplePos x="0" y="0"/>
            <wp:positionH relativeFrom="page">
              <wp:posOffset>1343022</wp:posOffset>
            </wp:positionH>
            <wp:positionV relativeFrom="paragraph">
              <wp:posOffset>222684</wp:posOffset>
            </wp:positionV>
            <wp:extent cx="4774023" cy="3531870"/>
            <wp:effectExtent l="0" t="0" r="0" b="0"/>
            <wp:wrapTopAndBottom/>
            <wp:docPr id="33" name="image11.png"/>
            <wp:cNvGraphicFramePr>
              <a:graphicFrameLocks noChangeAspect="1"/>
            </wp:cNvGraphicFramePr>
            <a:graphic>
              <a:graphicData uri="http://schemas.openxmlformats.org/drawingml/2006/picture">
                <pic:pic>
                  <pic:nvPicPr>
                    <pic:cNvPr id="34" name="image11.png"/>
                    <pic:cNvPicPr/>
                  </pic:nvPicPr>
                  <pic:blipFill>
                    <a:blip r:embed="rId18" cstate="print"/>
                    <a:stretch>
                      <a:fillRect/>
                    </a:stretch>
                  </pic:blipFill>
                  <pic:spPr>
                    <a:xfrm>
                      <a:off x="0" y="0"/>
                      <a:ext cx="4774023" cy="3531870"/>
                    </a:xfrm>
                    <a:prstGeom prst="rect">
                      <a:avLst/>
                    </a:prstGeom>
                  </pic:spPr>
                </pic:pic>
              </a:graphicData>
            </a:graphic>
          </wp:anchor>
        </w:drawing>
      </w:r>
    </w:p>
    <w:p>
      <w:pPr>
        <w:pStyle w:val="BodyText"/>
        <w:spacing w:before="7"/>
        <w:ind w:left="0"/>
        <w:jc w:val="left"/>
        <w:rPr>
          <w:b/>
          <w:sz w:val="16"/>
        </w:rPr>
      </w:pPr>
    </w:p>
    <w:p>
      <w:pPr>
        <w:pStyle w:val="BodyText"/>
        <w:spacing w:line="237" w:lineRule="auto" w:before="100"/>
        <w:ind w:left="380" w:right="135"/>
      </w:pPr>
      <w:r>
        <w:rPr/>
        <w:t>Оральные антикоагулянты должны быть назначены по показаниям в соответствии с оценкой риска по CHA</w:t>
      </w:r>
      <w:r>
        <w:rPr>
          <w:position w:val="-5"/>
        </w:rPr>
        <w:t>2</w:t>
      </w:r>
      <w:r>
        <w:rPr/>
        <w:t>DS</w:t>
      </w:r>
      <w:r>
        <w:rPr>
          <w:position w:val="-5"/>
        </w:rPr>
        <w:t>2</w:t>
      </w:r>
      <w:r>
        <w:rPr/>
        <w:t>Vasc при отсутствии противопоказаний.</w:t>
      </w:r>
    </w:p>
    <w:p>
      <w:pPr>
        <w:spacing w:after="0" w:line="237" w:lineRule="auto"/>
        <w:sectPr>
          <w:pgSz w:w="11900" w:h="16840"/>
          <w:pgMar w:top="200" w:bottom="280" w:left="1420" w:right="1520"/>
        </w:sectPr>
      </w:pPr>
    </w:p>
    <w:p>
      <w:pPr>
        <w:pStyle w:val="Heading1"/>
        <w:spacing w:line="177" w:lineRule="auto" w:before="197"/>
        <w:ind w:right="568"/>
      </w:pPr>
      <w:r>
        <w:rPr/>
        <w:t>Приложение В. Информация</w:t>
      </w:r>
      <w:r>
        <w:rPr>
          <w:spacing w:val="-76"/>
        </w:rPr>
        <w:t> </w:t>
      </w:r>
      <w:r>
        <w:rPr/>
        <w:t>для пациентов</w:t>
      </w:r>
    </w:p>
    <w:p>
      <w:pPr>
        <w:pStyle w:val="BodyText"/>
        <w:spacing w:line="256" w:lineRule="auto" w:before="422"/>
        <w:ind w:left="380" w:right="131"/>
      </w:pPr>
      <w:r>
        <w:rPr/>
        <w:t>Гипертоническая болезнь — заболевание, основным симптомом которого является повышение артериального давления выше 140/90 мм рт. ст., что приводит к поражению мозга, сердца,  почек.</w:t>
      </w:r>
    </w:p>
    <w:p>
      <w:pPr>
        <w:pStyle w:val="BodyText"/>
        <w:spacing w:line="256" w:lineRule="auto" w:before="272"/>
        <w:ind w:left="380" w:right="132"/>
      </w:pPr>
      <w:r>
        <w:rPr>
          <w:spacing w:val="-5"/>
        </w:rPr>
        <w:t>Только </w:t>
      </w:r>
      <w:r>
        <w:rPr/>
        <w:t>50% люде</w:t>
      </w:r>
      <w:r>
        <w:rPr>
          <w:rFonts w:ascii="Times New Roman" w:hAnsi="Times New Roman"/>
        </w:rPr>
        <w:t>й̆ </w:t>
      </w:r>
      <w:r>
        <w:rPr/>
        <w:t>с повышенным артериальным давлением знают, что больны, из них систематически лечатся далеко не все. Нелеченная гипертоническая болезнь опасна осложнениями, главные из которых — инсульт, инфаркт миокарда, сердечная недостаточность, почечная</w:t>
      </w:r>
      <w:r>
        <w:rPr>
          <w:spacing w:val="1"/>
        </w:rPr>
        <w:t> </w:t>
      </w:r>
      <w:r>
        <w:rPr/>
        <w:t>недостаточность.</w:t>
      </w:r>
    </w:p>
    <w:p>
      <w:pPr>
        <w:pStyle w:val="BodyText"/>
        <w:spacing w:line="256" w:lineRule="auto" w:before="272"/>
        <w:ind w:left="380" w:right="133"/>
      </w:pPr>
      <w:r>
        <w:rPr>
          <w:spacing w:val="-3"/>
        </w:rPr>
        <w:t>Главным </w:t>
      </w:r>
      <w:r>
        <w:rPr/>
        <w:t>фактором снижения риска смерти, инсульта и инфаркта миокарда является контроль АД и поддержание его на уровне как минимум &lt;140/90 мм рт. ст., поэтому важен самоконтроль АД в домашних условиях с использованием сертифицированных аппаратов для измерения АД. При этом необходимо выполнение следующих</w:t>
      </w:r>
      <w:r>
        <w:rPr>
          <w:spacing w:val="-3"/>
        </w:rPr>
        <w:t> </w:t>
      </w:r>
      <w:r>
        <w:rPr/>
        <w:t>правил:</w:t>
      </w:r>
    </w:p>
    <w:p>
      <w:pPr>
        <w:pStyle w:val="BodyText"/>
        <w:spacing w:line="256" w:lineRule="auto" w:before="272"/>
        <w:ind w:left="695" w:right="129"/>
        <w:jc w:val="left"/>
      </w:pPr>
      <w:r>
        <w:rPr/>
        <w:pict>
          <v:shape style="position:absolute;margin-left:91.538452pt;margin-top:21.019365pt;width:4.55pt;height:4.55pt;mso-position-horizontal-relative:page;mso-position-vertical-relative:paragraph;z-index:15891456" coordorigin="1831,420" coordsize="91,91" path="m1888,510l1863,510,1853,506,1835,488,1831,478,1831,453,1835,442,1853,425,1863,420,1888,420,1899,425,1916,442,1921,453,1921,465,1921,478,1916,488,1899,506,1888,510xe" filled="true" fillcolor="#000000" stroked="false">
            <v:path arrowok="t"/>
            <v:fill type="solid"/>
            <w10:wrap type="none"/>
          </v:shape>
        </w:pict>
      </w:r>
      <w:r>
        <w:rPr/>
        <w:t>перед измерением АД необходимы минимум 5 мин </w:t>
      </w:r>
      <w:r>
        <w:rPr>
          <w:spacing w:val="-3"/>
        </w:rPr>
        <w:t>отдыха </w:t>
      </w:r>
      <w:r>
        <w:rPr/>
        <w:t>в положении</w:t>
      </w:r>
      <w:r>
        <w:rPr>
          <w:spacing w:val="-3"/>
        </w:rPr>
        <w:t> </w:t>
      </w:r>
      <w:r>
        <w:rPr/>
        <w:t>сидя;</w:t>
      </w:r>
    </w:p>
    <w:p>
      <w:pPr>
        <w:pStyle w:val="BodyText"/>
        <w:tabs>
          <w:tab w:pos="1977" w:val="left" w:leader="none"/>
          <w:tab w:pos="2606" w:val="left" w:leader="none"/>
          <w:tab w:pos="3776" w:val="left" w:leader="none"/>
          <w:tab w:pos="4354" w:val="left" w:leader="none"/>
          <w:tab w:pos="5531" w:val="left" w:leader="none"/>
          <w:tab w:pos="5950" w:val="left" w:leader="none"/>
          <w:tab w:pos="6464" w:val="left" w:leader="none"/>
          <w:tab w:pos="7270" w:val="left" w:leader="none"/>
          <w:tab w:pos="7740" w:val="left" w:leader="none"/>
        </w:tabs>
        <w:spacing w:line="256" w:lineRule="auto"/>
        <w:ind w:left="695" w:right="129"/>
        <w:jc w:val="left"/>
      </w:pPr>
      <w:r>
        <w:rPr/>
        <w:pict>
          <v:shape style="position:absolute;margin-left:91.538452pt;margin-top:7.469371pt;width:4.55pt;height:4.55pt;mso-position-horizontal-relative:page;mso-position-vertical-relative:paragraph;z-index:15891968"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pict>
          <v:shape style="position:absolute;margin-left:91.538452pt;margin-top:85.502159pt;width:4.55pt;height:4.55pt;mso-position-horizontal-relative:page;mso-position-vertical-relative:paragraph;z-index:15892480" coordorigin="1831,1710" coordsize="91,91" path="m1876,1800l1863,1800,1853,1795,1835,1778,1831,1767,1831,1743,1835,1732,1853,1715,1863,1710,1888,1710,1899,1715,1916,1732,1921,1743,1921,1755,1921,1767,1916,1778,1899,1795,1888,1800,1876,1800xe" filled="true" fillcolor="#000000" stroked="false">
            <v:path arrowok="t"/>
            <v:fill type="solid"/>
            <w10:wrap type="none"/>
          </v:shape>
        </w:pict>
      </w:r>
      <w:r>
        <w:rPr/>
        <w:t>сидеть во время измерения АД нужно с полной опорой стоп на пол, не перекрещивая и не поджимая ноги, положив руку на </w:t>
      </w:r>
      <w:r>
        <w:rPr>
          <w:spacing w:val="-4"/>
        </w:rPr>
        <w:t>стол </w:t>
      </w:r>
      <w:r>
        <w:rPr/>
        <w:t>так, чтобы наложенная на плечо манжета была на уровне сердца, спина и рука с манжетой должны быть расслаблены; необходимо</w:t>
        <w:tab/>
        <w:t>выполнять</w:t>
        <w:tab/>
        <w:t>минимум</w:t>
        <w:tab/>
        <w:t>2</w:t>
        <w:tab/>
      </w:r>
      <w:r>
        <w:rPr>
          <w:spacing w:val="-1"/>
        </w:rPr>
        <w:t>последовательных </w:t>
      </w:r>
      <w:r>
        <w:rPr/>
        <w:t>измерения АД утром и вечером ежедневно, </w:t>
      </w:r>
      <w:r>
        <w:rPr>
          <w:spacing w:val="-4"/>
        </w:rPr>
        <w:t>хотя </w:t>
      </w:r>
      <w:r>
        <w:rPr/>
        <w:t>бы за 7 дней  до планового визита к врачу или после изменения терапии; </w:t>
      </w:r>
      <w:r>
        <w:rPr>
          <w:spacing w:val="-3"/>
        </w:rPr>
        <w:t>следует</w:t>
        <w:tab/>
      </w:r>
      <w:r>
        <w:rPr/>
        <w:t>записывать</w:t>
        <w:tab/>
        <w:t>результаты</w:t>
        <w:tab/>
        <w:t>измерений</w:t>
        <w:tab/>
        <w:t>в</w:t>
        <w:tab/>
        <w:t>дневник самоконтроля;</w:t>
      </w:r>
    </w:p>
    <w:p>
      <w:pPr>
        <w:pStyle w:val="BodyText"/>
        <w:spacing w:line="256" w:lineRule="auto" w:before="4"/>
        <w:ind w:left="695"/>
        <w:jc w:val="left"/>
      </w:pPr>
      <w:r>
        <w:rPr/>
        <w:pict>
          <v:shape style="position:absolute;margin-left:91.538452pt;margin-top:7.619378pt;width:4.55pt;height:4.55pt;mso-position-horizontal-relative:page;mso-position-vertical-relative:paragraph;z-index:15892992" coordorigin="1831,152" coordsize="91,91" path="m1876,242l1863,242,1853,238,1835,220,1831,210,1831,185,1835,174,1853,157,1863,152,1888,152,1899,157,1916,174,1921,185,1921,197,1921,210,1916,220,1899,238,1888,242,1876,242xe" filled="true" fillcolor="#000000" stroked="false">
            <v:path arrowok="t"/>
            <v:fill type="solid"/>
            <w10:wrap type="none"/>
          </v:shape>
        </w:pict>
      </w:r>
      <w:r>
        <w:rPr/>
        <w:t>минимум за 30 мин до измерения АД не следует курить и употреблять кофеинсодержащие напитки;</w:t>
      </w:r>
    </w:p>
    <w:p>
      <w:pPr>
        <w:pStyle w:val="BodyText"/>
        <w:spacing w:line="256" w:lineRule="auto" w:before="0"/>
        <w:ind w:left="695" w:right="129"/>
        <w:jc w:val="left"/>
      </w:pPr>
      <w:r>
        <w:rPr/>
        <w:pict>
          <v:shape style="position:absolute;margin-left:91.538452pt;margin-top:7.419383pt;width:4.55pt;height:4.55pt;mso-position-horizontal-relative:page;mso-position-vertical-relative:paragraph;z-index:15893504" coordorigin="1831,148" coordsize="91,91" path="m1888,238l1863,238,1853,234,1835,216,1831,206,1831,181,1835,170,1853,153,1863,148,1888,148,1899,153,1916,170,1921,181,1921,193,1921,206,1916,216,1899,234,1888,238xe" filled="true" fillcolor="#000000" stroked="false">
            <v:path arrowok="t"/>
            <v:fill type="solid"/>
            <w10:wrap type="none"/>
          </v:shape>
        </w:pict>
      </w:r>
      <w:r>
        <w:rPr/>
        <w:t>во время измерения АД одежда не должна плотно охватывать плечо, создавая складки и дополнительную компрессию.</w:t>
      </w:r>
    </w:p>
    <w:p>
      <w:pPr>
        <w:pStyle w:val="BodyText"/>
        <w:spacing w:line="256" w:lineRule="auto" w:before="271"/>
        <w:ind w:left="380" w:right="134"/>
      </w:pPr>
      <w:r>
        <w:rPr/>
        <w:t>Пациент и члены его семьи должны владеть методикой измерения АД, уметь вести дневник АД с записью</w:t>
      </w:r>
      <w:r>
        <w:rPr>
          <w:spacing w:val="-16"/>
        </w:rPr>
        <w:t> </w:t>
      </w:r>
      <w:r>
        <w:rPr/>
        <w:t>цифр.</w:t>
      </w:r>
    </w:p>
    <w:p>
      <w:pPr>
        <w:spacing w:after="0" w:line="256" w:lineRule="auto"/>
        <w:sectPr>
          <w:pgSz w:w="11900" w:h="16840"/>
          <w:pgMar w:top="600" w:bottom="280" w:left="1420" w:right="1520"/>
        </w:sectPr>
      </w:pPr>
    </w:p>
    <w:p>
      <w:pPr>
        <w:pStyle w:val="BodyText"/>
        <w:spacing w:line="256" w:lineRule="auto" w:before="16"/>
        <w:ind w:left="380" w:right="137"/>
      </w:pPr>
      <w:r>
        <w:rPr/>
        <w:t>Если пациент получает антигипертензивные препараты, он должен быть осведомлен об ожидаемом эффекте, изменениях самочувствия и качестве жизни в ходе терапии, возможных побочных эффектах и способах их устранения.</w:t>
      </w:r>
    </w:p>
    <w:p>
      <w:pPr>
        <w:pStyle w:val="BodyText"/>
        <w:spacing w:line="256" w:lineRule="auto" w:before="272"/>
        <w:ind w:left="380" w:right="129"/>
      </w:pPr>
      <w:r>
        <w:rPr/>
        <w:t>Пациент должен знать об имеющихся у него и членов его семьи сердечно-сосудистых факторах риска — это курение, избыточная масса тела, психоэмоциональный стресс, малоподвижный образ жизни, повышенный уровень холестерина. Влияние указанных факторов риска может быть снижено. Особенно важна коррекция изменяемых факторов риска при наличии у пациента и членов его семьи некорригируемых факторов риска, к которым относятся: наличие в семейном анамнезе ранних </w:t>
      </w:r>
      <w:r>
        <w:rPr>
          <w:spacing w:val="-3"/>
        </w:rPr>
        <w:t>мозговых </w:t>
      </w:r>
      <w:r>
        <w:rPr/>
        <w:t>инсультов, инфарктов миокарда, сахарного диабета; мужской  пол; пожилой возраст; физиологическая или хирургическая менопауза у</w:t>
      </w:r>
      <w:r>
        <w:rPr>
          <w:spacing w:val="-5"/>
        </w:rPr>
        <w:t> </w:t>
      </w:r>
      <w:r>
        <w:rPr/>
        <w:t>женщин.</w:t>
      </w:r>
    </w:p>
    <w:p>
      <w:pPr>
        <w:pStyle w:val="BodyText"/>
        <w:spacing w:line="256" w:lineRule="auto" w:before="275"/>
        <w:ind w:left="380" w:right="129"/>
      </w:pPr>
      <w:r>
        <w:rPr/>
        <w:t>Коррекцию факторов риска требуется проводить не только пациенту, но и членам его семьи. Она осуществляется путем реализации программ семейной первичной профилактики и воспитания, составленных врачом.</w:t>
      </w:r>
    </w:p>
    <w:p>
      <w:pPr>
        <w:pStyle w:val="BodyText"/>
        <w:spacing w:before="13"/>
        <w:ind w:left="0"/>
        <w:jc w:val="left"/>
        <w:rPr>
          <w:sz w:val="24"/>
        </w:rPr>
      </w:pPr>
    </w:p>
    <w:p>
      <w:pPr>
        <w:pStyle w:val="BodyText"/>
        <w:spacing w:line="184" w:lineRule="auto" w:before="0"/>
        <w:ind w:left="695" w:right="239"/>
        <w:jc w:val="left"/>
      </w:pPr>
      <w:r>
        <w:rPr/>
        <w:pict>
          <v:shape style="position:absolute;margin-left:91.538452pt;margin-top:4.159739pt;width:4.55pt;height:4.55pt;mso-position-horizontal-relative:page;mso-position-vertical-relative:paragraph;z-index:15894016" coordorigin="1831,83" coordsize="91,91" path="m1876,173l1863,173,1853,169,1835,151,1831,141,1831,116,1835,105,1853,88,1863,83,1888,83,1899,88,1916,105,1921,116,1921,128,1921,141,1916,151,1899,169,1888,173,1876,173xe" filled="true" fillcolor="#000000" stroked="false">
            <v:path arrowok="t"/>
            <v:fill type="solid"/>
            <w10:wrap type="none"/>
          </v:shape>
        </w:pict>
      </w:r>
      <w:r>
        <w:rPr/>
        <w:t>индекс массы тела (Кетле) = масса тела в килограммах/(рост в м</w:t>
      </w:r>
      <w:r>
        <w:rPr>
          <w:position w:val="14"/>
        </w:rPr>
        <w:t>2</w:t>
      </w:r>
      <w:r>
        <w:rPr/>
        <w:t>)</w:t>
      </w:r>
    </w:p>
    <w:p>
      <w:pPr>
        <w:pStyle w:val="BodyText"/>
        <w:spacing w:line="321" w:lineRule="exact" w:before="0"/>
        <w:ind w:left="695"/>
        <w:jc w:val="left"/>
      </w:pPr>
      <w:r>
        <w:rPr/>
        <w:pict>
          <v:shape style="position:absolute;margin-left:91.538452pt;margin-top:8.127905pt;width:4.55pt;height:4.55pt;mso-position-horizontal-relative:page;mso-position-vertical-relative:paragraph;z-index:15894528" coordorigin="1831,163" coordsize="91,91" path="m1876,253l1863,252,1853,248,1835,231,1831,220,1831,195,1835,184,1853,167,1863,163,1888,163,1899,167,1916,184,1921,195,1921,208,1921,220,1916,231,1899,248,1888,252,1876,253xe" filled="true" fillcolor="#000000" stroked="false">
            <v:path arrowok="t"/>
            <v:fill type="solid"/>
            <w10:wrap type="none"/>
          </v:shape>
        </w:pict>
      </w:r>
      <w:r>
        <w:rPr>
          <w:w w:val="105"/>
        </w:rPr>
        <w:t>15–19,9 кг/м</w:t>
      </w:r>
      <w:r>
        <w:rPr>
          <w:w w:val="105"/>
          <w:position w:val="14"/>
        </w:rPr>
        <w:t>2 </w:t>
      </w:r>
      <w:r>
        <w:rPr>
          <w:w w:val="105"/>
        </w:rPr>
        <w:t>— недостаточная масса тела;</w:t>
      </w:r>
    </w:p>
    <w:p>
      <w:pPr>
        <w:pStyle w:val="BodyText"/>
        <w:spacing w:line="184" w:lineRule="auto" w:before="8"/>
        <w:ind w:left="695" w:right="608"/>
        <w:jc w:val="left"/>
      </w:pPr>
      <w:r>
        <w:rPr/>
        <w:pict>
          <v:shape style="position:absolute;margin-left:91.538452pt;margin-top:11.559731pt;width:4.55pt;height:4.55pt;mso-position-horizontal-relative:page;mso-position-vertical-relative:paragraph;z-index:15895040" coordorigin="1831,231" coordsize="91,91" path="m1876,321l1863,321,1853,317,1835,299,1831,289,1831,264,1835,253,1853,236,1863,231,1888,231,1899,236,1916,253,1921,264,1921,276,1921,289,1916,299,1899,317,1888,321,1876,321xe" filled="true" fillcolor="#000000" stroked="false">
            <v:path arrowok="t"/>
            <v:fill type="solid"/>
            <w10:wrap type="none"/>
          </v:shape>
        </w:pict>
      </w:r>
      <w:r>
        <w:rPr/>
        <w:pict>
          <v:shape style="position:absolute;margin-left:91.538452pt;margin-top:31.067928pt;width:4.55pt;height:4.55pt;mso-position-horizontal-relative:page;mso-position-vertical-relative:paragraph;z-index:15895552" coordorigin="1831,621" coordsize="91,91" path="m1888,711l1863,711,1853,707,1835,689,1831,679,1831,654,1835,643,1853,626,1863,621,1888,621,1899,626,1916,643,1921,654,1921,666,1921,679,1916,689,1899,707,1888,711xe" filled="true" fillcolor="#000000" stroked="false">
            <v:path arrowok="t"/>
            <v:fill type="solid"/>
            <w10:wrap type="none"/>
          </v:shape>
        </w:pict>
      </w:r>
      <w:r>
        <w:rPr/>
        <w:t>20–24,9 кг/м</w:t>
      </w:r>
      <w:r>
        <w:rPr>
          <w:position w:val="14"/>
        </w:rPr>
        <w:t>2 </w:t>
      </w:r>
      <w:r>
        <w:rPr/>
        <w:t>— нормальная масса тела (целевой уровень); 25–29,9 кг/м</w:t>
      </w:r>
      <w:r>
        <w:rPr>
          <w:position w:val="14"/>
        </w:rPr>
        <w:t>2</w:t>
      </w:r>
      <w:r>
        <w:rPr/>
        <w:t>- избыточная масса тела;</w:t>
      </w:r>
    </w:p>
    <w:p>
      <w:pPr>
        <w:pStyle w:val="BodyText"/>
        <w:spacing w:line="321" w:lineRule="exact" w:before="0"/>
        <w:ind w:left="695"/>
        <w:jc w:val="left"/>
      </w:pPr>
      <w:r>
        <w:rPr/>
        <w:pict>
          <v:shape style="position:absolute;margin-left:91.538452pt;margin-top:8.127897pt;width:4.55pt;height:4.55pt;mso-position-horizontal-relative:page;mso-position-vertical-relative:paragraph;z-index:15896064" coordorigin="1831,163" coordsize="91,91" path="m1876,253l1863,252,1853,248,1835,231,1831,220,1831,195,1835,184,1853,167,1863,163,1888,163,1899,167,1916,184,1921,195,1921,208,1921,220,1916,231,1899,248,1888,252,1876,253xe" filled="true" fillcolor="#000000" stroked="false">
            <v:path arrowok="t"/>
            <v:fill type="solid"/>
            <w10:wrap type="none"/>
          </v:shape>
        </w:pict>
      </w:r>
      <w:r>
        <w:rPr/>
        <w:t>30–39,9 кг/м</w:t>
      </w:r>
      <w:r>
        <w:rPr>
          <w:position w:val="14"/>
        </w:rPr>
        <w:t>2 </w:t>
      </w:r>
      <w:r>
        <w:rPr/>
        <w:t>— ожирение;</w:t>
      </w:r>
    </w:p>
    <w:p>
      <w:pPr>
        <w:pStyle w:val="BodyText"/>
        <w:spacing w:line="447" w:lineRule="exact" w:before="0"/>
        <w:ind w:left="695"/>
        <w:jc w:val="left"/>
      </w:pPr>
      <w:r>
        <w:rPr/>
        <w:pict>
          <v:shape style="position:absolute;margin-left:91.538452pt;margin-top:11.566905pt;width:4.55pt;height:4.55pt;mso-position-horizontal-relative:page;mso-position-vertical-relative:paragraph;z-index:15896576" coordorigin="1831,231" coordsize="91,91" path="m1876,321l1863,321,1853,317,1835,299,1831,289,1831,264,1835,253,1853,236,1863,231,1888,231,1899,236,1916,253,1921,264,1921,276,1921,289,1916,299,1899,317,1888,321,1876,321xe" filled="true" fillcolor="#000000" stroked="false">
            <v:path arrowok="t"/>
            <v:fill type="solid"/>
            <w10:wrap type="none"/>
          </v:shape>
        </w:pict>
      </w:r>
      <w:r>
        <w:rPr/>
        <w:t>40 кг/м</w:t>
      </w:r>
      <w:r>
        <w:rPr>
          <w:position w:val="14"/>
        </w:rPr>
        <w:t>2 </w:t>
      </w:r>
      <w:r>
        <w:rPr/>
        <w:t>— выраженное ожирение.</w:t>
      </w:r>
    </w:p>
    <w:p>
      <w:pPr>
        <w:pStyle w:val="BodyText"/>
        <w:spacing w:line="256" w:lineRule="auto" w:before="26"/>
        <w:ind w:left="695" w:right="133"/>
      </w:pPr>
      <w:r>
        <w:rPr/>
        <w:pict>
          <v:shape style="position:absolute;margin-left:91.538452pt;margin-top:8.719385pt;width:4.55pt;height:4.55pt;mso-position-horizontal-relative:page;mso-position-vertical-relative:paragraph;z-index:15897088"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t>индекс талия/бедра (ИТБ): ИТБ = ОТ/ОБ, где ОТ (окружность талии) — наименьшая окружность, измеренная над пупком; ОБ (окружность бедер) — наибольшая окружность, измеренная на уровне ягодиц.</w:t>
      </w:r>
    </w:p>
    <w:p>
      <w:pPr>
        <w:pStyle w:val="BodyText"/>
        <w:ind w:left="695"/>
      </w:pPr>
      <w:r>
        <w:rPr/>
        <w:pict>
          <v:shape style="position:absolute;margin-left:91.538452pt;margin-top:7.46938pt;width:4.55pt;height:4.55pt;mso-position-horizontal-relative:page;mso-position-vertical-relative:paragraph;z-index:15897600"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t>0,8–0,9 — промежуточный тип распределения жировой ткани,</w:t>
      </w:r>
    </w:p>
    <w:p>
      <w:pPr>
        <w:pStyle w:val="BodyText"/>
        <w:spacing w:before="26"/>
        <w:ind w:left="695"/>
      </w:pPr>
      <w:r>
        <w:rPr/>
        <w:pict>
          <v:shape style="position:absolute;margin-left:91.538452pt;margin-top:8.719382pt;width:4.55pt;height:4.55pt;mso-position-horizontal-relative:page;mso-position-vertical-relative:paragraph;z-index:15898112" coordorigin="1831,174" coordsize="91,91" path="m1876,264l1863,264,1853,260,1835,242,1831,232,1831,207,1835,196,1853,179,1863,174,1888,174,1899,179,1916,196,1921,207,1921,219,1921,232,1916,242,1899,260,1888,264,1876,264xe" filled="true" fillcolor="#000000" stroked="false">
            <v:path arrowok="t"/>
            <v:fill type="solid"/>
            <w10:wrap type="none"/>
          </v:shape>
        </w:pict>
      </w:r>
      <w:r>
        <w:rPr>
          <w:w w:val="105"/>
        </w:rPr>
        <w:t>&lt; 0,8 — гиноидный (бедренно-ягодичный),</w:t>
      </w:r>
    </w:p>
    <w:p>
      <w:pPr>
        <w:pStyle w:val="BodyText"/>
        <w:spacing w:line="256" w:lineRule="auto" w:before="26"/>
        <w:ind w:left="695" w:right="2551"/>
      </w:pPr>
      <w:r>
        <w:rPr/>
        <w:pict>
          <v:shape style="position:absolute;margin-left:91.538452pt;margin-top:8.71937pt;width:4.55pt;height:4.55pt;mso-position-horizontal-relative:page;mso-position-vertical-relative:paragraph;z-index:15898624" coordorigin="1831,174" coordsize="91,91" path="m1876,264l1863,264,1853,260,1835,242,1831,232,1831,207,1835,196,1853,179,1863,174,1888,174,1899,179,1916,196,1921,207,1921,219,1921,232,1916,242,1899,260,1888,264,1876,264xe" filled="true" fillcolor="#000000" stroked="false">
            <v:path arrowok="t"/>
            <v:fill type="solid"/>
            <w10:wrap type="none"/>
          </v:shape>
        </w:pict>
      </w:r>
      <w:r>
        <w:rPr/>
        <w:pict>
          <v:shape style="position:absolute;margin-left:91.538452pt;margin-top:28.227566pt;width:4.55pt;height:4.55pt;mso-position-horizontal-relative:page;mso-position-vertical-relative:paragraph;z-index:15899136" coordorigin="1831,565" coordsize="91,91" path="m1876,655l1863,654,1853,650,1835,633,1831,622,1831,597,1835,586,1853,569,1863,565,1888,565,1899,569,1916,586,1921,597,1921,610,1921,622,1916,633,1899,650,1888,654,1876,655xe" filled="true" fillcolor="#000000" stroked="false">
            <v:path arrowok="t"/>
            <v:fill type="solid"/>
            <w10:wrap type="none"/>
          </v:shape>
        </w:pict>
      </w:r>
      <w:r>
        <w:rPr/>
        <w:t>&gt;0,9 — андроидный (абдоминальный); Интерпретация уровня холестерина</w:t>
      </w:r>
      <w:r>
        <w:rPr>
          <w:spacing w:val="-20"/>
        </w:rPr>
        <w:t> </w:t>
      </w:r>
      <w:r>
        <w:rPr/>
        <w:t>плазмы:</w:t>
      </w:r>
    </w:p>
    <w:p>
      <w:pPr>
        <w:pStyle w:val="BodyText"/>
        <w:spacing w:line="256" w:lineRule="auto"/>
        <w:ind w:left="695" w:right="135"/>
      </w:pPr>
      <w:r>
        <w:rPr/>
        <w:pict>
          <v:shape style="position:absolute;margin-left:91.538452pt;margin-top:7.469375pt;width:4.55pt;height:4.55pt;mso-position-horizontal-relative:page;mso-position-vertical-relative:paragraph;z-index:15899648"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t>целевой уровень ХС ЛНП для пациентов с очень высоким риском &lt; 1,8 ммоль/л или его снижение не менее чем на 50% от исходного уровня, если он находился в диапазоне 1,8-3,5 ммоль/л (70–135 мг/дл)</w:t>
      </w:r>
    </w:p>
    <w:p>
      <w:pPr>
        <w:pStyle w:val="BodyText"/>
        <w:spacing w:line="256" w:lineRule="auto" w:before="2"/>
        <w:ind w:left="695" w:right="138"/>
      </w:pPr>
      <w:r>
        <w:rPr/>
        <w:pict>
          <v:shape style="position:absolute;margin-left:91.538452pt;margin-top:7.519377pt;width:4.55pt;height:4.55pt;mso-position-horizontal-relative:page;mso-position-vertical-relative:paragraph;z-index:15900160" coordorigin="1831,150" coordsize="91,91" path="m1876,240l1863,240,1853,236,1835,218,1831,208,1831,183,1835,172,1853,155,1863,150,1888,150,1899,155,1916,172,1921,183,1921,195,1921,208,1916,218,1899,236,1888,240,1876,240xe" filled="true" fillcolor="#000000" stroked="false">
            <v:path arrowok="t"/>
            <v:fill type="solid"/>
            <w10:wrap type="none"/>
          </v:shape>
        </w:pict>
      </w:r>
      <w:r>
        <w:rPr/>
        <w:t>целевой уровень </w:t>
      </w:r>
      <w:r>
        <w:rPr>
          <w:spacing w:val="-5"/>
        </w:rPr>
        <w:t>ХС </w:t>
      </w:r>
      <w:r>
        <w:rPr/>
        <w:t>ЛНП для пациентов с высоким риском &lt; </w:t>
      </w:r>
      <w:r>
        <w:rPr>
          <w:spacing w:val="-4"/>
        </w:rPr>
        <w:t>2,6 </w:t>
      </w:r>
      <w:r>
        <w:rPr/>
        <w:t>ммоль/л или его снижение не менее чем на 50% </w:t>
      </w:r>
      <w:r>
        <w:rPr>
          <w:spacing w:val="-3"/>
        </w:rPr>
        <w:t>от </w:t>
      </w:r>
      <w:r>
        <w:rPr/>
        <w:t>исходного</w:t>
      </w:r>
    </w:p>
    <w:p>
      <w:pPr>
        <w:spacing w:after="0" w:line="256" w:lineRule="auto"/>
        <w:sectPr>
          <w:pgSz w:w="11900" w:h="16840"/>
          <w:pgMar w:top="0" w:bottom="280" w:left="1420" w:right="1520"/>
        </w:sectPr>
      </w:pPr>
    </w:p>
    <w:p>
      <w:pPr>
        <w:pStyle w:val="BodyText"/>
        <w:spacing w:line="256" w:lineRule="auto" w:before="16"/>
        <w:ind w:left="695"/>
        <w:jc w:val="left"/>
      </w:pPr>
      <w:r>
        <w:rPr>
          <w:w w:val="105"/>
        </w:rPr>
        <w:t>уровня, если он находился в диапазоне 2,6–5,2 ммоль/л (100– 200 мг/дл)</w:t>
      </w:r>
    </w:p>
    <w:p>
      <w:pPr>
        <w:pStyle w:val="BodyText"/>
        <w:spacing w:line="256" w:lineRule="auto"/>
        <w:ind w:left="695"/>
        <w:jc w:val="left"/>
      </w:pPr>
      <w:r>
        <w:rPr/>
        <w:pict>
          <v:shape style="position:absolute;margin-left:91.538452pt;margin-top:7.469362pt;width:4.55pt;height:4.55pt;mso-position-horizontal-relative:page;mso-position-vertical-relative:paragraph;z-index:15900672"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t>целевой уровень ХС ЛНП для пациентов с низким и умеренным риском по шкале SCORE &lt;3 ммоль/л</w:t>
      </w:r>
    </w:p>
    <w:p>
      <w:pPr>
        <w:pStyle w:val="BodyText"/>
        <w:spacing w:line="256" w:lineRule="auto"/>
        <w:ind w:left="695" w:right="920"/>
        <w:jc w:val="left"/>
      </w:pPr>
      <w:r>
        <w:rPr/>
        <w:pict>
          <v:shape style="position:absolute;margin-left:91.538452pt;margin-top:7.469397pt;width:4.55pt;height:4.55pt;mso-position-horizontal-relative:page;mso-position-vertical-relative:paragraph;z-index:15901184"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pict>
          <v:shape style="position:absolute;margin-left:91.538452pt;margin-top:26.977594pt;width:4.55pt;height:4.55pt;mso-position-horizontal-relative:page;mso-position-vertical-relative:paragraph;z-index:15901696" coordorigin="1831,540" coordsize="91,91" path="m1876,630l1863,629,1853,625,1835,608,1831,597,1831,572,1835,561,1853,544,1863,540,1888,540,1899,544,1916,561,1921,572,1921,585,1921,597,1916,608,1899,625,1888,629,1876,630xe" filled="true" fillcolor="#000000" stroked="false">
            <v:path arrowok="t"/>
            <v:fill type="solid"/>
            <w10:wrap type="none"/>
          </v:shape>
        </w:pict>
      </w:r>
      <w:r>
        <w:rPr/>
        <w:t>ЛПВП &gt;1,2 ммоль/л (у женщин), &gt;1,0 ммоль/л (у мужчин), триглицеридов &lt; 1,7 ммоль/л</w:t>
      </w:r>
    </w:p>
    <w:p>
      <w:pPr>
        <w:pStyle w:val="BodyText"/>
        <w:spacing w:line="256" w:lineRule="auto"/>
        <w:ind w:left="695"/>
        <w:jc w:val="left"/>
      </w:pPr>
      <w:r>
        <w:rPr/>
        <w:pict>
          <v:shape style="position:absolute;margin-left:91.538452pt;margin-top:7.469372pt;width:4.55pt;height:4.55pt;mso-position-horizontal-relative:page;mso-position-vertical-relative:paragraph;z-index:15902208"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pict>
          <v:shape style="position:absolute;margin-left:91.538452pt;margin-top:26.977568pt;width:4.55pt;height:4.55pt;mso-position-horizontal-relative:page;mso-position-vertical-relative:paragraph;z-index:15902720" coordorigin="1831,540" coordsize="91,91" path="m1888,630l1863,630,1853,625,1835,608,1831,597,1831,572,1835,561,1853,544,1863,540,1888,540,1899,544,1916,561,1921,572,1921,585,1921,597,1916,608,1899,625,1888,630xe" filled="true" fillcolor="#000000" stroked="false">
            <v:path arrowok="t"/>
            <v:fill type="solid"/>
            <w10:wrap type="none"/>
          </v:shape>
        </w:pict>
      </w:r>
      <w:r>
        <w:rPr>
          <w:w w:val="105"/>
        </w:rPr>
        <w:t>уровень глюкозы в плазме натощак не выше 6,1 ммоль/л; уровень мочевой кислоты сыворотки крови&lt;420 мкмоль/л (у мужчин), &lt; 360 мкмоль/л (у женщин).</w:t>
      </w:r>
    </w:p>
    <w:p>
      <w:pPr>
        <w:pStyle w:val="Heading4"/>
        <w:ind w:left="380"/>
        <w:jc w:val="left"/>
        <w:rPr>
          <w:i/>
        </w:rPr>
      </w:pPr>
      <w:r>
        <w:rPr>
          <w:i/>
          <w:w w:val="105"/>
        </w:rPr>
        <w:t>Советы пациенту и его семье:</w:t>
      </w:r>
    </w:p>
    <w:p>
      <w:pPr>
        <w:pStyle w:val="BodyText"/>
        <w:spacing w:before="296"/>
        <w:ind w:left="695"/>
      </w:pPr>
      <w:r>
        <w:rPr/>
        <w:pict>
          <v:shape style="position:absolute;margin-left:91.538452pt;margin-top:22.219378pt;width:4.55pt;height:4.55pt;mso-position-horizontal-relative:page;mso-position-vertical-relative:paragraph;z-index:15903232" coordorigin="1831,444" coordsize="91,91" path="m1876,534l1863,534,1853,530,1835,512,1831,502,1831,477,1835,466,1853,449,1863,444,1888,444,1899,449,1916,466,1921,477,1921,489,1921,502,1916,512,1899,530,1888,534,1876,534xe" filled="true" fillcolor="#000000" stroked="false">
            <v:path arrowok="t"/>
            <v:fill type="solid"/>
            <w10:wrap type="none"/>
          </v:shape>
        </w:pict>
      </w:r>
      <w:r>
        <w:rPr>
          <w:w w:val="105"/>
        </w:rPr>
        <w:t>Достаточным считается сон не менее 7 часов в сутки.</w:t>
      </w:r>
    </w:p>
    <w:p>
      <w:pPr>
        <w:pStyle w:val="BodyText"/>
        <w:spacing w:line="184" w:lineRule="auto" w:before="91"/>
        <w:ind w:left="695" w:right="135"/>
      </w:pPr>
      <w:r>
        <w:rPr/>
        <w:pict>
          <v:shape style="position:absolute;margin-left:91.538452pt;margin-top:8.709752pt;width:4.55pt;height:4.55pt;mso-position-horizontal-relative:page;mso-position-vertical-relative:paragraph;z-index:15903744" coordorigin="1831,174" coordsize="91,91" path="m1888,264l1863,264,1853,260,1835,242,1831,232,1831,207,1835,196,1853,179,1863,174,1888,174,1899,179,1916,196,1921,207,1921,219,1921,232,1916,242,1899,260,1888,264xe" filled="true" fillcolor="#000000" stroked="false">
            <v:path arrowok="t"/>
            <v:fill type="solid"/>
            <w10:wrap type="none"/>
          </v:shape>
        </w:pict>
      </w:r>
      <w:r>
        <w:rPr/>
        <w:t>Масса тела должна приближаться к идеальной (ИМТ менее 25 кг/м</w:t>
      </w:r>
      <w:r>
        <w:rPr>
          <w:position w:val="14"/>
        </w:rPr>
        <w:t>2</w:t>
      </w:r>
      <w:r>
        <w:rPr/>
        <w:t>). Для этого суточная калорийность пищи в зависимости</w:t>
      </w:r>
    </w:p>
    <w:p>
      <w:pPr>
        <w:pStyle w:val="BodyText"/>
        <w:spacing w:line="256" w:lineRule="auto" w:before="14"/>
        <w:ind w:left="695" w:right="128"/>
      </w:pPr>
      <w:r>
        <w:rPr/>
        <w:t>от массы тела и характера работы должна составлять от 1500 до 2000 ккал. Потребление белка — 1 г/кг массы тела в сутки, углеводов — до 50г/сут, жиров — до 80 г/сут. Желательно вести дневник питания. Пациенту настоятельно рекомендуется избегать жирных, сладких блюд, отдавать предпочтение овощам, фруктам, злаковым и хлебу грубого помола.</w:t>
      </w:r>
    </w:p>
    <w:p>
      <w:pPr>
        <w:pStyle w:val="BodyText"/>
        <w:spacing w:line="256" w:lineRule="auto" w:before="3"/>
        <w:ind w:left="695" w:right="129"/>
      </w:pPr>
      <w:r>
        <w:rPr/>
        <w:pict>
          <v:shape style="position:absolute;margin-left:91.538452pt;margin-top:7.569386pt;width:4.55pt;height:4.55pt;mso-position-horizontal-relative:page;mso-position-vertical-relative:paragraph;z-index:15904256" coordorigin="1831,151" coordsize="91,91" path="m1876,241l1863,241,1853,237,1835,219,1831,209,1831,184,1835,173,1853,156,1863,151,1888,151,1899,156,1916,173,1921,184,1921,196,1921,209,1916,219,1899,237,1888,241,1876,241xe" filled="true" fillcolor="#000000" stroked="false">
            <v:path arrowok="t"/>
            <v:fill type="solid"/>
            <w10:wrap type="none"/>
          </v:shape>
        </w:pict>
      </w:r>
      <w:r>
        <w:rPr/>
        <w:t>Потребление </w:t>
      </w:r>
      <w:r>
        <w:rPr>
          <w:spacing w:val="-3"/>
        </w:rPr>
        <w:t>соли </w:t>
      </w:r>
      <w:r>
        <w:rPr/>
        <w:t>надо ограничить до 5 г/сут. Рекомендовано не подсаливать пищу, заменять </w:t>
      </w:r>
      <w:r>
        <w:rPr>
          <w:spacing w:val="-3"/>
        </w:rPr>
        <w:t>соль </w:t>
      </w:r>
      <w:r>
        <w:rPr/>
        <w:t>другими веществами, улучшающими</w:t>
      </w:r>
      <w:r>
        <w:rPr>
          <w:spacing w:val="-14"/>
        </w:rPr>
        <w:t> </w:t>
      </w:r>
      <w:r>
        <w:rPr/>
        <w:t>вкус</w:t>
      </w:r>
      <w:r>
        <w:rPr>
          <w:spacing w:val="-13"/>
        </w:rPr>
        <w:t> </w:t>
      </w:r>
      <w:r>
        <w:rPr/>
        <w:t>пищи</w:t>
      </w:r>
      <w:r>
        <w:rPr>
          <w:spacing w:val="-13"/>
        </w:rPr>
        <w:t> </w:t>
      </w:r>
      <w:r>
        <w:rPr/>
        <w:t>(соусы,</w:t>
      </w:r>
      <w:r>
        <w:rPr>
          <w:spacing w:val="-14"/>
        </w:rPr>
        <w:t> </w:t>
      </w:r>
      <w:r>
        <w:rPr/>
        <w:t>небольшие</w:t>
      </w:r>
      <w:r>
        <w:rPr>
          <w:spacing w:val="-13"/>
        </w:rPr>
        <w:t> </w:t>
      </w:r>
      <w:r>
        <w:rPr/>
        <w:t>количества</w:t>
      </w:r>
      <w:r>
        <w:rPr>
          <w:spacing w:val="-13"/>
        </w:rPr>
        <w:t> </w:t>
      </w:r>
      <w:r>
        <w:rPr/>
        <w:t>перца, уксуса и </w:t>
      </w:r>
      <w:r>
        <w:rPr>
          <w:spacing w:val="-3"/>
        </w:rPr>
        <w:t>др.) </w:t>
      </w:r>
      <w:r>
        <w:rPr/>
        <w:t>В </w:t>
      </w:r>
      <w:r>
        <w:rPr>
          <w:spacing w:val="-3"/>
        </w:rPr>
        <w:t>соли </w:t>
      </w:r>
      <w:r>
        <w:rPr/>
        <w:t>содержится натрий, который приводит к задержке воды в организме, и как следствие, повышению артериального давления. </w:t>
      </w:r>
      <w:r>
        <w:rPr>
          <w:spacing w:val="-3"/>
        </w:rPr>
        <w:t>Так </w:t>
      </w:r>
      <w:r>
        <w:rPr/>
        <w:t>же влияет большое содержание натрия в колбасах, консервах, солениях и копченых мясных продуктах.</w:t>
      </w:r>
    </w:p>
    <w:p>
      <w:pPr>
        <w:pStyle w:val="BodyText"/>
        <w:spacing w:before="3"/>
        <w:ind w:left="695"/>
      </w:pPr>
      <w:r>
        <w:rPr/>
        <w:pict>
          <v:shape style="position:absolute;margin-left:91.538452pt;margin-top:7.569375pt;width:4.55pt;height:4.55pt;mso-position-horizontal-relative:page;mso-position-vertical-relative:paragraph;z-index:15904768" coordorigin="1831,151" coordsize="91,91" path="m1888,241l1863,241,1853,237,1835,219,1831,209,1831,184,1835,173,1853,156,1863,151,1888,151,1899,156,1916,173,1921,184,1921,196,1921,209,1916,219,1899,237,1888,241xe" filled="true" fillcolor="#000000" stroked="false">
            <v:path arrowok="t"/>
            <v:fill type="solid"/>
            <w10:wrap type="none"/>
          </v:shape>
        </w:pict>
      </w:r>
      <w:r>
        <w:rPr>
          <w:spacing w:val="-3"/>
        </w:rPr>
        <w:t>Следует </w:t>
      </w:r>
      <w:r>
        <w:rPr>
          <w:spacing w:val="33"/>
        </w:rPr>
        <w:t> </w:t>
      </w:r>
      <w:r>
        <w:rPr/>
        <w:t>увеличить </w:t>
      </w:r>
      <w:r>
        <w:rPr>
          <w:spacing w:val="31"/>
        </w:rPr>
        <w:t> </w:t>
      </w:r>
      <w:r>
        <w:rPr/>
        <w:t>потребление </w:t>
      </w:r>
      <w:r>
        <w:rPr>
          <w:spacing w:val="31"/>
        </w:rPr>
        <w:t> </w:t>
      </w:r>
      <w:r>
        <w:rPr/>
        <w:t>калия </w:t>
      </w:r>
      <w:r>
        <w:rPr>
          <w:spacing w:val="31"/>
        </w:rPr>
        <w:t> </w:t>
      </w:r>
      <w:r>
        <w:rPr/>
        <w:t>(его </w:t>
      </w:r>
      <w:r>
        <w:rPr>
          <w:spacing w:val="30"/>
        </w:rPr>
        <w:t> </w:t>
      </w:r>
      <w:r>
        <w:rPr/>
        <w:t>много </w:t>
      </w:r>
      <w:r>
        <w:rPr>
          <w:spacing w:val="31"/>
        </w:rPr>
        <w:t> </w:t>
      </w:r>
      <w:r>
        <w:rPr/>
        <w:t>в </w:t>
      </w:r>
      <w:r>
        <w:rPr>
          <w:spacing w:val="31"/>
        </w:rPr>
        <w:t> </w:t>
      </w:r>
      <w:r>
        <w:rPr/>
        <w:t>свежих</w:t>
      </w:r>
    </w:p>
    <w:p>
      <w:pPr>
        <w:pStyle w:val="BodyText"/>
        <w:spacing w:line="184" w:lineRule="auto" w:before="91"/>
        <w:ind w:left="695" w:right="140"/>
      </w:pPr>
      <w:r>
        <w:rPr/>
        <w:t>фруктах, овощах, кураге, печеном картофеле). Соотношение К</w:t>
      </w:r>
      <w:r>
        <w:rPr>
          <w:position w:val="14"/>
        </w:rPr>
        <w:t>+</w:t>
      </w:r>
      <w:r>
        <w:rPr/>
        <w:t>/Nа</w:t>
      </w:r>
      <w:r>
        <w:rPr>
          <w:position w:val="14"/>
        </w:rPr>
        <w:t>+</w:t>
      </w:r>
      <w:r>
        <w:rPr/>
        <w:t>сдвигается     в     сторону     К+     при  </w:t>
      </w:r>
      <w:r>
        <w:rPr>
          <w:spacing w:val="25"/>
        </w:rPr>
        <w:t> </w:t>
      </w:r>
      <w:r>
        <w:rPr/>
        <w:t>преимущественно</w:t>
      </w:r>
    </w:p>
    <w:p>
      <w:pPr>
        <w:pStyle w:val="BodyText"/>
        <w:spacing w:before="14"/>
        <w:ind w:left="695"/>
      </w:pPr>
      <w:r>
        <w:rPr>
          <w:w w:val="105"/>
        </w:rPr>
        <w:t>вегетарианской диете.</w:t>
      </w:r>
    </w:p>
    <w:p>
      <w:pPr>
        <w:pStyle w:val="BodyText"/>
        <w:spacing w:before="26"/>
        <w:ind w:left="695"/>
      </w:pPr>
      <w:r>
        <w:rPr/>
        <w:pict>
          <v:shape style="position:absolute;margin-left:91.538452pt;margin-top:8.71937pt;width:4.55pt;height:4.55pt;mso-position-horizontal-relative:page;mso-position-vertical-relative:paragraph;z-index:15905280" coordorigin="1831,174" coordsize="91,91" path="m1876,264l1863,264,1853,260,1835,242,1831,232,1831,207,1835,196,1853,179,1863,174,1888,174,1899,179,1916,196,1921,207,1921,219,1921,232,1916,242,1899,260,1888,264,1876,264xe" filled="true" fillcolor="#000000" stroked="false">
            <v:path arrowok="t"/>
            <v:fill type="solid"/>
            <w10:wrap type="none"/>
          </v:shape>
        </w:pict>
      </w:r>
      <w:r>
        <w:rPr/>
        <w:t>Необходимо прекратить или ограничить курение.</w:t>
      </w:r>
    </w:p>
    <w:p>
      <w:pPr>
        <w:pStyle w:val="BodyText"/>
        <w:spacing w:line="256" w:lineRule="auto" w:before="26"/>
        <w:ind w:left="695" w:right="130"/>
      </w:pPr>
      <w:r>
        <w:rPr/>
        <w:pict>
          <v:shape style="position:absolute;margin-left:91.538452pt;margin-top:8.719372pt;width:4.55pt;height:4.55pt;mso-position-horizontal-relative:page;mso-position-vertical-relative:paragraph;z-index:15905792" coordorigin="1831,174" coordsize="91,91" path="m1876,264l1863,264,1853,260,1835,242,1831,232,1831,207,1835,196,1853,179,1863,174,1888,174,1899,179,1916,196,1921,207,1921,219,1921,232,1916,242,1899,260,1888,264,1876,264xe" filled="true" fillcolor="#000000" stroked="false">
            <v:path arrowok="t"/>
            <v:fill type="solid"/>
            <w10:wrap type="none"/>
          </v:shape>
        </w:pict>
      </w:r>
      <w:r>
        <w:rPr/>
        <w:t>Потребление алкоголя следует ограничить до 30 мл/сут в пересчете на абсолютный этанол. Крепкие спиртные напитки лучше заменить красными сухими винами.</w:t>
      </w:r>
    </w:p>
    <w:p>
      <w:pPr>
        <w:pStyle w:val="BodyText"/>
        <w:spacing w:line="256" w:lineRule="auto"/>
        <w:ind w:left="695" w:right="129"/>
      </w:pPr>
      <w:r>
        <w:rPr/>
        <w:t>При гиподинамии (сидячая работа &gt; 5 ч/сут, физическая активность &lt; 10 ч/нед) — регулярные физические тренировки  не менее 4 раз в неделю продолжительностью 30–45 минут. Предпочтительны индивидуально приемлемые для пациента нагрузки: пешие прогулки, теннис, езда на велосипеде, ходьба на</w:t>
      </w:r>
      <w:r>
        <w:rPr>
          <w:spacing w:val="43"/>
        </w:rPr>
        <w:t> </w:t>
      </w:r>
      <w:r>
        <w:rPr/>
        <w:t>лыжах,</w:t>
      </w:r>
      <w:r>
        <w:rPr>
          <w:spacing w:val="44"/>
        </w:rPr>
        <w:t> </w:t>
      </w:r>
      <w:r>
        <w:rPr/>
        <w:t>работа</w:t>
      </w:r>
      <w:r>
        <w:rPr>
          <w:spacing w:val="43"/>
        </w:rPr>
        <w:t> </w:t>
      </w:r>
      <w:r>
        <w:rPr/>
        <w:t>в</w:t>
      </w:r>
      <w:r>
        <w:rPr>
          <w:spacing w:val="44"/>
        </w:rPr>
        <w:t> </w:t>
      </w:r>
      <w:r>
        <w:rPr/>
        <w:t>саду,</w:t>
      </w:r>
      <w:r>
        <w:rPr>
          <w:spacing w:val="43"/>
        </w:rPr>
        <w:t> </w:t>
      </w:r>
      <w:r>
        <w:rPr/>
        <w:t>плавание.</w:t>
      </w:r>
      <w:r>
        <w:rPr>
          <w:spacing w:val="44"/>
        </w:rPr>
        <w:t> </w:t>
      </w:r>
      <w:r>
        <w:rPr/>
        <w:t>При</w:t>
      </w:r>
      <w:r>
        <w:rPr>
          <w:spacing w:val="43"/>
        </w:rPr>
        <w:t> </w:t>
      </w:r>
      <w:r>
        <w:rPr/>
        <w:t>физической</w:t>
      </w:r>
      <w:r>
        <w:rPr>
          <w:spacing w:val="44"/>
        </w:rPr>
        <w:t> </w:t>
      </w:r>
      <w:r>
        <w:rPr/>
        <w:t>нагрузке</w:t>
      </w:r>
    </w:p>
    <w:p>
      <w:pPr>
        <w:spacing w:after="0" w:line="256" w:lineRule="auto"/>
        <w:sectPr>
          <w:pgSz w:w="11900" w:h="16840"/>
          <w:pgMar w:top="0" w:bottom="0" w:left="1420" w:right="1520"/>
        </w:sectPr>
      </w:pPr>
    </w:p>
    <w:p>
      <w:pPr>
        <w:pStyle w:val="BodyText"/>
        <w:spacing w:line="256" w:lineRule="auto" w:before="16"/>
        <w:ind w:left="695" w:right="137"/>
      </w:pPr>
      <w:r>
        <w:rPr>
          <w:w w:val="105"/>
        </w:rPr>
        <w:t>число</w:t>
      </w:r>
      <w:r>
        <w:rPr>
          <w:spacing w:val="-22"/>
          <w:w w:val="105"/>
        </w:rPr>
        <w:t> </w:t>
      </w:r>
      <w:r>
        <w:rPr>
          <w:w w:val="105"/>
        </w:rPr>
        <w:t>сердечных</w:t>
      </w:r>
      <w:r>
        <w:rPr>
          <w:spacing w:val="-22"/>
          <w:w w:val="105"/>
        </w:rPr>
        <w:t> </w:t>
      </w:r>
      <w:r>
        <w:rPr>
          <w:w w:val="105"/>
        </w:rPr>
        <w:t>сокращений</w:t>
      </w:r>
      <w:r>
        <w:rPr>
          <w:spacing w:val="-21"/>
          <w:w w:val="105"/>
        </w:rPr>
        <w:t> </w:t>
      </w:r>
      <w:r>
        <w:rPr>
          <w:w w:val="105"/>
        </w:rPr>
        <w:t>должно</w:t>
      </w:r>
      <w:r>
        <w:rPr>
          <w:spacing w:val="-22"/>
          <w:w w:val="105"/>
        </w:rPr>
        <w:t> </w:t>
      </w:r>
      <w:r>
        <w:rPr>
          <w:w w:val="105"/>
        </w:rPr>
        <w:t>увеличиваться</w:t>
      </w:r>
      <w:r>
        <w:rPr>
          <w:spacing w:val="-21"/>
          <w:w w:val="105"/>
        </w:rPr>
        <w:t> </w:t>
      </w:r>
      <w:r>
        <w:rPr>
          <w:w w:val="105"/>
        </w:rPr>
        <w:t>не</w:t>
      </w:r>
      <w:r>
        <w:rPr>
          <w:spacing w:val="-22"/>
          <w:w w:val="105"/>
        </w:rPr>
        <w:t> </w:t>
      </w:r>
      <w:r>
        <w:rPr>
          <w:w w:val="105"/>
        </w:rPr>
        <w:t>более чем на 20–30 в 1</w:t>
      </w:r>
      <w:r>
        <w:rPr>
          <w:spacing w:val="-27"/>
          <w:w w:val="105"/>
        </w:rPr>
        <w:t> </w:t>
      </w:r>
      <w:r>
        <w:rPr>
          <w:w w:val="105"/>
        </w:rPr>
        <w:t>мин.</w:t>
      </w:r>
    </w:p>
    <w:p>
      <w:pPr>
        <w:pStyle w:val="BodyText"/>
        <w:spacing w:line="256" w:lineRule="auto"/>
        <w:ind w:left="695" w:right="134"/>
      </w:pPr>
      <w:r>
        <w:rPr/>
        <w:pict>
          <v:shape style="position:absolute;margin-left:91.538452pt;margin-top:7.469381pt;width:4.55pt;height:4.55pt;mso-position-horizontal-relative:page;mso-position-vertical-relative:paragraph;z-index:15906304"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t>Психоэмоциональный стресс на производстве и в быту контролируется правильным образом жизни. Следует ограничить продолжительность рабочего дня и домашних нагрузок, избегать ночных смен, командировок.</w:t>
      </w:r>
    </w:p>
    <w:p>
      <w:pPr>
        <w:pStyle w:val="BodyText"/>
        <w:spacing w:line="256" w:lineRule="auto" w:before="2"/>
        <w:ind w:left="695" w:right="137"/>
      </w:pPr>
      <w:r>
        <w:rPr/>
        <w:pict>
          <v:shape style="position:absolute;margin-left:91.538452pt;margin-top:7.519391pt;width:4.55pt;height:4.55pt;mso-position-horizontal-relative:page;mso-position-vertical-relative:paragraph;z-index:15906816" coordorigin="1831,150" coordsize="91,91" path="m1876,240l1863,240,1853,236,1835,218,1831,208,1831,183,1835,172,1853,155,1863,150,1888,150,1899,155,1916,172,1921,183,1921,195,1921,208,1916,218,1899,236,1888,240,1876,240xe" filled="true" fillcolor="#000000" stroked="false">
            <v:path arrowok="t"/>
            <v:fill type="solid"/>
            <w10:wrap type="none"/>
          </v:shape>
        </w:pict>
      </w:r>
      <w:r>
        <w:rPr/>
        <w:t>Женщинам, больным гипертонической болезнью, надо отказаться от приема пероральных контрацептивов.</w:t>
      </w:r>
    </w:p>
    <w:p>
      <w:pPr>
        <w:pStyle w:val="BodyText"/>
        <w:spacing w:line="256" w:lineRule="auto"/>
        <w:ind w:left="695" w:right="136"/>
      </w:pPr>
      <w:r>
        <w:rPr/>
        <w:pict>
          <v:shape style="position:absolute;margin-left:91.538452pt;margin-top:7.469366pt;width:4.55pt;height:4.55pt;mso-position-horizontal-relative:page;mso-position-vertical-relative:paragraph;z-index:15907328" coordorigin="1831,149" coordsize="91,91" path="m1876,239l1863,239,1853,235,1835,217,1831,207,1831,182,1835,171,1853,154,1863,149,1888,149,1899,154,1916,171,1921,182,1921,194,1921,207,1916,217,1899,235,1888,239,1876,239xe" filled="true" fillcolor="#000000" stroked="false">
            <v:path arrowok="t"/>
            <v:fill type="solid"/>
            <w10:wrap type="none"/>
          </v:shape>
        </w:pict>
      </w:r>
      <w:r>
        <w:rPr/>
        <w:t>Юношам, занимающимся спортом, нельзя злоупотреблять пищевыми добавками для наращивания мышечной массы и исключить прием анаболических стероидов.</w:t>
      </w:r>
    </w:p>
    <w:p>
      <w:pPr>
        <w:spacing w:after="0" w:line="256" w:lineRule="auto"/>
        <w:sectPr>
          <w:pgSz w:w="11900" w:h="16840"/>
          <w:pgMar w:top="0" w:bottom="280" w:left="1420" w:right="1520"/>
        </w:sectPr>
      </w:pPr>
    </w:p>
    <w:p>
      <w:pPr>
        <w:pStyle w:val="Heading1"/>
        <w:jc w:val="both"/>
      </w:pPr>
      <w:r>
        <w:rPr/>
        <w:pict>
          <v:shape style="position:absolute;margin-left:103.543495pt;margin-top:393.1651pt;width:3.05pt;height:3.05pt;mso-position-horizontal-relative:page;mso-position-vertical-relative:page;z-index:-18200576" coordorigin="2071,7863" coordsize="61,61" path="m2101,7923l2093,7923,2086,7920,2074,7909,2071,7902,2071,7885,2074,7878,2086,7866,2093,7863,2109,7863,2116,7866,2128,7878,2131,7885,2131,7893,2131,7902,2128,7909,2116,7920,2109,7923,2101,7923xe" filled="true" fillcolor="#000000" stroked="false">
            <v:path arrowok="t"/>
            <v:fill type="solid"/>
            <w10:wrap type="none"/>
          </v:shape>
        </w:pict>
      </w:r>
      <w:r>
        <w:rPr/>
        <w:pict>
          <v:shape style="position:absolute;margin-left:103.543495pt;margin-top:486.954529pt;width:3.05pt;height:3.05pt;mso-position-horizontal-relative:page;mso-position-vertical-relative:page;z-index:-18200064" coordorigin="2071,9739" coordsize="61,61" path="m2109,9799l2093,9799,2086,9796,2074,9784,2071,9777,2071,9761,2074,9754,2086,9742,2093,9739,2109,9739,2116,9742,2128,9754,2131,9761,2131,9769,2131,9777,2128,9784,2116,9796,2109,9799xe" filled="true" fillcolor="#000000" stroked="false">
            <v:path arrowok="t"/>
            <v:fill type="solid"/>
            <w10:wrap type="none"/>
          </v:shape>
        </w:pict>
      </w:r>
      <w:r>
        <w:rPr/>
        <w:pict>
          <v:shape style="position:absolute;margin-left:103.543495pt;margin-top:600.252136pt;width:3.05pt;height:3.05pt;mso-position-horizontal-relative:page;mso-position-vertical-relative:page;z-index:-18199552" coordorigin="2071,12005" coordsize="61,61" path="m2101,12065l2093,12065,2086,12062,2074,12050,2071,12043,2071,12027,2074,12020,2086,12008,2093,12005,2109,12005,2116,12008,2128,12020,2131,12027,2131,12035,2131,12043,2128,12050,2116,12062,2109,12065,2101,12065xe" filled="true" fillcolor="#000000" stroked="false">
            <v:path arrowok="t"/>
            <v:fill type="solid"/>
            <w10:wrap type="none"/>
          </v:shape>
        </w:pict>
      </w:r>
      <w:r>
        <w:rPr/>
        <w:pict>
          <v:shape style="position:absolute;margin-left:103.543495pt;margin-top:674.533325pt;width:3.05pt;height:3.05pt;mso-position-horizontal-relative:page;mso-position-vertical-relative:page;z-index:-18199040" coordorigin="2071,13491" coordsize="61,61" path="m2101,13551l2093,13550,2086,13548,2074,13536,2071,13529,2071,13512,2074,13505,2086,13493,2093,13491,2109,13491,2116,13493,2128,13505,2131,13512,2131,13521,2131,13529,2128,13536,2116,13548,2109,13550,2101,13551xe" filled="true" fillcolor="#000000" stroked="false">
            <v:path arrowok="t"/>
            <v:fill type="solid"/>
            <w10:wrap type="none"/>
          </v:shape>
        </w:pict>
      </w:r>
      <w:r>
        <w:rPr/>
        <w:pict>
          <v:shape style="position:absolute;margin-left:103.543495pt;margin-top:748.814514pt;width:3.05pt;height:3.05pt;mso-position-horizontal-relative:page;mso-position-vertical-relative:page;z-index:-18198528" coordorigin="2071,14976" coordsize="61,61" path="m2101,15036l2093,15036,2086,15033,2074,15022,2071,15015,2071,14998,2074,14991,2086,14979,2093,14976,2109,14976,2116,14979,2128,14991,2131,14998,2131,15006,2131,15015,2128,15022,2116,15033,2109,15036,2101,15036xe" filled="true" fillcolor="#000000" stroked="false">
            <v:path arrowok="t"/>
            <v:fill type="solid"/>
            <w10:wrap type="none"/>
          </v:shape>
        </w:pict>
      </w:r>
      <w:r>
        <w:rPr/>
        <w:t>Приложение Г.</w:t>
      </w:r>
    </w:p>
    <w:p>
      <w:pPr>
        <w:pStyle w:val="BodyText"/>
        <w:spacing w:line="256" w:lineRule="auto" w:before="384"/>
        <w:ind w:left="380" w:right="130"/>
      </w:pPr>
      <w:r>
        <w:rPr/>
        <w:t>Приложение Г1. Правила измерения АД, классификация уровней АД и основная информация, которая должна быть получена при сборе анамнеза</w:t>
      </w:r>
    </w:p>
    <w:p>
      <w:pPr>
        <w:pStyle w:val="BodyText"/>
        <w:spacing w:before="0"/>
        <w:ind w:left="0"/>
        <w:jc w:val="left"/>
        <w:rPr>
          <w:sz w:val="36"/>
        </w:rPr>
      </w:pPr>
    </w:p>
    <w:p>
      <w:pPr>
        <w:pStyle w:val="BodyText"/>
        <w:spacing w:before="0"/>
        <w:ind w:left="0"/>
        <w:jc w:val="left"/>
        <w:rPr>
          <w:sz w:val="33"/>
        </w:rPr>
      </w:pPr>
    </w:p>
    <w:p>
      <w:pPr>
        <w:pStyle w:val="Heading3"/>
        <w:spacing w:before="0"/>
        <w:ind w:left="380"/>
        <w:jc w:val="both"/>
      </w:pPr>
      <w:r>
        <w:rPr/>
        <w:t>Таблица П1/Г1. Правила измерения АД</w:t>
      </w:r>
    </w:p>
    <w:p>
      <w:pPr>
        <w:pStyle w:val="BodyText"/>
        <w:spacing w:before="0"/>
        <w:ind w:left="0"/>
        <w:jc w:val="left"/>
        <w:rPr>
          <w:b/>
          <w:sz w:val="36"/>
        </w:rPr>
      </w:pPr>
    </w:p>
    <w:p>
      <w:pPr>
        <w:pStyle w:val="BodyText"/>
        <w:spacing w:before="12"/>
        <w:ind w:left="0"/>
        <w:jc w:val="left"/>
        <w:rPr>
          <w:b/>
          <w:sz w:val="34"/>
        </w:rPr>
      </w:pPr>
    </w:p>
    <w:p>
      <w:pPr>
        <w:spacing w:before="0"/>
        <w:ind w:left="380" w:right="0" w:firstLine="0"/>
        <w:jc w:val="both"/>
        <w:rPr>
          <w:b/>
          <w:sz w:val="27"/>
        </w:rPr>
      </w:pPr>
      <w:r>
        <w:rPr/>
        <w:pict>
          <v:shape style="position:absolute;margin-left:103.543495pt;margin-top:82.450874pt;width:3.05pt;height:3.05pt;mso-position-horizontal-relative:page;mso-position-vertical-relative:paragraph;z-index:-18201088" coordorigin="2071,1649" coordsize="61,61" path="m2101,1709l2093,1709,2086,1706,2074,1694,2071,1687,2071,1671,2074,1664,2086,1652,2093,1649,2109,1649,2116,1652,2128,1664,2131,1671,2131,1679,2131,1687,2128,1694,2116,1706,2109,1709,2101,1709xe" filled="true" fillcolor="#000000" stroked="false">
            <v:path arrowok="t"/>
            <v:fill type="solid"/>
            <w10:wrap type="none"/>
          </v:shape>
        </w:pict>
      </w:r>
      <w:r>
        <w:rPr>
          <w:b/>
          <w:sz w:val="27"/>
        </w:rPr>
        <w:t>Измерение артериального давления в кабинете врача</w:t>
      </w:r>
    </w:p>
    <w:p>
      <w:pPr>
        <w:pStyle w:val="BodyText"/>
        <w:spacing w:before="0"/>
        <w:ind w:left="0"/>
        <w:jc w:val="left"/>
        <w:rPr>
          <w:b/>
          <w:sz w:val="20"/>
        </w:rPr>
      </w:pPr>
    </w:p>
    <w:p>
      <w:pPr>
        <w:pStyle w:val="BodyText"/>
        <w:spacing w:before="0"/>
        <w:ind w:left="0"/>
        <w:jc w:val="left"/>
        <w:rPr>
          <w:b/>
          <w:sz w:val="20"/>
        </w:rPr>
      </w:pPr>
    </w:p>
    <w:p>
      <w:pPr>
        <w:pStyle w:val="BodyText"/>
        <w:spacing w:before="9"/>
        <w:ind w:left="0"/>
        <w:jc w:val="left"/>
        <w:rPr>
          <w:b/>
          <w:sz w:val="29"/>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107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Pr>
                <w:sz w:val="16"/>
              </w:rPr>
            </w:pPr>
            <w:r>
              <w:rPr>
                <w:w w:val="105"/>
                <w:sz w:val="16"/>
              </w:rPr>
              <w:t>Пациент должен находиться в положении сидя в спокойной комфортной обстановке в течение 5 минут до начала измерения АД</w:t>
            </w:r>
          </w:p>
        </w:tc>
      </w:tr>
      <w:tr>
        <w:trPr>
          <w:trHeight w:val="185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ight="142"/>
              <w:jc w:val="both"/>
              <w:rPr>
                <w:sz w:val="16"/>
              </w:rPr>
            </w:pPr>
            <w:r>
              <w:rPr>
                <w:w w:val="105"/>
                <w:sz w:val="16"/>
              </w:rPr>
              <w:t>Следует произвести три измерения АД с интервалами в 1–2 минуты, дополнительное измерение необходимо только в том случае, если первые два результата отличаются друг от друга на &gt;10 мм рт. ст. Регистрируется АД, являющееся средним из </w:t>
            </w:r>
            <w:r>
              <w:rPr>
                <w:spacing w:val="-4"/>
                <w:w w:val="105"/>
                <w:sz w:val="16"/>
              </w:rPr>
              <w:t>двух</w:t>
            </w:r>
            <w:r>
              <w:rPr>
                <w:spacing w:val="51"/>
                <w:w w:val="105"/>
                <w:sz w:val="16"/>
              </w:rPr>
              <w:t> </w:t>
            </w:r>
            <w:r>
              <w:rPr>
                <w:w w:val="105"/>
                <w:sz w:val="16"/>
              </w:rPr>
              <w:t>последних измерений</w:t>
            </w:r>
          </w:p>
        </w:tc>
      </w:tr>
      <w:tr>
        <w:trPr>
          <w:trHeight w:val="224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ight="139"/>
              <w:jc w:val="both"/>
              <w:rPr>
                <w:sz w:val="16"/>
              </w:rPr>
            </w:pPr>
            <w:r>
              <w:rPr>
                <w:w w:val="105"/>
                <w:sz w:val="16"/>
              </w:rPr>
              <w:t>Дополнительные измерения АД могут потребоваться у пациентов с нестабильными показателями АД вследствие нарушений ритма, например, при наличии ФП, в этих случаях следует использовать ручной аускультативный метод измерения АД, поскольку большинство</w:t>
            </w:r>
            <w:r>
              <w:rPr>
                <w:spacing w:val="-14"/>
                <w:w w:val="105"/>
                <w:sz w:val="16"/>
              </w:rPr>
              <w:t> </w:t>
            </w:r>
            <w:r>
              <w:rPr>
                <w:w w:val="105"/>
                <w:sz w:val="16"/>
              </w:rPr>
              <w:t>автоматических</w:t>
            </w:r>
            <w:r>
              <w:rPr>
                <w:spacing w:val="-13"/>
                <w:w w:val="105"/>
                <w:sz w:val="16"/>
              </w:rPr>
              <w:t> </w:t>
            </w:r>
            <w:r>
              <w:rPr>
                <w:w w:val="105"/>
                <w:sz w:val="16"/>
              </w:rPr>
              <w:t>устройств</w:t>
            </w:r>
            <w:r>
              <w:rPr>
                <w:spacing w:val="-14"/>
                <w:w w:val="105"/>
                <w:sz w:val="16"/>
              </w:rPr>
              <w:t> </w:t>
            </w:r>
            <w:r>
              <w:rPr>
                <w:w w:val="105"/>
                <w:sz w:val="16"/>
              </w:rPr>
              <w:t>не</w:t>
            </w:r>
            <w:r>
              <w:rPr>
                <w:spacing w:val="-13"/>
                <w:w w:val="105"/>
                <w:sz w:val="16"/>
              </w:rPr>
              <w:t> </w:t>
            </w:r>
            <w:r>
              <w:rPr>
                <w:w w:val="105"/>
                <w:sz w:val="16"/>
              </w:rPr>
              <w:t>валидированы</w:t>
            </w:r>
            <w:r>
              <w:rPr>
                <w:spacing w:val="-13"/>
                <w:w w:val="105"/>
                <w:sz w:val="16"/>
              </w:rPr>
              <w:t> </w:t>
            </w:r>
            <w:r>
              <w:rPr>
                <w:w w:val="105"/>
                <w:sz w:val="16"/>
              </w:rPr>
              <w:t>для</w:t>
            </w:r>
            <w:r>
              <w:rPr>
                <w:spacing w:val="-14"/>
                <w:w w:val="105"/>
                <w:sz w:val="16"/>
              </w:rPr>
              <w:t> </w:t>
            </w:r>
            <w:r>
              <w:rPr>
                <w:w w:val="105"/>
                <w:sz w:val="16"/>
              </w:rPr>
              <w:t>измерений</w:t>
            </w:r>
            <w:r>
              <w:rPr>
                <w:spacing w:val="-13"/>
                <w:w w:val="105"/>
                <w:sz w:val="16"/>
              </w:rPr>
              <w:t> </w:t>
            </w:r>
            <w:r>
              <w:rPr>
                <w:w w:val="105"/>
                <w:sz w:val="16"/>
              </w:rPr>
              <w:t>АД</w:t>
            </w:r>
            <w:r>
              <w:rPr>
                <w:spacing w:val="-13"/>
                <w:w w:val="105"/>
                <w:sz w:val="16"/>
              </w:rPr>
              <w:t> </w:t>
            </w:r>
            <w:r>
              <w:rPr>
                <w:w w:val="105"/>
                <w:sz w:val="16"/>
              </w:rPr>
              <w:t>у</w:t>
            </w:r>
            <w:r>
              <w:rPr>
                <w:spacing w:val="-14"/>
                <w:w w:val="105"/>
                <w:sz w:val="16"/>
              </w:rPr>
              <w:t> </w:t>
            </w:r>
            <w:r>
              <w:rPr>
                <w:w w:val="105"/>
                <w:sz w:val="16"/>
              </w:rPr>
              <w:t>пациентов с</w:t>
            </w:r>
            <w:r>
              <w:rPr>
                <w:spacing w:val="-2"/>
                <w:w w:val="105"/>
                <w:sz w:val="16"/>
              </w:rPr>
              <w:t> </w:t>
            </w:r>
            <w:r>
              <w:rPr>
                <w:w w:val="105"/>
                <w:sz w:val="16"/>
              </w:rPr>
              <w:t>ФП</w:t>
            </w:r>
          </w:p>
        </w:tc>
      </w:tr>
      <w:tr>
        <w:trPr>
          <w:trHeight w:val="146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ight="148"/>
              <w:jc w:val="both"/>
              <w:rPr>
                <w:sz w:val="16"/>
              </w:rPr>
            </w:pPr>
            <w:r>
              <w:rPr>
                <w:w w:val="105"/>
                <w:sz w:val="16"/>
              </w:rPr>
              <w:t>Следует использовать стандартную манжету (12–13 см шириной и 35 см длиной) для большинства пациентов, однако необходимо иметь манжеты большего и меньшего размеров в зависимости от окружности плеча (большая ( &gt;32 см) и небольшая)</w:t>
            </w:r>
          </w:p>
        </w:tc>
      </w:tr>
      <w:tr>
        <w:trPr>
          <w:trHeight w:val="146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ight="141"/>
              <w:jc w:val="both"/>
              <w:rPr>
                <w:sz w:val="16"/>
              </w:rPr>
            </w:pPr>
            <w:r>
              <w:rPr>
                <w:w w:val="105"/>
                <w:sz w:val="16"/>
              </w:rPr>
              <w:t>Манжета должна располагаться на уровне сердца, при этом необходимо обеспечить поддержку спины и руки пациента для избегания мышечного напряжения и изометрической физической нагрузки, приводящей к повышению АД</w:t>
            </w:r>
          </w:p>
        </w:tc>
      </w:tr>
      <w:tr>
        <w:trPr>
          <w:trHeight w:val="146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ight="140"/>
              <w:jc w:val="both"/>
              <w:rPr>
                <w:sz w:val="16"/>
              </w:rPr>
            </w:pPr>
            <w:r>
              <w:rPr>
                <w:w w:val="105"/>
                <w:sz w:val="16"/>
              </w:rPr>
              <w:t>При использовании аускультативного метода следует использовать фазы I и V (внезапное уменьшение/исчезновение) тонов Короткова для определения САД и ДАД соответственно</w:t>
            </w:r>
          </w:p>
        </w:tc>
      </w:tr>
    </w:tbl>
    <w:p>
      <w:pPr>
        <w:spacing w:after="0" w:line="482" w:lineRule="auto"/>
        <w:jc w:val="both"/>
        <w:rPr>
          <w:sz w:val="16"/>
        </w:rPr>
        <w:sectPr>
          <w:pgSz w:w="11900" w:h="16840"/>
          <w:pgMar w:top="600" w:bottom="28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146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ight="141"/>
              <w:jc w:val="both"/>
              <w:rPr>
                <w:sz w:val="16"/>
              </w:rPr>
            </w:pPr>
            <w:r>
              <w:rPr>
                <w:w w:val="105"/>
                <w:sz w:val="16"/>
              </w:rPr>
              <w:t>При первом посещении необходимо измерять АД на обеих руках для выявления разницы. В дальнейшем следует измерять АД на той руке, на которой определяются более высокие значения</w:t>
            </w:r>
          </w:p>
        </w:tc>
      </w:tr>
      <w:tr>
        <w:trPr>
          <w:trHeight w:val="2636"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ight="145"/>
              <w:jc w:val="both"/>
              <w:rPr>
                <w:sz w:val="16"/>
              </w:rPr>
            </w:pPr>
            <w:r>
              <w:rPr>
                <w:w w:val="105"/>
                <w:sz w:val="16"/>
              </w:rPr>
              <w:t>Необходимо</w:t>
            </w:r>
            <w:r>
              <w:rPr>
                <w:spacing w:val="-11"/>
                <w:w w:val="105"/>
                <w:sz w:val="16"/>
              </w:rPr>
              <w:t> </w:t>
            </w:r>
            <w:r>
              <w:rPr>
                <w:w w:val="105"/>
                <w:sz w:val="16"/>
              </w:rPr>
              <w:t>измерять</w:t>
            </w:r>
            <w:r>
              <w:rPr>
                <w:spacing w:val="-10"/>
                <w:w w:val="105"/>
                <w:sz w:val="16"/>
              </w:rPr>
              <w:t> </w:t>
            </w:r>
            <w:r>
              <w:rPr>
                <w:w w:val="105"/>
                <w:sz w:val="16"/>
              </w:rPr>
              <w:t>АД</w:t>
            </w:r>
            <w:r>
              <w:rPr>
                <w:spacing w:val="-10"/>
                <w:w w:val="105"/>
                <w:sz w:val="16"/>
              </w:rPr>
              <w:t> </w:t>
            </w:r>
            <w:r>
              <w:rPr>
                <w:w w:val="105"/>
                <w:sz w:val="16"/>
              </w:rPr>
              <w:t>на</w:t>
            </w:r>
            <w:r>
              <w:rPr>
                <w:spacing w:val="-10"/>
                <w:w w:val="105"/>
                <w:sz w:val="16"/>
              </w:rPr>
              <w:t> </w:t>
            </w:r>
            <w:r>
              <w:rPr>
                <w:w w:val="105"/>
                <w:sz w:val="16"/>
              </w:rPr>
              <w:t>1-й</w:t>
            </w:r>
            <w:r>
              <w:rPr>
                <w:spacing w:val="-10"/>
                <w:w w:val="105"/>
                <w:sz w:val="16"/>
              </w:rPr>
              <w:t> </w:t>
            </w:r>
            <w:r>
              <w:rPr>
                <w:w w:val="105"/>
                <w:sz w:val="16"/>
              </w:rPr>
              <w:t>и</w:t>
            </w:r>
            <w:r>
              <w:rPr>
                <w:spacing w:val="-10"/>
                <w:w w:val="105"/>
                <w:sz w:val="16"/>
              </w:rPr>
              <w:t> </w:t>
            </w:r>
            <w:r>
              <w:rPr>
                <w:w w:val="105"/>
                <w:sz w:val="16"/>
              </w:rPr>
              <w:t>3-й</w:t>
            </w:r>
            <w:r>
              <w:rPr>
                <w:spacing w:val="-10"/>
                <w:w w:val="105"/>
                <w:sz w:val="16"/>
              </w:rPr>
              <w:t> </w:t>
            </w:r>
            <w:r>
              <w:rPr>
                <w:w w:val="105"/>
                <w:sz w:val="16"/>
              </w:rPr>
              <w:t>минуте</w:t>
            </w:r>
            <w:r>
              <w:rPr>
                <w:spacing w:val="-11"/>
                <w:w w:val="105"/>
                <w:sz w:val="16"/>
              </w:rPr>
              <w:t> </w:t>
            </w:r>
            <w:r>
              <w:rPr>
                <w:w w:val="105"/>
                <w:sz w:val="16"/>
              </w:rPr>
              <w:t>после</w:t>
            </w:r>
            <w:r>
              <w:rPr>
                <w:spacing w:val="-10"/>
                <w:w w:val="105"/>
                <w:sz w:val="16"/>
              </w:rPr>
              <w:t> </w:t>
            </w:r>
            <w:r>
              <w:rPr>
                <w:w w:val="105"/>
                <w:sz w:val="16"/>
              </w:rPr>
              <w:t>перехода</w:t>
            </w:r>
            <w:r>
              <w:rPr>
                <w:spacing w:val="-10"/>
                <w:w w:val="105"/>
                <w:sz w:val="16"/>
              </w:rPr>
              <w:t> </w:t>
            </w:r>
            <w:r>
              <w:rPr>
                <w:w w:val="105"/>
                <w:sz w:val="16"/>
              </w:rPr>
              <w:t>в</w:t>
            </w:r>
            <w:r>
              <w:rPr>
                <w:spacing w:val="-10"/>
                <w:w w:val="105"/>
                <w:sz w:val="16"/>
              </w:rPr>
              <w:t> </w:t>
            </w:r>
            <w:r>
              <w:rPr>
                <w:w w:val="105"/>
                <w:sz w:val="16"/>
              </w:rPr>
              <w:t>вертикальное</w:t>
            </w:r>
            <w:r>
              <w:rPr>
                <w:spacing w:val="-10"/>
                <w:w w:val="105"/>
                <w:sz w:val="16"/>
              </w:rPr>
              <w:t> </w:t>
            </w:r>
            <w:r>
              <w:rPr>
                <w:w w:val="105"/>
                <w:sz w:val="16"/>
              </w:rPr>
              <w:t>положение из положения сидя всем пациентам при первом посещении для исключения ортостатической гипотензии. Во время последующих посещений врача может </w:t>
            </w:r>
            <w:r>
              <w:rPr>
                <w:spacing w:val="-3"/>
                <w:w w:val="105"/>
                <w:sz w:val="16"/>
              </w:rPr>
              <w:t>быть </w:t>
            </w:r>
            <w:r>
              <w:rPr>
                <w:w w:val="105"/>
                <w:sz w:val="16"/>
              </w:rPr>
              <w:t>целесообразным</w:t>
            </w:r>
            <w:r>
              <w:rPr>
                <w:spacing w:val="-9"/>
                <w:w w:val="105"/>
                <w:sz w:val="16"/>
              </w:rPr>
              <w:t> </w:t>
            </w:r>
            <w:r>
              <w:rPr>
                <w:w w:val="105"/>
                <w:sz w:val="16"/>
              </w:rPr>
              <w:t>измерение</w:t>
            </w:r>
            <w:r>
              <w:rPr>
                <w:spacing w:val="-8"/>
                <w:w w:val="105"/>
                <w:sz w:val="16"/>
              </w:rPr>
              <w:t> </w:t>
            </w:r>
            <w:r>
              <w:rPr>
                <w:w w:val="105"/>
                <w:sz w:val="16"/>
              </w:rPr>
              <w:t>АД</w:t>
            </w:r>
            <w:r>
              <w:rPr>
                <w:spacing w:val="-8"/>
                <w:w w:val="105"/>
                <w:sz w:val="16"/>
              </w:rPr>
              <w:t> </w:t>
            </w:r>
            <w:r>
              <w:rPr>
                <w:w w:val="105"/>
                <w:sz w:val="16"/>
              </w:rPr>
              <w:t>в</w:t>
            </w:r>
            <w:r>
              <w:rPr>
                <w:spacing w:val="-9"/>
                <w:w w:val="105"/>
                <w:sz w:val="16"/>
              </w:rPr>
              <w:t> </w:t>
            </w:r>
            <w:r>
              <w:rPr>
                <w:w w:val="105"/>
                <w:sz w:val="16"/>
              </w:rPr>
              <w:t>положениях</w:t>
            </w:r>
            <w:r>
              <w:rPr>
                <w:spacing w:val="-8"/>
                <w:w w:val="105"/>
                <w:sz w:val="16"/>
              </w:rPr>
              <w:t> </w:t>
            </w:r>
            <w:r>
              <w:rPr>
                <w:w w:val="105"/>
                <w:sz w:val="16"/>
              </w:rPr>
              <w:t>лежа</w:t>
            </w:r>
            <w:r>
              <w:rPr>
                <w:spacing w:val="-8"/>
                <w:w w:val="105"/>
                <w:sz w:val="16"/>
              </w:rPr>
              <w:t> </w:t>
            </w:r>
            <w:r>
              <w:rPr>
                <w:w w:val="105"/>
                <w:sz w:val="16"/>
              </w:rPr>
              <w:t>и</w:t>
            </w:r>
            <w:r>
              <w:rPr>
                <w:spacing w:val="-8"/>
                <w:w w:val="105"/>
                <w:sz w:val="16"/>
              </w:rPr>
              <w:t> </w:t>
            </w:r>
            <w:r>
              <w:rPr>
                <w:w w:val="105"/>
                <w:sz w:val="16"/>
              </w:rPr>
              <w:t>стоя</w:t>
            </w:r>
            <w:r>
              <w:rPr>
                <w:spacing w:val="-9"/>
                <w:w w:val="105"/>
                <w:sz w:val="16"/>
              </w:rPr>
              <w:t> </w:t>
            </w:r>
            <w:r>
              <w:rPr>
                <w:w w:val="105"/>
                <w:sz w:val="16"/>
              </w:rPr>
              <w:t>пожилым</w:t>
            </w:r>
            <w:r>
              <w:rPr>
                <w:spacing w:val="-8"/>
                <w:w w:val="105"/>
                <w:sz w:val="16"/>
              </w:rPr>
              <w:t> </w:t>
            </w:r>
            <w:r>
              <w:rPr>
                <w:w w:val="105"/>
                <w:sz w:val="16"/>
              </w:rPr>
              <w:t>больным,</w:t>
            </w:r>
            <w:r>
              <w:rPr>
                <w:spacing w:val="-8"/>
                <w:w w:val="105"/>
                <w:sz w:val="16"/>
              </w:rPr>
              <w:t> </w:t>
            </w:r>
            <w:r>
              <w:rPr>
                <w:w w:val="105"/>
                <w:sz w:val="16"/>
              </w:rPr>
              <w:t>пациентам с диабетом и пациентам, имеющим другие причины для развития ортостатической гипотензии</w:t>
            </w:r>
          </w:p>
        </w:tc>
      </w:tr>
      <w:tr>
        <w:trPr>
          <w:trHeight w:val="1075" w:hRule="atLeast"/>
        </w:trPr>
        <w:tc>
          <w:tcPr>
            <w:tcW w:w="8434" w:type="dxa"/>
          </w:tcPr>
          <w:p>
            <w:pPr>
              <w:pStyle w:val="TableParagraph"/>
              <w:spacing w:before="12"/>
              <w:ind w:left="0"/>
              <w:rPr>
                <w:rFonts w:ascii="Palatino Linotype"/>
                <w:b/>
                <w:sz w:val="17"/>
              </w:rPr>
            </w:pPr>
          </w:p>
          <w:p>
            <w:pPr>
              <w:pStyle w:val="TableParagraph"/>
              <w:spacing w:line="482" w:lineRule="auto" w:before="0"/>
              <w:ind w:left="470"/>
              <w:rPr>
                <w:sz w:val="16"/>
              </w:rPr>
            </w:pPr>
            <w:r>
              <w:rPr>
                <w:w w:val="105"/>
                <w:sz w:val="16"/>
              </w:rPr>
              <w:t>Необходимо зарегистрировать частоту сердечных сокращений и оценить пульс с целью исключения нарушений ритма</w:t>
            </w:r>
          </w:p>
        </w:tc>
      </w:tr>
    </w:tbl>
    <w:p>
      <w:pPr>
        <w:pStyle w:val="BodyText"/>
        <w:spacing w:line="256" w:lineRule="auto" w:before="16"/>
        <w:ind w:left="380" w:right="122"/>
        <w:jc w:val="left"/>
      </w:pPr>
      <w:r>
        <w:rPr/>
        <w:pict>
          <v:shape style="position:absolute;margin-left:103.543495pt;margin-top:17.258884pt;width:3.05pt;height:3.05pt;mso-position-horizontal-relative:page;mso-position-vertical-relative:page;z-index:-18197504" coordorigin="2071,345" coordsize="61,61" path="m2109,405l2093,405,2086,402,2074,390,2071,383,2071,367,2074,359,2080,354,2086,348,2093,345,2109,345,2131,375,2131,383,2128,390,2116,402,2109,405xe" filled="true" fillcolor="#000000" stroked="false">
            <v:path arrowok="t"/>
            <v:fill type="solid"/>
            <w10:wrap type="none"/>
          </v:shape>
        </w:pict>
      </w:r>
      <w:r>
        <w:rPr/>
        <w:pict>
          <v:shape style="position:absolute;margin-left:103.543495pt;margin-top:91.540092pt;width:3.05pt;height:3.05pt;mso-position-horizontal-relative:page;mso-position-vertical-relative:page;z-index:-18196992" coordorigin="2071,1831" coordsize="61,61" path="m2101,1891l2093,1891,2086,1888,2074,1876,2071,1869,2071,1852,2074,1845,2086,1834,2093,1831,2109,1831,2116,1834,2128,1845,2131,1852,2131,1861,2131,1869,2128,1876,2116,1888,2109,1891,2101,1891xe" filled="true" fillcolor="#000000" stroked="false">
            <v:path arrowok="t"/>
            <v:fill type="solid"/>
            <w10:wrap type="none"/>
          </v:shape>
        </w:pict>
      </w:r>
      <w:r>
        <w:rPr/>
        <w:pict>
          <v:shape style="position:absolute;margin-left:103.543495pt;margin-top:-38.300152pt;width:3.05pt;height:3.05pt;mso-position-horizontal-relative:page;mso-position-vertical-relative:paragraph;z-index:-18196480" coordorigin="2071,-766" coordsize="61,61" path="m2101,-706l2093,-706,2086,-709,2074,-721,2071,-728,2071,-744,2074,-751,2086,-763,2093,-766,2109,-766,2116,-763,2128,-751,2131,-744,2131,-736,2131,-728,2128,-721,2116,-709,2109,-706,2101,-706xe" filled="true" fillcolor="#000000" stroked="false">
            <v:path arrowok="t"/>
            <v:fill type="solid"/>
            <w10:wrap type="none"/>
          </v:shape>
        </w:pict>
      </w:r>
      <w:r>
        <w:rPr/>
        <w:t>АД</w:t>
      </w:r>
      <w:r>
        <w:rPr>
          <w:spacing w:val="-17"/>
        </w:rPr>
        <w:t> </w:t>
      </w:r>
      <w:r>
        <w:rPr/>
        <w:t>—</w:t>
      </w:r>
      <w:r>
        <w:rPr>
          <w:spacing w:val="-16"/>
        </w:rPr>
        <w:t> </w:t>
      </w:r>
      <w:r>
        <w:rPr/>
        <w:t>артериальное</w:t>
      </w:r>
      <w:r>
        <w:rPr>
          <w:spacing w:val="-17"/>
        </w:rPr>
        <w:t> </w:t>
      </w:r>
      <w:r>
        <w:rPr/>
        <w:t>давление,</w:t>
      </w:r>
      <w:r>
        <w:rPr>
          <w:spacing w:val="-16"/>
        </w:rPr>
        <w:t> </w:t>
      </w:r>
      <w:r>
        <w:rPr>
          <w:spacing w:val="-3"/>
        </w:rPr>
        <w:t>САД</w:t>
      </w:r>
      <w:r>
        <w:rPr>
          <w:spacing w:val="-17"/>
        </w:rPr>
        <w:t> </w:t>
      </w:r>
      <w:r>
        <w:rPr/>
        <w:t>—</w:t>
      </w:r>
      <w:r>
        <w:rPr>
          <w:spacing w:val="-16"/>
        </w:rPr>
        <w:t> </w:t>
      </w:r>
      <w:r>
        <w:rPr/>
        <w:t>систолическое</w:t>
      </w:r>
      <w:r>
        <w:rPr>
          <w:spacing w:val="-17"/>
        </w:rPr>
        <w:t> </w:t>
      </w:r>
      <w:r>
        <w:rPr/>
        <w:t>артериальное давление; ДАД — диастолическое артериальное</w:t>
      </w:r>
      <w:r>
        <w:rPr>
          <w:spacing w:val="-9"/>
        </w:rPr>
        <w:t> </w:t>
      </w:r>
      <w:r>
        <w:rPr/>
        <w:t>давление.</w:t>
      </w:r>
    </w:p>
    <w:p>
      <w:pPr>
        <w:pStyle w:val="BodyText"/>
        <w:spacing w:before="0"/>
        <w:ind w:left="0"/>
        <w:jc w:val="left"/>
        <w:rPr>
          <w:sz w:val="20"/>
        </w:rPr>
      </w:pPr>
    </w:p>
    <w:p>
      <w:pPr>
        <w:pStyle w:val="BodyText"/>
        <w:spacing w:before="0"/>
        <w:ind w:left="0"/>
        <w:jc w:val="left"/>
        <w:rPr>
          <w:sz w:val="20"/>
        </w:rPr>
      </w:pPr>
    </w:p>
    <w:p>
      <w:pPr>
        <w:pStyle w:val="BodyText"/>
        <w:spacing w:before="11"/>
        <w:ind w:left="0"/>
        <w:jc w:val="left"/>
        <w:rPr>
          <w:sz w:val="21"/>
        </w:rPr>
      </w:pPr>
    </w:p>
    <w:p>
      <w:pPr>
        <w:spacing w:line="256" w:lineRule="auto" w:before="98"/>
        <w:ind w:left="380" w:right="136" w:firstLine="0"/>
        <w:jc w:val="both"/>
        <w:rPr>
          <w:b/>
          <w:sz w:val="27"/>
        </w:rPr>
      </w:pPr>
      <w:r>
        <w:rPr>
          <w:b/>
          <w:sz w:val="27"/>
          <w:u w:val="single"/>
        </w:rPr>
        <w:t>Таблица П2/Г1. Классификация А</w:t>
      </w:r>
      <w:r>
        <w:rPr>
          <w:b/>
          <w:sz w:val="27"/>
        </w:rPr>
        <w:t>Д,</w:t>
      </w:r>
      <w:r>
        <w:rPr>
          <w:b/>
          <w:sz w:val="27"/>
          <w:u w:val="single"/>
        </w:rPr>
        <w:t> изме</w:t>
      </w:r>
      <w:r>
        <w:rPr>
          <w:b/>
          <w:sz w:val="27"/>
        </w:rPr>
        <w:t>р</w:t>
      </w:r>
      <w:r>
        <w:rPr>
          <w:b/>
          <w:sz w:val="27"/>
          <w:u w:val="single"/>
        </w:rPr>
        <w:t>енного в</w:t>
      </w:r>
      <w:r>
        <w:rPr>
          <w:b/>
          <w:sz w:val="27"/>
        </w:rPr>
        <w:t> </w:t>
      </w:r>
      <w:r>
        <w:rPr>
          <w:b/>
          <w:sz w:val="27"/>
          <w:u w:val="single"/>
        </w:rPr>
        <w:t>ме</w:t>
      </w:r>
      <w:r>
        <w:rPr>
          <w:b/>
          <w:sz w:val="27"/>
        </w:rPr>
        <w:t>д</w:t>
      </w:r>
      <w:r>
        <w:rPr>
          <w:b/>
          <w:sz w:val="27"/>
          <w:u w:val="single"/>
        </w:rPr>
        <w:t>ицинском </w:t>
      </w:r>
      <w:r>
        <w:rPr>
          <w:b/>
          <w:sz w:val="27"/>
        </w:rPr>
        <w:t>у</w:t>
      </w:r>
      <w:r>
        <w:rPr>
          <w:b/>
          <w:sz w:val="27"/>
          <w:u w:val="single"/>
        </w:rPr>
        <w:t>ч</w:t>
      </w:r>
      <w:r>
        <w:rPr>
          <w:b/>
          <w:sz w:val="27"/>
        </w:rPr>
        <w:t>р</w:t>
      </w:r>
      <w:r>
        <w:rPr>
          <w:b/>
          <w:sz w:val="27"/>
          <w:u w:val="single"/>
        </w:rPr>
        <w:t>еж</w:t>
      </w:r>
      <w:r>
        <w:rPr>
          <w:b/>
          <w:sz w:val="27"/>
        </w:rPr>
        <w:t>д</w:t>
      </w:r>
      <w:r>
        <w:rPr>
          <w:b/>
          <w:sz w:val="27"/>
          <w:u w:val="single"/>
        </w:rPr>
        <w:t>ении</w:t>
      </w:r>
      <w:r>
        <w:rPr>
          <w:b/>
          <w:sz w:val="27"/>
        </w:rPr>
        <w:t>,</w:t>
      </w:r>
      <w:r>
        <w:rPr>
          <w:b/>
          <w:sz w:val="27"/>
          <w:u w:val="single"/>
        </w:rPr>
        <w:t> и оп</w:t>
      </w:r>
      <w:r>
        <w:rPr>
          <w:b/>
          <w:sz w:val="27"/>
        </w:rPr>
        <w:t>р</w:t>
      </w:r>
      <w:r>
        <w:rPr>
          <w:b/>
          <w:sz w:val="27"/>
          <w:u w:val="single"/>
        </w:rPr>
        <w:t>е</w:t>
      </w:r>
      <w:r>
        <w:rPr>
          <w:b/>
          <w:sz w:val="27"/>
        </w:rPr>
        <w:t>д</w:t>
      </w:r>
      <w:r>
        <w:rPr>
          <w:b/>
          <w:sz w:val="27"/>
          <w:u w:val="single"/>
        </w:rPr>
        <w:t>еление степеней</w:t>
      </w:r>
      <w:r>
        <w:rPr>
          <w:b/>
          <w:sz w:val="27"/>
        </w:rPr>
        <w:t> </w:t>
      </w:r>
      <w:r>
        <w:rPr>
          <w:b/>
          <w:sz w:val="27"/>
          <w:u w:val="single"/>
        </w:rPr>
        <w:t>гипе</w:t>
      </w:r>
      <w:r>
        <w:rPr>
          <w:b/>
          <w:sz w:val="27"/>
        </w:rPr>
        <w:t>р</w:t>
      </w:r>
      <w:r>
        <w:rPr>
          <w:b/>
          <w:sz w:val="27"/>
          <w:u w:val="single"/>
        </w:rPr>
        <w:t>тензии</w:t>
      </w:r>
    </w:p>
    <w:p>
      <w:pPr>
        <w:pStyle w:val="BodyText"/>
        <w:spacing w:before="1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31"/>
        <w:gridCol w:w="2010"/>
        <w:gridCol w:w="1230"/>
        <w:gridCol w:w="1860"/>
      </w:tblGrid>
      <w:tr>
        <w:trPr>
          <w:trHeight w:val="460" w:hRule="atLeast"/>
        </w:trPr>
        <w:tc>
          <w:tcPr>
            <w:tcW w:w="3331" w:type="dxa"/>
          </w:tcPr>
          <w:p>
            <w:pPr>
              <w:pStyle w:val="TableParagraph"/>
              <w:rPr>
                <w:sz w:val="16"/>
              </w:rPr>
            </w:pPr>
            <w:r>
              <w:rPr>
                <w:w w:val="105"/>
                <w:sz w:val="16"/>
              </w:rPr>
              <w:t>Категория</w:t>
            </w:r>
          </w:p>
        </w:tc>
        <w:tc>
          <w:tcPr>
            <w:tcW w:w="2010" w:type="dxa"/>
          </w:tcPr>
          <w:p>
            <w:pPr>
              <w:pStyle w:val="TableParagraph"/>
              <w:rPr>
                <w:sz w:val="16"/>
              </w:rPr>
            </w:pPr>
            <w:r>
              <w:rPr>
                <w:w w:val="105"/>
                <w:sz w:val="16"/>
              </w:rPr>
              <w:t>САД (мм рт. ст.)</w:t>
            </w:r>
          </w:p>
        </w:tc>
        <w:tc>
          <w:tcPr>
            <w:tcW w:w="1230" w:type="dxa"/>
          </w:tcPr>
          <w:p>
            <w:pPr>
              <w:pStyle w:val="TableParagraph"/>
              <w:spacing w:before="0"/>
              <w:ind w:left="0"/>
              <w:rPr>
                <w:rFonts w:ascii="Times New Roman"/>
                <w:sz w:val="18"/>
              </w:rPr>
            </w:pPr>
          </w:p>
        </w:tc>
        <w:tc>
          <w:tcPr>
            <w:tcW w:w="1860" w:type="dxa"/>
          </w:tcPr>
          <w:p>
            <w:pPr>
              <w:pStyle w:val="TableParagraph"/>
              <w:ind w:left="156"/>
              <w:rPr>
                <w:sz w:val="16"/>
              </w:rPr>
            </w:pPr>
            <w:r>
              <w:rPr>
                <w:w w:val="105"/>
                <w:sz w:val="16"/>
              </w:rPr>
              <w:t>ДАД (мм рт. ст.)</w:t>
            </w:r>
          </w:p>
        </w:tc>
      </w:tr>
      <w:tr>
        <w:trPr>
          <w:trHeight w:val="460" w:hRule="atLeast"/>
        </w:trPr>
        <w:tc>
          <w:tcPr>
            <w:tcW w:w="3331" w:type="dxa"/>
          </w:tcPr>
          <w:p>
            <w:pPr>
              <w:pStyle w:val="TableParagraph"/>
              <w:rPr>
                <w:sz w:val="16"/>
              </w:rPr>
            </w:pPr>
            <w:r>
              <w:rPr>
                <w:w w:val="105"/>
                <w:sz w:val="16"/>
              </w:rPr>
              <w:t>Оптимальное</w:t>
            </w:r>
          </w:p>
        </w:tc>
        <w:tc>
          <w:tcPr>
            <w:tcW w:w="2010" w:type="dxa"/>
          </w:tcPr>
          <w:p>
            <w:pPr>
              <w:pStyle w:val="TableParagraph"/>
              <w:rPr>
                <w:sz w:val="16"/>
              </w:rPr>
            </w:pPr>
            <w:r>
              <w:rPr>
                <w:w w:val="105"/>
                <w:sz w:val="16"/>
              </w:rPr>
              <w:t>&lt;120</w:t>
            </w:r>
          </w:p>
        </w:tc>
        <w:tc>
          <w:tcPr>
            <w:tcW w:w="1230" w:type="dxa"/>
          </w:tcPr>
          <w:p>
            <w:pPr>
              <w:pStyle w:val="TableParagraph"/>
              <w:ind w:left="156"/>
              <w:rPr>
                <w:sz w:val="16"/>
              </w:rPr>
            </w:pPr>
            <w:r>
              <w:rPr>
                <w:w w:val="103"/>
                <w:sz w:val="16"/>
              </w:rPr>
              <w:t>и</w:t>
            </w:r>
          </w:p>
        </w:tc>
        <w:tc>
          <w:tcPr>
            <w:tcW w:w="1860" w:type="dxa"/>
          </w:tcPr>
          <w:p>
            <w:pPr>
              <w:pStyle w:val="TableParagraph"/>
              <w:ind w:left="156"/>
              <w:rPr>
                <w:sz w:val="16"/>
              </w:rPr>
            </w:pPr>
            <w:r>
              <w:rPr>
                <w:w w:val="105"/>
                <w:sz w:val="16"/>
              </w:rPr>
              <w:t>&lt;80</w:t>
            </w:r>
          </w:p>
        </w:tc>
      </w:tr>
      <w:tr>
        <w:trPr>
          <w:trHeight w:val="460" w:hRule="atLeast"/>
        </w:trPr>
        <w:tc>
          <w:tcPr>
            <w:tcW w:w="3331" w:type="dxa"/>
          </w:tcPr>
          <w:p>
            <w:pPr>
              <w:pStyle w:val="TableParagraph"/>
              <w:rPr>
                <w:sz w:val="16"/>
              </w:rPr>
            </w:pPr>
            <w:r>
              <w:rPr>
                <w:w w:val="105"/>
                <w:sz w:val="16"/>
              </w:rPr>
              <w:t>Нормальное</w:t>
            </w:r>
          </w:p>
        </w:tc>
        <w:tc>
          <w:tcPr>
            <w:tcW w:w="2010" w:type="dxa"/>
          </w:tcPr>
          <w:p>
            <w:pPr>
              <w:pStyle w:val="TableParagraph"/>
              <w:rPr>
                <w:sz w:val="16"/>
              </w:rPr>
            </w:pPr>
            <w:r>
              <w:rPr>
                <w:w w:val="105"/>
                <w:sz w:val="16"/>
              </w:rPr>
              <w:t>120–129</w:t>
            </w:r>
          </w:p>
        </w:tc>
        <w:tc>
          <w:tcPr>
            <w:tcW w:w="1230" w:type="dxa"/>
          </w:tcPr>
          <w:p>
            <w:pPr>
              <w:pStyle w:val="TableParagraph"/>
              <w:ind w:left="156"/>
              <w:rPr>
                <w:sz w:val="16"/>
              </w:rPr>
            </w:pPr>
            <w:r>
              <w:rPr>
                <w:w w:val="105"/>
                <w:sz w:val="16"/>
              </w:rPr>
              <w:t>и/или</w:t>
            </w:r>
          </w:p>
        </w:tc>
        <w:tc>
          <w:tcPr>
            <w:tcW w:w="1860" w:type="dxa"/>
          </w:tcPr>
          <w:p>
            <w:pPr>
              <w:pStyle w:val="TableParagraph"/>
              <w:ind w:left="156"/>
              <w:rPr>
                <w:sz w:val="16"/>
              </w:rPr>
            </w:pPr>
            <w:r>
              <w:rPr>
                <w:w w:val="105"/>
                <w:sz w:val="16"/>
              </w:rPr>
              <w:t>80–84</w:t>
            </w:r>
          </w:p>
        </w:tc>
      </w:tr>
      <w:tr>
        <w:trPr>
          <w:trHeight w:val="460" w:hRule="atLeast"/>
        </w:trPr>
        <w:tc>
          <w:tcPr>
            <w:tcW w:w="3331" w:type="dxa"/>
          </w:tcPr>
          <w:p>
            <w:pPr>
              <w:pStyle w:val="TableParagraph"/>
              <w:rPr>
                <w:sz w:val="16"/>
              </w:rPr>
            </w:pPr>
            <w:r>
              <w:rPr>
                <w:w w:val="105"/>
                <w:sz w:val="16"/>
              </w:rPr>
              <w:t>Высокое нормальное</w:t>
            </w:r>
          </w:p>
        </w:tc>
        <w:tc>
          <w:tcPr>
            <w:tcW w:w="2010" w:type="dxa"/>
          </w:tcPr>
          <w:p>
            <w:pPr>
              <w:pStyle w:val="TableParagraph"/>
              <w:rPr>
                <w:sz w:val="16"/>
              </w:rPr>
            </w:pPr>
            <w:r>
              <w:rPr>
                <w:w w:val="105"/>
                <w:sz w:val="16"/>
              </w:rPr>
              <w:t>130–139</w:t>
            </w:r>
          </w:p>
        </w:tc>
        <w:tc>
          <w:tcPr>
            <w:tcW w:w="1230" w:type="dxa"/>
          </w:tcPr>
          <w:p>
            <w:pPr>
              <w:pStyle w:val="TableParagraph"/>
              <w:ind w:left="156"/>
              <w:rPr>
                <w:sz w:val="16"/>
              </w:rPr>
            </w:pPr>
            <w:r>
              <w:rPr>
                <w:w w:val="105"/>
                <w:sz w:val="16"/>
              </w:rPr>
              <w:t>и/или</w:t>
            </w:r>
          </w:p>
        </w:tc>
        <w:tc>
          <w:tcPr>
            <w:tcW w:w="1860" w:type="dxa"/>
          </w:tcPr>
          <w:p>
            <w:pPr>
              <w:pStyle w:val="TableParagraph"/>
              <w:ind w:left="156"/>
              <w:rPr>
                <w:sz w:val="16"/>
              </w:rPr>
            </w:pPr>
            <w:r>
              <w:rPr>
                <w:w w:val="105"/>
                <w:sz w:val="16"/>
              </w:rPr>
              <w:t>85–89</w:t>
            </w:r>
          </w:p>
        </w:tc>
      </w:tr>
      <w:tr>
        <w:trPr>
          <w:trHeight w:val="460" w:hRule="atLeast"/>
        </w:trPr>
        <w:tc>
          <w:tcPr>
            <w:tcW w:w="3331" w:type="dxa"/>
          </w:tcPr>
          <w:p>
            <w:pPr>
              <w:pStyle w:val="TableParagraph"/>
              <w:rPr>
                <w:sz w:val="16"/>
              </w:rPr>
            </w:pPr>
            <w:r>
              <w:rPr>
                <w:w w:val="105"/>
                <w:sz w:val="16"/>
              </w:rPr>
              <w:t>АГ 1-й степени</w:t>
            </w:r>
          </w:p>
        </w:tc>
        <w:tc>
          <w:tcPr>
            <w:tcW w:w="2010" w:type="dxa"/>
          </w:tcPr>
          <w:p>
            <w:pPr>
              <w:pStyle w:val="TableParagraph"/>
              <w:rPr>
                <w:sz w:val="16"/>
              </w:rPr>
            </w:pPr>
            <w:r>
              <w:rPr>
                <w:w w:val="105"/>
                <w:sz w:val="16"/>
              </w:rPr>
              <w:t>140–159</w:t>
            </w:r>
          </w:p>
        </w:tc>
        <w:tc>
          <w:tcPr>
            <w:tcW w:w="1230" w:type="dxa"/>
          </w:tcPr>
          <w:p>
            <w:pPr>
              <w:pStyle w:val="TableParagraph"/>
              <w:ind w:left="156"/>
              <w:rPr>
                <w:sz w:val="16"/>
              </w:rPr>
            </w:pPr>
            <w:r>
              <w:rPr>
                <w:w w:val="105"/>
                <w:sz w:val="16"/>
              </w:rPr>
              <w:t>и/или</w:t>
            </w:r>
          </w:p>
        </w:tc>
        <w:tc>
          <w:tcPr>
            <w:tcW w:w="1860" w:type="dxa"/>
          </w:tcPr>
          <w:p>
            <w:pPr>
              <w:pStyle w:val="TableParagraph"/>
              <w:ind w:left="156"/>
              <w:rPr>
                <w:sz w:val="16"/>
              </w:rPr>
            </w:pPr>
            <w:r>
              <w:rPr>
                <w:w w:val="105"/>
                <w:sz w:val="16"/>
              </w:rPr>
              <w:t>90–99</w:t>
            </w:r>
          </w:p>
        </w:tc>
      </w:tr>
      <w:tr>
        <w:trPr>
          <w:trHeight w:val="460" w:hRule="atLeast"/>
        </w:trPr>
        <w:tc>
          <w:tcPr>
            <w:tcW w:w="3331" w:type="dxa"/>
          </w:tcPr>
          <w:p>
            <w:pPr>
              <w:pStyle w:val="TableParagraph"/>
              <w:rPr>
                <w:sz w:val="16"/>
              </w:rPr>
            </w:pPr>
            <w:r>
              <w:rPr>
                <w:w w:val="105"/>
                <w:sz w:val="16"/>
              </w:rPr>
              <w:t>АГ 2-й степени</w:t>
            </w:r>
          </w:p>
        </w:tc>
        <w:tc>
          <w:tcPr>
            <w:tcW w:w="2010" w:type="dxa"/>
          </w:tcPr>
          <w:p>
            <w:pPr>
              <w:pStyle w:val="TableParagraph"/>
              <w:rPr>
                <w:sz w:val="16"/>
              </w:rPr>
            </w:pPr>
            <w:r>
              <w:rPr>
                <w:w w:val="105"/>
                <w:sz w:val="16"/>
              </w:rPr>
              <w:t>160–179</w:t>
            </w:r>
          </w:p>
        </w:tc>
        <w:tc>
          <w:tcPr>
            <w:tcW w:w="1230" w:type="dxa"/>
          </w:tcPr>
          <w:p>
            <w:pPr>
              <w:pStyle w:val="TableParagraph"/>
              <w:ind w:left="156"/>
              <w:rPr>
                <w:sz w:val="16"/>
              </w:rPr>
            </w:pPr>
            <w:r>
              <w:rPr>
                <w:w w:val="105"/>
                <w:sz w:val="16"/>
              </w:rPr>
              <w:t>и/или</w:t>
            </w:r>
          </w:p>
        </w:tc>
        <w:tc>
          <w:tcPr>
            <w:tcW w:w="1860" w:type="dxa"/>
          </w:tcPr>
          <w:p>
            <w:pPr>
              <w:pStyle w:val="TableParagraph"/>
              <w:ind w:left="156"/>
              <w:rPr>
                <w:sz w:val="16"/>
              </w:rPr>
            </w:pPr>
            <w:r>
              <w:rPr>
                <w:w w:val="105"/>
                <w:sz w:val="16"/>
              </w:rPr>
              <w:t>100–109</w:t>
            </w:r>
          </w:p>
        </w:tc>
      </w:tr>
      <w:tr>
        <w:trPr>
          <w:trHeight w:val="460" w:hRule="atLeast"/>
        </w:trPr>
        <w:tc>
          <w:tcPr>
            <w:tcW w:w="3331" w:type="dxa"/>
          </w:tcPr>
          <w:p>
            <w:pPr>
              <w:pStyle w:val="TableParagraph"/>
              <w:rPr>
                <w:sz w:val="16"/>
              </w:rPr>
            </w:pPr>
            <w:r>
              <w:rPr>
                <w:w w:val="105"/>
                <w:sz w:val="16"/>
              </w:rPr>
              <w:t>АГ 3-й степени</w:t>
            </w:r>
          </w:p>
        </w:tc>
        <w:tc>
          <w:tcPr>
            <w:tcW w:w="2010" w:type="dxa"/>
          </w:tcPr>
          <w:p>
            <w:pPr>
              <w:pStyle w:val="TableParagraph"/>
              <w:rPr>
                <w:sz w:val="16"/>
              </w:rPr>
            </w:pPr>
            <w:r>
              <w:rPr>
                <w:w w:val="105"/>
                <w:sz w:val="16"/>
                <w:u w:val="single"/>
              </w:rPr>
              <w:t>&gt;</w:t>
            </w:r>
            <w:r>
              <w:rPr>
                <w:w w:val="105"/>
                <w:sz w:val="16"/>
              </w:rPr>
              <w:t>180</w:t>
            </w:r>
          </w:p>
        </w:tc>
        <w:tc>
          <w:tcPr>
            <w:tcW w:w="1230" w:type="dxa"/>
          </w:tcPr>
          <w:p>
            <w:pPr>
              <w:pStyle w:val="TableParagraph"/>
              <w:ind w:left="156"/>
              <w:rPr>
                <w:sz w:val="16"/>
              </w:rPr>
            </w:pPr>
            <w:r>
              <w:rPr>
                <w:w w:val="105"/>
                <w:sz w:val="16"/>
              </w:rPr>
              <w:t>и/или</w:t>
            </w:r>
          </w:p>
        </w:tc>
        <w:tc>
          <w:tcPr>
            <w:tcW w:w="1860" w:type="dxa"/>
          </w:tcPr>
          <w:p>
            <w:pPr>
              <w:pStyle w:val="TableParagraph"/>
              <w:ind w:left="156"/>
              <w:rPr>
                <w:sz w:val="16"/>
              </w:rPr>
            </w:pPr>
            <w:r>
              <w:rPr>
                <w:w w:val="105"/>
                <w:sz w:val="16"/>
                <w:u w:val="single"/>
              </w:rPr>
              <w:t>&gt;</w:t>
            </w:r>
            <w:r>
              <w:rPr>
                <w:w w:val="105"/>
                <w:sz w:val="16"/>
              </w:rPr>
              <w:t>110</w:t>
            </w:r>
          </w:p>
        </w:tc>
      </w:tr>
      <w:tr>
        <w:trPr>
          <w:trHeight w:val="625" w:hRule="atLeast"/>
        </w:trPr>
        <w:tc>
          <w:tcPr>
            <w:tcW w:w="3331" w:type="dxa"/>
          </w:tcPr>
          <w:p>
            <w:pPr>
              <w:pStyle w:val="TableParagraph"/>
              <w:tabs>
                <w:tab w:pos="1915" w:val="left" w:leader="none"/>
              </w:tabs>
              <w:spacing w:line="204" w:lineRule="auto" w:before="161"/>
              <w:ind w:right="138"/>
              <w:rPr>
                <w:sz w:val="16"/>
              </w:rPr>
            </w:pPr>
            <w:r>
              <w:rPr>
                <w:w w:val="105"/>
                <w:sz w:val="16"/>
              </w:rPr>
              <w:t>Изолированная</w:t>
              <w:tab/>
            </w:r>
            <w:r>
              <w:rPr>
                <w:spacing w:val="-2"/>
                <w:w w:val="105"/>
                <w:sz w:val="16"/>
              </w:rPr>
              <w:t>систолическая </w:t>
            </w:r>
            <w:r>
              <w:rPr>
                <w:w w:val="105"/>
                <w:sz w:val="16"/>
              </w:rPr>
              <w:t>гипертензия</w:t>
            </w:r>
          </w:p>
        </w:tc>
        <w:tc>
          <w:tcPr>
            <w:tcW w:w="2010" w:type="dxa"/>
          </w:tcPr>
          <w:p>
            <w:pPr>
              <w:pStyle w:val="TableParagraph"/>
              <w:rPr>
                <w:sz w:val="16"/>
              </w:rPr>
            </w:pPr>
            <w:r>
              <w:rPr>
                <w:w w:val="105"/>
                <w:sz w:val="16"/>
                <w:u w:val="single"/>
              </w:rPr>
              <w:t>&gt;</w:t>
            </w:r>
            <w:r>
              <w:rPr>
                <w:w w:val="105"/>
                <w:sz w:val="16"/>
              </w:rPr>
              <w:t>140</w:t>
            </w:r>
          </w:p>
        </w:tc>
        <w:tc>
          <w:tcPr>
            <w:tcW w:w="1230" w:type="dxa"/>
          </w:tcPr>
          <w:p>
            <w:pPr>
              <w:pStyle w:val="TableParagraph"/>
              <w:ind w:left="156"/>
              <w:rPr>
                <w:sz w:val="16"/>
              </w:rPr>
            </w:pPr>
            <w:r>
              <w:rPr>
                <w:w w:val="103"/>
                <w:sz w:val="16"/>
              </w:rPr>
              <w:t>и</w:t>
            </w:r>
          </w:p>
        </w:tc>
        <w:tc>
          <w:tcPr>
            <w:tcW w:w="1860" w:type="dxa"/>
          </w:tcPr>
          <w:p>
            <w:pPr>
              <w:pStyle w:val="TableParagraph"/>
              <w:ind w:left="156"/>
              <w:rPr>
                <w:sz w:val="16"/>
              </w:rPr>
            </w:pPr>
            <w:r>
              <w:rPr>
                <w:w w:val="105"/>
                <w:sz w:val="16"/>
              </w:rPr>
              <w:t>&lt;90</w:t>
            </w:r>
          </w:p>
        </w:tc>
      </w:tr>
    </w:tbl>
    <w:p>
      <w:pPr>
        <w:pStyle w:val="BodyText"/>
        <w:spacing w:line="256" w:lineRule="auto" w:before="16"/>
        <w:ind w:left="380" w:right="135"/>
      </w:pPr>
      <w:r>
        <w:rPr/>
        <w:t>САД — систолическое артериальное давление; ДАД — диастолическое артериальное давление.</w:t>
      </w:r>
    </w:p>
    <w:p>
      <w:pPr>
        <w:pStyle w:val="BodyText"/>
        <w:spacing w:before="0"/>
        <w:ind w:left="0"/>
        <w:jc w:val="left"/>
        <w:rPr>
          <w:sz w:val="20"/>
        </w:rPr>
      </w:pPr>
    </w:p>
    <w:p>
      <w:pPr>
        <w:pStyle w:val="BodyText"/>
        <w:spacing w:before="0"/>
        <w:ind w:left="0"/>
        <w:jc w:val="left"/>
        <w:rPr>
          <w:sz w:val="20"/>
        </w:rPr>
      </w:pPr>
    </w:p>
    <w:p>
      <w:pPr>
        <w:pStyle w:val="BodyText"/>
        <w:spacing w:before="11"/>
        <w:ind w:left="0"/>
        <w:jc w:val="left"/>
        <w:rPr>
          <w:sz w:val="21"/>
        </w:rPr>
      </w:pPr>
    </w:p>
    <w:p>
      <w:pPr>
        <w:spacing w:line="256" w:lineRule="auto" w:before="98"/>
        <w:ind w:left="380" w:right="0" w:firstLine="0"/>
        <w:jc w:val="left"/>
        <w:rPr>
          <w:b/>
          <w:sz w:val="27"/>
        </w:rPr>
      </w:pPr>
      <w:r>
        <w:rPr/>
        <w:pict>
          <v:shape style="position:absolute;margin-left:90.037003pt;margin-top:139.119308pt;width:422.45pt;height:.1pt;mso-position-horizontal-relative:page;mso-position-vertical-relative:paragraph;z-index:15910912" coordorigin="1801,2782" coordsize="8449,1" path="m10249,2782l10234,2782,1816,2782,1801,2782,1816,2782,10234,2782,10249,2782xe" filled="true" fillcolor="#000000" stroked="false">
            <v:path arrowok="t"/>
            <v:fill type="solid"/>
            <w10:wrap type="none"/>
          </v:shape>
        </w:pict>
      </w:r>
      <w:r>
        <w:rPr>
          <w:b/>
          <w:sz w:val="27"/>
          <w:u w:val="single"/>
        </w:rPr>
        <w:t>Таблица П3/Г1. Основная инфо</w:t>
      </w:r>
      <w:r>
        <w:rPr>
          <w:b/>
          <w:sz w:val="27"/>
        </w:rPr>
        <w:t>р</w:t>
      </w:r>
      <w:r>
        <w:rPr>
          <w:b/>
          <w:sz w:val="27"/>
          <w:u w:val="single"/>
        </w:rPr>
        <w:t>мация</w:t>
      </w:r>
      <w:r>
        <w:rPr>
          <w:b/>
          <w:sz w:val="27"/>
        </w:rPr>
        <w:t>,</w:t>
      </w:r>
      <w:r>
        <w:rPr>
          <w:b/>
          <w:sz w:val="27"/>
          <w:u w:val="single"/>
        </w:rPr>
        <w:t> кото</w:t>
      </w:r>
      <w:r>
        <w:rPr>
          <w:b/>
          <w:sz w:val="27"/>
        </w:rPr>
        <w:t>р</w:t>
      </w:r>
      <w:r>
        <w:rPr>
          <w:b/>
          <w:sz w:val="27"/>
          <w:u w:val="single"/>
        </w:rPr>
        <w:t>ая</w:t>
      </w:r>
      <w:r>
        <w:rPr>
          <w:b/>
          <w:sz w:val="27"/>
        </w:rPr>
        <w:t> д</w:t>
      </w:r>
      <w:r>
        <w:rPr>
          <w:b/>
          <w:sz w:val="27"/>
          <w:u w:val="single"/>
        </w:rPr>
        <w:t>олжна быть</w:t>
      </w:r>
      <w:r>
        <w:rPr>
          <w:b/>
          <w:sz w:val="27"/>
        </w:rPr>
        <w:t> </w:t>
      </w:r>
      <w:r>
        <w:rPr>
          <w:b/>
          <w:sz w:val="27"/>
          <w:u w:val="single"/>
        </w:rPr>
        <w:t>пол</w:t>
      </w:r>
      <w:r>
        <w:rPr>
          <w:b/>
          <w:sz w:val="27"/>
        </w:rPr>
        <w:t>у</w:t>
      </w:r>
      <w:r>
        <w:rPr>
          <w:b/>
          <w:sz w:val="27"/>
          <w:u w:val="single"/>
        </w:rPr>
        <w:t>чена п</w:t>
      </w:r>
      <w:r>
        <w:rPr>
          <w:b/>
          <w:sz w:val="27"/>
        </w:rPr>
        <w:t>р</w:t>
      </w:r>
      <w:r>
        <w:rPr>
          <w:b/>
          <w:sz w:val="27"/>
          <w:u w:val="single"/>
        </w:rPr>
        <w:t>и сбо</w:t>
      </w:r>
      <w:r>
        <w:rPr>
          <w:b/>
          <w:sz w:val="27"/>
        </w:rPr>
        <w:t>р</w:t>
      </w:r>
      <w:r>
        <w:rPr>
          <w:b/>
          <w:sz w:val="27"/>
          <w:u w:val="single"/>
        </w:rPr>
        <w:t>е анамнеза</w:t>
      </w:r>
    </w:p>
    <w:p>
      <w:pPr>
        <w:pStyle w:val="BodyText"/>
        <w:spacing w:before="1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460" w:hRule="atLeast"/>
        </w:trPr>
        <w:tc>
          <w:tcPr>
            <w:tcW w:w="8434" w:type="dxa"/>
          </w:tcPr>
          <w:p>
            <w:pPr>
              <w:pStyle w:val="TableParagraph"/>
              <w:rPr>
                <w:b/>
                <w:sz w:val="16"/>
              </w:rPr>
            </w:pPr>
            <w:r>
              <w:rPr>
                <w:b/>
                <w:w w:val="105"/>
                <w:sz w:val="16"/>
              </w:rPr>
              <w:t>Факторы риска</w:t>
            </w:r>
          </w:p>
        </w:tc>
      </w:tr>
      <w:tr>
        <w:trPr>
          <w:trHeight w:val="625" w:hRule="atLeast"/>
        </w:trPr>
        <w:tc>
          <w:tcPr>
            <w:tcW w:w="8434" w:type="dxa"/>
          </w:tcPr>
          <w:p>
            <w:pPr>
              <w:pStyle w:val="TableParagraph"/>
              <w:spacing w:line="204" w:lineRule="auto" w:before="161"/>
              <w:rPr>
                <w:sz w:val="16"/>
              </w:rPr>
            </w:pPr>
            <w:r>
              <w:rPr>
                <w:w w:val="105"/>
                <w:sz w:val="16"/>
              </w:rPr>
              <w:t>Семейный и индивидуальный анамнез артериальной гипертензии, ССЗ, инсультов и заболеваний почек</w:t>
            </w:r>
          </w:p>
        </w:tc>
      </w:tr>
    </w:tbl>
    <w:p>
      <w:pPr>
        <w:spacing w:after="0" w:line="204" w:lineRule="auto"/>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625" w:hRule="atLeast"/>
        </w:trPr>
        <w:tc>
          <w:tcPr>
            <w:tcW w:w="8434" w:type="dxa"/>
          </w:tcPr>
          <w:p>
            <w:pPr>
              <w:pStyle w:val="TableParagraph"/>
              <w:spacing w:line="204" w:lineRule="auto" w:before="161"/>
              <w:rPr>
                <w:sz w:val="16"/>
              </w:rPr>
            </w:pPr>
            <w:r>
              <w:rPr>
                <w:w w:val="105"/>
                <w:sz w:val="16"/>
              </w:rPr>
              <w:t>Семейный и индивидуальный анамнез ассоциированных факторов риска (например, семейной гиперхолестеринемии)</w:t>
            </w:r>
          </w:p>
        </w:tc>
      </w:tr>
      <w:tr>
        <w:trPr>
          <w:trHeight w:val="460" w:hRule="atLeast"/>
        </w:trPr>
        <w:tc>
          <w:tcPr>
            <w:tcW w:w="8434" w:type="dxa"/>
          </w:tcPr>
          <w:p>
            <w:pPr>
              <w:pStyle w:val="TableParagraph"/>
              <w:rPr>
                <w:sz w:val="16"/>
              </w:rPr>
            </w:pPr>
            <w:r>
              <w:rPr>
                <w:w w:val="105"/>
                <w:sz w:val="16"/>
              </w:rPr>
              <w:t>Анамнез курения</w:t>
            </w:r>
          </w:p>
        </w:tc>
      </w:tr>
      <w:tr>
        <w:trPr>
          <w:trHeight w:val="460" w:hRule="atLeast"/>
        </w:trPr>
        <w:tc>
          <w:tcPr>
            <w:tcW w:w="8434" w:type="dxa"/>
          </w:tcPr>
          <w:p>
            <w:pPr>
              <w:pStyle w:val="TableParagraph"/>
              <w:rPr>
                <w:sz w:val="16"/>
              </w:rPr>
            </w:pPr>
            <w:r>
              <w:rPr>
                <w:w w:val="105"/>
                <w:sz w:val="16"/>
              </w:rPr>
              <w:t>Диетические привычки и употребление поваренной соли</w:t>
            </w:r>
          </w:p>
        </w:tc>
      </w:tr>
      <w:tr>
        <w:trPr>
          <w:trHeight w:val="460" w:hRule="atLeast"/>
        </w:trPr>
        <w:tc>
          <w:tcPr>
            <w:tcW w:w="8434" w:type="dxa"/>
          </w:tcPr>
          <w:p>
            <w:pPr>
              <w:pStyle w:val="TableParagraph"/>
              <w:rPr>
                <w:sz w:val="16"/>
              </w:rPr>
            </w:pPr>
            <w:r>
              <w:rPr>
                <w:w w:val="105"/>
                <w:sz w:val="16"/>
              </w:rPr>
              <w:t>Употребление алкоголя</w:t>
            </w:r>
          </w:p>
        </w:tc>
      </w:tr>
      <w:tr>
        <w:trPr>
          <w:trHeight w:val="460" w:hRule="atLeast"/>
        </w:trPr>
        <w:tc>
          <w:tcPr>
            <w:tcW w:w="8434" w:type="dxa"/>
          </w:tcPr>
          <w:p>
            <w:pPr>
              <w:pStyle w:val="TableParagraph"/>
              <w:rPr>
                <w:sz w:val="16"/>
              </w:rPr>
            </w:pPr>
            <w:r>
              <w:rPr>
                <w:w w:val="105"/>
                <w:sz w:val="16"/>
              </w:rPr>
              <w:t>Режим физической активности</w:t>
            </w:r>
          </w:p>
        </w:tc>
      </w:tr>
      <w:tr>
        <w:trPr>
          <w:trHeight w:val="460" w:hRule="atLeast"/>
        </w:trPr>
        <w:tc>
          <w:tcPr>
            <w:tcW w:w="8434" w:type="dxa"/>
          </w:tcPr>
          <w:p>
            <w:pPr>
              <w:pStyle w:val="TableParagraph"/>
              <w:rPr>
                <w:sz w:val="16"/>
              </w:rPr>
            </w:pPr>
            <w:r>
              <w:rPr>
                <w:w w:val="105"/>
                <w:sz w:val="16"/>
              </w:rPr>
              <w:t>Указание в анамнезе на эректильную дисфункцию</w:t>
            </w:r>
          </w:p>
        </w:tc>
      </w:tr>
      <w:tr>
        <w:trPr>
          <w:trHeight w:val="460" w:hRule="atLeast"/>
        </w:trPr>
        <w:tc>
          <w:tcPr>
            <w:tcW w:w="8434" w:type="dxa"/>
          </w:tcPr>
          <w:p>
            <w:pPr>
              <w:pStyle w:val="TableParagraph"/>
              <w:rPr>
                <w:sz w:val="16"/>
              </w:rPr>
            </w:pPr>
            <w:r>
              <w:rPr>
                <w:w w:val="105"/>
                <w:sz w:val="16"/>
              </w:rPr>
              <w:t>Состояние сна, наличие храпа, эпизодов ночного апноэ (информация от членов семьи)</w:t>
            </w:r>
          </w:p>
        </w:tc>
      </w:tr>
      <w:tr>
        <w:trPr>
          <w:trHeight w:val="460" w:hRule="atLeast"/>
        </w:trPr>
        <w:tc>
          <w:tcPr>
            <w:tcW w:w="8434" w:type="dxa"/>
          </w:tcPr>
          <w:p>
            <w:pPr>
              <w:pStyle w:val="TableParagraph"/>
              <w:rPr>
                <w:sz w:val="16"/>
              </w:rPr>
            </w:pPr>
            <w:r>
              <w:rPr>
                <w:w w:val="105"/>
                <w:sz w:val="16"/>
              </w:rPr>
              <w:t>Наличие АГ во время беременности/преэклампсия</w:t>
            </w:r>
          </w:p>
        </w:tc>
      </w:tr>
      <w:tr>
        <w:trPr>
          <w:trHeight w:val="625" w:hRule="atLeast"/>
        </w:trPr>
        <w:tc>
          <w:tcPr>
            <w:tcW w:w="8434" w:type="dxa"/>
          </w:tcPr>
          <w:p>
            <w:pPr>
              <w:pStyle w:val="TableParagraph"/>
              <w:spacing w:line="204" w:lineRule="auto" w:before="161"/>
              <w:rPr>
                <w:b/>
                <w:sz w:val="16"/>
              </w:rPr>
            </w:pPr>
            <w:r>
              <w:rPr>
                <w:b/>
                <w:w w:val="105"/>
                <w:sz w:val="16"/>
              </w:rPr>
              <w:t>Наличие в анамнезе или признаки ПОМ, ССЗ, инсульта, ТИА, СД и заболеваний почек</w:t>
            </w:r>
          </w:p>
        </w:tc>
      </w:tr>
      <w:tr>
        <w:trPr>
          <w:trHeight w:val="790" w:hRule="atLeast"/>
        </w:trPr>
        <w:tc>
          <w:tcPr>
            <w:tcW w:w="8434" w:type="dxa"/>
          </w:tcPr>
          <w:p>
            <w:pPr>
              <w:pStyle w:val="TableParagraph"/>
              <w:spacing w:line="204" w:lineRule="auto" w:before="161"/>
              <w:ind w:right="140"/>
              <w:jc w:val="both"/>
              <w:rPr>
                <w:sz w:val="16"/>
              </w:rPr>
            </w:pPr>
            <w:r>
              <w:rPr>
                <w:w w:val="105"/>
                <w:sz w:val="16"/>
              </w:rPr>
              <w:t>Головной мозг и органы зрения: головные боли, вертиго, синкопе, нарушения зрения,</w:t>
            </w:r>
            <w:r>
              <w:rPr>
                <w:spacing w:val="-38"/>
                <w:w w:val="105"/>
                <w:sz w:val="16"/>
              </w:rPr>
              <w:t> </w:t>
            </w:r>
            <w:r>
              <w:rPr>
                <w:w w:val="105"/>
                <w:sz w:val="16"/>
              </w:rPr>
              <w:t>ТИА, нарушения</w:t>
            </w:r>
            <w:r>
              <w:rPr>
                <w:spacing w:val="-7"/>
                <w:w w:val="105"/>
                <w:sz w:val="16"/>
              </w:rPr>
              <w:t> </w:t>
            </w:r>
            <w:r>
              <w:rPr>
                <w:w w:val="105"/>
                <w:sz w:val="16"/>
              </w:rPr>
              <w:t>моторных</w:t>
            </w:r>
            <w:r>
              <w:rPr>
                <w:spacing w:val="-6"/>
                <w:w w:val="105"/>
                <w:sz w:val="16"/>
              </w:rPr>
              <w:t> </w:t>
            </w:r>
            <w:r>
              <w:rPr>
                <w:w w:val="105"/>
                <w:sz w:val="16"/>
              </w:rPr>
              <w:t>или</w:t>
            </w:r>
            <w:r>
              <w:rPr>
                <w:spacing w:val="-6"/>
                <w:w w:val="105"/>
                <w:sz w:val="16"/>
              </w:rPr>
              <w:t> </w:t>
            </w:r>
            <w:r>
              <w:rPr>
                <w:w w:val="105"/>
                <w:sz w:val="16"/>
              </w:rPr>
              <w:t>сенсорных</w:t>
            </w:r>
            <w:r>
              <w:rPr>
                <w:spacing w:val="-6"/>
                <w:w w:val="105"/>
                <w:sz w:val="16"/>
              </w:rPr>
              <w:t> </w:t>
            </w:r>
            <w:r>
              <w:rPr>
                <w:w w:val="105"/>
                <w:sz w:val="16"/>
              </w:rPr>
              <w:t>функций,</w:t>
            </w:r>
            <w:r>
              <w:rPr>
                <w:spacing w:val="-7"/>
                <w:w w:val="105"/>
                <w:sz w:val="16"/>
              </w:rPr>
              <w:t> </w:t>
            </w:r>
            <w:r>
              <w:rPr>
                <w:w w:val="105"/>
                <w:sz w:val="16"/>
              </w:rPr>
              <w:t>инсульт,</w:t>
            </w:r>
            <w:r>
              <w:rPr>
                <w:spacing w:val="-6"/>
                <w:w w:val="105"/>
                <w:sz w:val="16"/>
              </w:rPr>
              <w:t> </w:t>
            </w:r>
            <w:r>
              <w:rPr>
                <w:w w:val="105"/>
                <w:sz w:val="16"/>
              </w:rPr>
              <w:t>реваскуляризация</w:t>
            </w:r>
            <w:r>
              <w:rPr>
                <w:spacing w:val="-6"/>
                <w:w w:val="105"/>
                <w:sz w:val="16"/>
              </w:rPr>
              <w:t> </w:t>
            </w:r>
            <w:r>
              <w:rPr>
                <w:w w:val="105"/>
                <w:sz w:val="16"/>
              </w:rPr>
              <w:t>сонных</w:t>
            </w:r>
            <w:r>
              <w:rPr>
                <w:spacing w:val="-6"/>
                <w:w w:val="105"/>
                <w:sz w:val="16"/>
              </w:rPr>
              <w:t> </w:t>
            </w:r>
            <w:r>
              <w:rPr>
                <w:w w:val="105"/>
                <w:sz w:val="16"/>
              </w:rPr>
              <w:t>артерий, когнитивные нарушения, деменция (у</w:t>
            </w:r>
            <w:r>
              <w:rPr>
                <w:spacing w:val="-12"/>
                <w:w w:val="105"/>
                <w:sz w:val="16"/>
              </w:rPr>
              <w:t> </w:t>
            </w:r>
            <w:r>
              <w:rPr>
                <w:w w:val="105"/>
                <w:sz w:val="16"/>
              </w:rPr>
              <w:t>пожилых)</w:t>
            </w:r>
          </w:p>
        </w:tc>
      </w:tr>
      <w:tr>
        <w:trPr>
          <w:trHeight w:val="790" w:hRule="atLeast"/>
        </w:trPr>
        <w:tc>
          <w:tcPr>
            <w:tcW w:w="8434" w:type="dxa"/>
          </w:tcPr>
          <w:p>
            <w:pPr>
              <w:pStyle w:val="TableParagraph"/>
              <w:spacing w:line="204" w:lineRule="auto" w:before="161"/>
              <w:ind w:right="144"/>
              <w:jc w:val="both"/>
              <w:rPr>
                <w:sz w:val="16"/>
              </w:rPr>
            </w:pPr>
            <w:r>
              <w:rPr>
                <w:w w:val="105"/>
                <w:sz w:val="16"/>
              </w:rPr>
              <w:t>Сердце: боль в грудной клетке, одышка, отеки, инфаркт миокарда, реваскуляризация коронарных артерий, синкопе, сердцебиения, аритмии (особенно ФП), сердечная недостаточность</w:t>
            </w:r>
          </w:p>
        </w:tc>
      </w:tr>
      <w:tr>
        <w:trPr>
          <w:trHeight w:val="460" w:hRule="atLeast"/>
        </w:trPr>
        <w:tc>
          <w:tcPr>
            <w:tcW w:w="8434" w:type="dxa"/>
          </w:tcPr>
          <w:p>
            <w:pPr>
              <w:pStyle w:val="TableParagraph"/>
              <w:rPr>
                <w:sz w:val="16"/>
              </w:rPr>
            </w:pPr>
            <w:r>
              <w:rPr>
                <w:w w:val="105"/>
                <w:sz w:val="16"/>
              </w:rPr>
              <w:t>Почки: жажда, полиурия, никтурия, гематурия, инфекции мочевыводящих путей</w:t>
            </w:r>
          </w:p>
        </w:tc>
      </w:tr>
      <w:tr>
        <w:trPr>
          <w:trHeight w:val="625" w:hRule="atLeast"/>
        </w:trPr>
        <w:tc>
          <w:tcPr>
            <w:tcW w:w="8434" w:type="dxa"/>
          </w:tcPr>
          <w:p>
            <w:pPr>
              <w:pStyle w:val="TableParagraph"/>
              <w:spacing w:line="204" w:lineRule="auto" w:before="161"/>
              <w:rPr>
                <w:sz w:val="16"/>
              </w:rPr>
            </w:pPr>
            <w:r>
              <w:rPr>
                <w:w w:val="105"/>
                <w:sz w:val="16"/>
              </w:rPr>
              <w:t>Периферические артерии: похолодание конечностей, перемежающаяся хромота, дистанция ходьбы, боли в покое, реваскуляризация периферических артерий</w:t>
            </w:r>
          </w:p>
        </w:tc>
      </w:tr>
      <w:tr>
        <w:trPr>
          <w:trHeight w:val="460" w:hRule="atLeast"/>
        </w:trPr>
        <w:tc>
          <w:tcPr>
            <w:tcW w:w="8434" w:type="dxa"/>
          </w:tcPr>
          <w:p>
            <w:pPr>
              <w:pStyle w:val="TableParagraph"/>
              <w:rPr>
                <w:sz w:val="16"/>
              </w:rPr>
            </w:pPr>
            <w:r>
              <w:rPr>
                <w:w w:val="105"/>
                <w:sz w:val="16"/>
              </w:rPr>
              <w:t>Индивидуальный или семейный анамнез ХБП (например, поликистоз почек)</w:t>
            </w:r>
          </w:p>
        </w:tc>
      </w:tr>
      <w:tr>
        <w:trPr>
          <w:trHeight w:val="460" w:hRule="atLeast"/>
        </w:trPr>
        <w:tc>
          <w:tcPr>
            <w:tcW w:w="8434" w:type="dxa"/>
          </w:tcPr>
          <w:p>
            <w:pPr>
              <w:pStyle w:val="TableParagraph"/>
              <w:rPr>
                <w:b/>
                <w:sz w:val="16"/>
              </w:rPr>
            </w:pPr>
            <w:r>
              <w:rPr>
                <w:b/>
                <w:w w:val="105"/>
                <w:sz w:val="16"/>
              </w:rPr>
              <w:t>Признаки возможной вторичной АГ</w:t>
            </w:r>
          </w:p>
        </w:tc>
      </w:tr>
      <w:tr>
        <w:trPr>
          <w:trHeight w:val="625" w:hRule="atLeast"/>
        </w:trPr>
        <w:tc>
          <w:tcPr>
            <w:tcW w:w="8434" w:type="dxa"/>
          </w:tcPr>
          <w:p>
            <w:pPr>
              <w:pStyle w:val="TableParagraph"/>
              <w:spacing w:line="204" w:lineRule="auto" w:before="161"/>
              <w:ind w:right="53"/>
              <w:rPr>
                <w:sz w:val="16"/>
              </w:rPr>
            </w:pPr>
            <w:r>
              <w:rPr>
                <w:w w:val="105"/>
                <w:sz w:val="16"/>
              </w:rPr>
              <w:t>Развитие АГ 2-й или 3-й степени в молодом возрасте (&lt;40 лет), или внезапное развитие АГ, или быстрое ухудшение течения АГ у пожилых</w:t>
            </w:r>
          </w:p>
        </w:tc>
      </w:tr>
      <w:tr>
        <w:trPr>
          <w:trHeight w:val="460" w:hRule="atLeast"/>
        </w:trPr>
        <w:tc>
          <w:tcPr>
            <w:tcW w:w="8434" w:type="dxa"/>
          </w:tcPr>
          <w:p>
            <w:pPr>
              <w:pStyle w:val="TableParagraph"/>
              <w:rPr>
                <w:sz w:val="16"/>
              </w:rPr>
            </w:pPr>
            <w:r>
              <w:rPr>
                <w:w w:val="105"/>
                <w:sz w:val="16"/>
              </w:rPr>
              <w:t>Указания в анамнезе на заболевания почек/мочевыводящихпутей</w:t>
            </w:r>
          </w:p>
        </w:tc>
      </w:tr>
      <w:tr>
        <w:trPr>
          <w:trHeight w:val="790" w:hRule="atLeast"/>
        </w:trPr>
        <w:tc>
          <w:tcPr>
            <w:tcW w:w="8434" w:type="dxa"/>
          </w:tcPr>
          <w:p>
            <w:pPr>
              <w:pStyle w:val="TableParagraph"/>
              <w:spacing w:line="204" w:lineRule="auto" w:before="161"/>
              <w:ind w:right="139"/>
              <w:jc w:val="both"/>
              <w:rPr>
                <w:sz w:val="16"/>
              </w:rPr>
            </w:pPr>
            <w:r>
              <w:rPr>
                <w:w w:val="105"/>
                <w:sz w:val="16"/>
              </w:rPr>
              <w:t>Употребление наркотических препаратов/субстанций/сопутствующая терапия: кортикостероидами,</w:t>
            </w:r>
            <w:r>
              <w:rPr>
                <w:spacing w:val="-11"/>
                <w:w w:val="105"/>
                <w:sz w:val="16"/>
              </w:rPr>
              <w:t> </w:t>
            </w:r>
            <w:r>
              <w:rPr>
                <w:w w:val="105"/>
                <w:sz w:val="16"/>
              </w:rPr>
              <w:t>назальными</w:t>
            </w:r>
            <w:r>
              <w:rPr>
                <w:spacing w:val="-11"/>
                <w:w w:val="105"/>
                <w:sz w:val="16"/>
              </w:rPr>
              <w:t> </w:t>
            </w:r>
            <w:r>
              <w:rPr>
                <w:w w:val="105"/>
                <w:sz w:val="16"/>
              </w:rPr>
              <w:t>вазоконстрикторами,</w:t>
            </w:r>
            <w:r>
              <w:rPr>
                <w:spacing w:val="-10"/>
                <w:w w:val="105"/>
                <w:sz w:val="16"/>
              </w:rPr>
              <w:t> </w:t>
            </w:r>
            <w:r>
              <w:rPr>
                <w:w w:val="105"/>
                <w:sz w:val="16"/>
              </w:rPr>
              <w:t>химиотерапия,</w:t>
            </w:r>
            <w:r>
              <w:rPr>
                <w:spacing w:val="-11"/>
                <w:w w:val="105"/>
                <w:sz w:val="16"/>
              </w:rPr>
              <w:t> </w:t>
            </w:r>
            <w:r>
              <w:rPr>
                <w:w w:val="105"/>
                <w:sz w:val="16"/>
              </w:rPr>
              <w:t>лакрица</w:t>
            </w:r>
            <w:r>
              <w:rPr>
                <w:spacing w:val="-10"/>
                <w:w w:val="105"/>
                <w:sz w:val="16"/>
              </w:rPr>
              <w:t> </w:t>
            </w:r>
            <w:r>
              <w:rPr>
                <w:w w:val="105"/>
                <w:sz w:val="16"/>
              </w:rPr>
              <w:t>(подробнее</w:t>
            </w:r>
            <w:r>
              <w:rPr>
                <w:spacing w:val="-11"/>
                <w:w w:val="105"/>
                <w:sz w:val="16"/>
              </w:rPr>
              <w:t> </w:t>
            </w:r>
            <w:r>
              <w:rPr>
                <w:spacing w:val="-16"/>
                <w:w w:val="105"/>
                <w:sz w:val="16"/>
              </w:rPr>
              <w:t>в </w:t>
            </w:r>
            <w:r>
              <w:rPr>
                <w:w w:val="105"/>
                <w:sz w:val="16"/>
              </w:rPr>
              <w:t>Приложении</w:t>
            </w:r>
            <w:r>
              <w:rPr>
                <w:spacing w:val="-3"/>
                <w:w w:val="105"/>
                <w:sz w:val="16"/>
              </w:rPr>
              <w:t> </w:t>
            </w:r>
            <w:r>
              <w:rPr>
                <w:w w:val="105"/>
                <w:sz w:val="16"/>
              </w:rPr>
              <w:t>Г2)</w:t>
            </w:r>
          </w:p>
        </w:tc>
      </w:tr>
      <w:tr>
        <w:trPr>
          <w:trHeight w:val="625" w:hRule="atLeast"/>
        </w:trPr>
        <w:tc>
          <w:tcPr>
            <w:tcW w:w="8434" w:type="dxa"/>
          </w:tcPr>
          <w:p>
            <w:pPr>
              <w:pStyle w:val="TableParagraph"/>
              <w:spacing w:line="204" w:lineRule="auto" w:before="161"/>
              <w:rPr>
                <w:sz w:val="16"/>
              </w:rPr>
            </w:pPr>
            <w:r>
              <w:rPr>
                <w:w w:val="105"/>
                <w:sz w:val="16"/>
              </w:rPr>
              <w:t>Повторяющиеся эпизоды потливости, головных болей, тревоги или сердцебиений, позволяющие заподозрить феохромоцитому</w:t>
            </w:r>
          </w:p>
        </w:tc>
      </w:tr>
      <w:tr>
        <w:trPr>
          <w:trHeight w:val="625" w:hRule="atLeast"/>
        </w:trPr>
        <w:tc>
          <w:tcPr>
            <w:tcW w:w="8434" w:type="dxa"/>
          </w:tcPr>
          <w:p>
            <w:pPr>
              <w:pStyle w:val="TableParagraph"/>
              <w:spacing w:line="204" w:lineRule="auto" w:before="161"/>
              <w:rPr>
                <w:sz w:val="16"/>
              </w:rPr>
            </w:pPr>
            <w:r>
              <w:rPr>
                <w:w w:val="105"/>
                <w:sz w:val="16"/>
              </w:rPr>
              <w:t>Указание в анамнезе на эпизоды спонтанной или спровоцированной диуретиками гипокалиемии, приступы мышечной слабости или судорог (гиперальдостеронизм)</w:t>
            </w:r>
          </w:p>
        </w:tc>
      </w:tr>
      <w:tr>
        <w:trPr>
          <w:trHeight w:val="460" w:hRule="atLeast"/>
        </w:trPr>
        <w:tc>
          <w:tcPr>
            <w:tcW w:w="8434" w:type="dxa"/>
          </w:tcPr>
          <w:p>
            <w:pPr>
              <w:pStyle w:val="TableParagraph"/>
              <w:rPr>
                <w:sz w:val="16"/>
              </w:rPr>
            </w:pPr>
            <w:r>
              <w:rPr>
                <w:w w:val="105"/>
                <w:sz w:val="16"/>
              </w:rPr>
              <w:t>Признаки заболеваний щитовидной или паращитовидных желез</w:t>
            </w:r>
          </w:p>
        </w:tc>
      </w:tr>
      <w:tr>
        <w:trPr>
          <w:trHeight w:val="460" w:hRule="atLeast"/>
        </w:trPr>
        <w:tc>
          <w:tcPr>
            <w:tcW w:w="8434" w:type="dxa"/>
          </w:tcPr>
          <w:p>
            <w:pPr>
              <w:pStyle w:val="TableParagraph"/>
              <w:rPr>
                <w:sz w:val="16"/>
              </w:rPr>
            </w:pPr>
            <w:r>
              <w:rPr>
                <w:w w:val="105"/>
                <w:sz w:val="16"/>
              </w:rPr>
              <w:t>Беременность или употребление оральных контрацептивов в настоящее время</w:t>
            </w:r>
          </w:p>
        </w:tc>
      </w:tr>
      <w:tr>
        <w:trPr>
          <w:trHeight w:val="460" w:hRule="atLeast"/>
        </w:trPr>
        <w:tc>
          <w:tcPr>
            <w:tcW w:w="8434" w:type="dxa"/>
          </w:tcPr>
          <w:p>
            <w:pPr>
              <w:pStyle w:val="TableParagraph"/>
              <w:rPr>
                <w:sz w:val="16"/>
              </w:rPr>
            </w:pPr>
            <w:r>
              <w:rPr>
                <w:w w:val="105"/>
                <w:sz w:val="16"/>
              </w:rPr>
              <w:t>Указания в анамнезе на синдром ночного апноэ</w:t>
            </w:r>
          </w:p>
        </w:tc>
      </w:tr>
      <w:tr>
        <w:trPr>
          <w:trHeight w:val="460" w:hRule="atLeast"/>
        </w:trPr>
        <w:tc>
          <w:tcPr>
            <w:tcW w:w="8434" w:type="dxa"/>
          </w:tcPr>
          <w:p>
            <w:pPr>
              <w:pStyle w:val="TableParagraph"/>
              <w:rPr>
                <w:b/>
                <w:sz w:val="16"/>
              </w:rPr>
            </w:pPr>
            <w:r>
              <w:rPr>
                <w:b/>
                <w:w w:val="105"/>
                <w:sz w:val="16"/>
              </w:rPr>
              <w:t>Антигипертензивная терапия</w:t>
            </w:r>
          </w:p>
        </w:tc>
      </w:tr>
      <w:tr>
        <w:trPr>
          <w:trHeight w:val="625" w:hRule="atLeast"/>
        </w:trPr>
        <w:tc>
          <w:tcPr>
            <w:tcW w:w="8434" w:type="dxa"/>
          </w:tcPr>
          <w:p>
            <w:pPr>
              <w:pStyle w:val="TableParagraph"/>
              <w:spacing w:line="204" w:lineRule="auto" w:before="161"/>
              <w:rPr>
                <w:sz w:val="16"/>
              </w:rPr>
            </w:pPr>
            <w:r>
              <w:rPr>
                <w:w w:val="105"/>
                <w:sz w:val="16"/>
              </w:rPr>
              <w:t>Текущая/прошлая антигипертензивная терапия, включая эффективность и переносимость препаратов</w:t>
            </w:r>
          </w:p>
        </w:tc>
      </w:tr>
      <w:tr>
        <w:trPr>
          <w:trHeight w:val="460" w:hRule="atLeast"/>
        </w:trPr>
        <w:tc>
          <w:tcPr>
            <w:tcW w:w="8434" w:type="dxa"/>
          </w:tcPr>
          <w:p>
            <w:pPr>
              <w:pStyle w:val="TableParagraph"/>
              <w:rPr>
                <w:sz w:val="16"/>
              </w:rPr>
            </w:pPr>
            <w:r>
              <w:rPr>
                <w:w w:val="105"/>
                <w:sz w:val="16"/>
              </w:rPr>
              <w:t>Приверженность к терапии</w:t>
            </w:r>
          </w:p>
        </w:tc>
      </w:tr>
    </w:tbl>
    <w:p>
      <w:pPr>
        <w:rPr>
          <w:sz w:val="2"/>
          <w:szCs w:val="2"/>
        </w:rPr>
      </w:pPr>
      <w:r>
        <w:rPr/>
        <w:pict>
          <v:shape style="position:absolute;margin-left:90.037003pt;margin-top:841.846985pt;width:422.45pt;height:.1pt;mso-position-horizontal-relative:page;mso-position-vertical-relative:page;z-index:15912960" coordorigin="1801,16837" coordsize="8449,1" path="m10249,16837l10234,16837,1816,16837,1801,16837,1816,16837,10234,16837,10249,16837xe" filled="true" fillcolor="#000000" stroked="false">
            <v:path arrowok="t"/>
            <v:fill type="solid"/>
            <w10:wrap type="none"/>
          </v:shape>
        </w:pict>
      </w:r>
    </w:p>
    <w:p>
      <w:pPr>
        <w:spacing w:after="0"/>
        <w:rPr>
          <w:sz w:val="2"/>
          <w:szCs w:val="2"/>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3746" w:hRule="atLeast"/>
        </w:trPr>
        <w:tc>
          <w:tcPr>
            <w:tcW w:w="8434" w:type="dxa"/>
          </w:tcPr>
          <w:p>
            <w:pPr>
              <w:pStyle w:val="TableParagraph"/>
              <w:rPr>
                <w:b/>
                <w:sz w:val="16"/>
              </w:rPr>
            </w:pPr>
            <w:r>
              <w:rPr>
                <w:b/>
                <w:w w:val="105"/>
                <w:sz w:val="16"/>
              </w:rPr>
              <w:t>Особое внимание следует обратить на следующие факторы:</w:t>
            </w:r>
          </w:p>
          <w:p>
            <w:pPr>
              <w:pStyle w:val="TableParagraph"/>
              <w:spacing w:line="482" w:lineRule="auto" w:before="76"/>
              <w:ind w:left="470"/>
              <w:rPr>
                <w:sz w:val="16"/>
              </w:rPr>
            </w:pPr>
            <w:r>
              <w:rPr>
                <w:w w:val="105"/>
                <w:sz w:val="16"/>
              </w:rPr>
              <w:t>Время установления диагноза АГ, включая данные о любых предшествующих обследованиях, госпитализациях и т.п.</w:t>
            </w:r>
          </w:p>
          <w:p>
            <w:pPr>
              <w:pStyle w:val="TableParagraph"/>
              <w:spacing w:line="193" w:lineRule="exact" w:before="0"/>
              <w:ind w:left="470"/>
              <w:rPr>
                <w:sz w:val="16"/>
              </w:rPr>
            </w:pPr>
            <w:r>
              <w:rPr>
                <w:w w:val="105"/>
                <w:sz w:val="16"/>
              </w:rPr>
              <w:t>Все имеющиеся записи об уровнях АД в настоящем и прошлом</w:t>
            </w:r>
          </w:p>
          <w:p>
            <w:pPr>
              <w:pStyle w:val="TableParagraph"/>
              <w:spacing w:before="7"/>
              <w:ind w:left="0"/>
              <w:rPr>
                <w:rFonts w:ascii="Palatino Linotype"/>
                <w:b/>
                <w:sz w:val="14"/>
              </w:rPr>
            </w:pPr>
          </w:p>
          <w:p>
            <w:pPr>
              <w:pStyle w:val="TableParagraph"/>
              <w:spacing w:line="482" w:lineRule="auto" w:before="0"/>
              <w:ind w:left="470"/>
              <w:rPr>
                <w:sz w:val="16"/>
              </w:rPr>
            </w:pPr>
            <w:r>
              <w:rPr>
                <w:w w:val="105"/>
                <w:sz w:val="16"/>
              </w:rPr>
              <w:t>Сведения о приеме любых других лекарственных препаратов, в т.ч. обладающих прессорным действием</w:t>
            </w:r>
          </w:p>
          <w:p>
            <w:pPr>
              <w:pStyle w:val="TableParagraph"/>
              <w:spacing w:line="482" w:lineRule="auto" w:before="0"/>
              <w:ind w:left="470"/>
              <w:rPr>
                <w:sz w:val="16"/>
              </w:rPr>
            </w:pPr>
            <w:r>
              <w:rPr>
                <w:w w:val="105"/>
                <w:sz w:val="16"/>
              </w:rPr>
              <w:t>Описание и признаки всех сопутствующих заболеваний, имевших место в прошлом и настоящем</w:t>
            </w:r>
          </w:p>
          <w:p>
            <w:pPr>
              <w:pStyle w:val="TableParagraph"/>
              <w:spacing w:line="193" w:lineRule="exact" w:before="0"/>
              <w:ind w:left="470"/>
              <w:rPr>
                <w:sz w:val="16"/>
              </w:rPr>
            </w:pPr>
            <w:r>
              <w:rPr>
                <w:w w:val="105"/>
                <w:sz w:val="16"/>
              </w:rPr>
              <w:t>История течения менопаузы и приема гормональной заместительной терапии</w:t>
            </w:r>
          </w:p>
        </w:tc>
      </w:tr>
    </w:tbl>
    <w:p>
      <w:pPr>
        <w:pStyle w:val="BodyText"/>
        <w:spacing w:before="0"/>
        <w:ind w:left="0"/>
        <w:jc w:val="left"/>
        <w:rPr>
          <w:b/>
          <w:sz w:val="20"/>
        </w:rPr>
      </w:pPr>
      <w:r>
        <w:rPr/>
        <w:pict>
          <v:shape style="position:absolute;margin-left:103.543495pt;margin-top:25.509769pt;width:3.05pt;height:3.05pt;mso-position-horizontal-relative:page;mso-position-vertical-relative:page;z-index:-18194944" coordorigin="2071,510" coordsize="61,61" path="m2109,570l2093,570,2086,567,2074,555,2071,548,2071,532,2074,525,2086,513,2093,510,2109,510,2116,513,2128,525,2131,532,2131,540,2131,548,2128,555,2116,567,2109,570xe" filled="true" fillcolor="#000000" stroked="false">
            <v:path arrowok="t"/>
            <v:fill type="solid"/>
            <w10:wrap type="none"/>
          </v:shape>
        </w:pict>
      </w:r>
      <w:r>
        <w:rPr/>
        <w:pict>
          <v:shape style="position:absolute;margin-left:103.543495pt;margin-top:64.526161pt;width:3.05pt;height:3.05pt;mso-position-horizontal-relative:page;mso-position-vertical-relative:page;z-index:-18194432" coordorigin="2071,1291" coordsize="61,61" path="m2101,1351l2093,1350,2086,1348,2074,1336,2071,1329,2071,1312,2074,1305,2086,1293,2093,1291,2109,1291,2116,1293,2128,1305,2131,1312,2131,1321,2131,1329,2128,1336,2116,1348,2109,1350,2101,1351xe" filled="true" fillcolor="#000000" stroked="false">
            <v:path arrowok="t"/>
            <v:fill type="solid"/>
            <w10:wrap type="none"/>
          </v:shape>
        </w:pict>
      </w:r>
      <w:r>
        <w:rPr/>
        <w:pict>
          <v:shape style="position:absolute;margin-left:103.543495pt;margin-top:84.034363pt;width:3.05pt;height:3.05pt;mso-position-horizontal-relative:page;mso-position-vertical-relative:page;z-index:-18193920" coordorigin="2071,1681" coordsize="61,61" path="m2101,1741l2093,1740,2086,1738,2074,1726,2071,1719,2071,1702,2074,1695,2086,1684,2093,1681,2109,1681,2116,1684,2128,1695,2131,1702,2131,1711,2131,1719,2128,1726,2116,1738,2109,1740,2101,1741xe" filled="true" fillcolor="#000000" stroked="false">
            <v:path arrowok="t"/>
            <v:fill type="solid"/>
            <w10:wrap type="none"/>
          </v:shape>
        </w:pict>
      </w:r>
      <w:r>
        <w:rPr/>
        <w:pict>
          <v:shape style="position:absolute;margin-left:90.037003pt;margin-top:841.851013pt;width:422.45pt;height:.1pt;mso-position-horizontal-relative:page;mso-position-vertical-relative:page;z-index:15916544" coordorigin="1801,16837" coordsize="8449,1" path="m10249,16837l10249,16837,1801,16837,1801,16837,10249,16837xe" filled="true" fillcolor="#000000" stroked="false">
            <v:path arrowok="t"/>
            <v:fill type="solid"/>
            <w10:wrap type="none"/>
          </v:shape>
        </w:pict>
      </w:r>
    </w:p>
    <w:p>
      <w:pPr>
        <w:pStyle w:val="BodyText"/>
        <w:spacing w:before="13"/>
        <w:ind w:left="0"/>
        <w:jc w:val="left"/>
        <w:rPr>
          <w:b/>
          <w:sz w:val="22"/>
        </w:rPr>
      </w:pPr>
    </w:p>
    <w:p>
      <w:pPr>
        <w:pStyle w:val="BodyText"/>
        <w:spacing w:line="256" w:lineRule="auto" w:before="97"/>
        <w:ind w:left="380"/>
        <w:jc w:val="left"/>
      </w:pPr>
      <w:r>
        <w:rPr/>
        <w:pict>
          <v:shape style="position:absolute;margin-left:103.543495pt;margin-top:-95.025703pt;width:3.05pt;height:3.05pt;mso-position-horizontal-relative:page;mso-position-vertical-relative:paragraph;z-index:-18193408" coordorigin="2071,-1901" coordsize="61,61" path="m2101,-1840l2093,-1841,2086,-1844,2074,-1855,2071,-1862,2071,-1879,2074,-1886,2086,-1898,2093,-1901,2109,-1901,2116,-1898,2128,-1886,2131,-1879,2131,-1871,2131,-1862,2128,-1855,2116,-1844,2109,-1841,2101,-1840xe" filled="true" fillcolor="#000000" stroked="false">
            <v:path arrowok="t"/>
            <v:fill type="solid"/>
            <w10:wrap type="none"/>
          </v:shape>
        </w:pict>
      </w:r>
      <w:r>
        <w:rPr/>
        <w:pict>
          <v:shape style="position:absolute;margin-left:103.543495pt;margin-top:-56.009308pt;width:3.05pt;height:3.05pt;mso-position-horizontal-relative:page;mso-position-vertical-relative:paragraph;z-index:-18192896" coordorigin="2071,-1120" coordsize="61,61" path="m2109,-1060l2093,-1060,2086,-1063,2074,-1075,2071,-1082,2071,-1099,2074,-1106,2080,-1112,2086,-1117,2093,-1120,2109,-1120,2131,-1090,2131,-1082,2128,-1075,2116,-1063,2109,-1060xe" filled="true" fillcolor="#000000" stroked="false">
            <v:path arrowok="t"/>
            <v:fill type="solid"/>
            <w10:wrap type="none"/>
          </v:shape>
        </w:pict>
      </w:r>
      <w:r>
        <w:rPr/>
        <w:t>Приложение Г2. Принципы диагностики и оценки сердечно- сосудистого риска</w:t>
      </w:r>
    </w:p>
    <w:p>
      <w:pPr>
        <w:tabs>
          <w:tab w:pos="1781" w:val="left" w:leader="none"/>
          <w:tab w:pos="2867" w:val="left" w:leader="none"/>
          <w:tab w:pos="4470" w:val="left" w:leader="none"/>
          <w:tab w:pos="4881" w:val="left" w:leader="none"/>
          <w:tab w:pos="6893" w:val="left" w:leader="none"/>
        </w:tabs>
        <w:spacing w:line="256" w:lineRule="auto" w:before="271"/>
        <w:ind w:left="380" w:right="137" w:firstLine="0"/>
        <w:jc w:val="left"/>
        <w:rPr>
          <w:b/>
          <w:sz w:val="27"/>
        </w:rPr>
      </w:pPr>
      <w:r>
        <w:rPr>
          <w:b/>
          <w:spacing w:val="-3"/>
          <w:sz w:val="27"/>
          <w:u w:val="single"/>
        </w:rPr>
        <w:t>Таблица</w:t>
        <w:tab/>
      </w:r>
      <w:r>
        <w:rPr>
          <w:b/>
          <w:sz w:val="27"/>
          <w:u w:val="single"/>
        </w:rPr>
        <w:t>П1/Г2.</w:t>
        <w:tab/>
        <w:t>Ск</w:t>
      </w:r>
      <w:r>
        <w:rPr>
          <w:b/>
          <w:sz w:val="27"/>
        </w:rPr>
        <w:t>р</w:t>
      </w:r>
      <w:r>
        <w:rPr>
          <w:b/>
          <w:sz w:val="27"/>
          <w:u w:val="single"/>
        </w:rPr>
        <w:t>ининг</w:t>
        <w:tab/>
        <w:t>и</w:t>
        <w:tab/>
      </w:r>
      <w:r>
        <w:rPr>
          <w:b/>
          <w:sz w:val="27"/>
        </w:rPr>
        <w:t>д</w:t>
      </w:r>
      <w:r>
        <w:rPr>
          <w:b/>
          <w:sz w:val="27"/>
          <w:u w:val="single"/>
        </w:rPr>
        <w:t>иагностика</w:t>
        <w:tab/>
      </w:r>
      <w:r>
        <w:rPr>
          <w:b/>
          <w:spacing w:val="-3"/>
          <w:sz w:val="27"/>
          <w:u w:val="single"/>
        </w:rPr>
        <w:t>а</w:t>
      </w:r>
      <w:r>
        <w:rPr>
          <w:b/>
          <w:spacing w:val="-3"/>
          <w:sz w:val="27"/>
        </w:rPr>
        <w:t>р</w:t>
      </w:r>
      <w:r>
        <w:rPr>
          <w:b/>
          <w:spacing w:val="-3"/>
          <w:sz w:val="27"/>
          <w:u w:val="single"/>
        </w:rPr>
        <w:t>те</w:t>
      </w:r>
      <w:r>
        <w:rPr>
          <w:b/>
          <w:spacing w:val="-3"/>
          <w:sz w:val="27"/>
        </w:rPr>
        <w:t>р</w:t>
      </w:r>
      <w:r>
        <w:rPr>
          <w:b/>
          <w:spacing w:val="-3"/>
          <w:sz w:val="27"/>
          <w:u w:val="single"/>
        </w:rPr>
        <w:t>иальной</w:t>
      </w:r>
      <w:r>
        <w:rPr>
          <w:b/>
          <w:spacing w:val="-3"/>
          <w:sz w:val="27"/>
        </w:rPr>
        <w:t> </w:t>
      </w:r>
      <w:r>
        <w:rPr>
          <w:b/>
          <w:sz w:val="27"/>
          <w:u w:val="single"/>
        </w:rPr>
        <w:t>гипе</w:t>
      </w:r>
      <w:r>
        <w:rPr>
          <w:b/>
          <w:sz w:val="27"/>
        </w:rPr>
        <w:t>р</w:t>
      </w:r>
      <w:r>
        <w:rPr>
          <w:b/>
          <w:sz w:val="27"/>
          <w:u w:val="single"/>
        </w:rPr>
        <w:t>тензии</w:t>
      </w:r>
    </w:p>
    <w:p>
      <w:pPr>
        <w:pStyle w:val="BodyText"/>
        <w:spacing w:before="13"/>
        <w:ind w:left="0"/>
        <w:jc w:val="left"/>
        <w:rPr>
          <w:b/>
          <w:sz w:val="15"/>
        </w:rPr>
      </w:pPr>
      <w:r>
        <w:rPr/>
        <w:drawing>
          <wp:anchor distT="0" distB="0" distL="0" distR="0" allowOverlap="1" layoutInCell="1" locked="0" behindDoc="0" simplePos="0" relativeHeight="361">
            <wp:simplePos x="0" y="0"/>
            <wp:positionH relativeFrom="page">
              <wp:posOffset>1143480</wp:posOffset>
            </wp:positionH>
            <wp:positionV relativeFrom="paragraph">
              <wp:posOffset>161539</wp:posOffset>
            </wp:positionV>
            <wp:extent cx="5346927" cy="2825496"/>
            <wp:effectExtent l="0" t="0" r="0" b="0"/>
            <wp:wrapTopAndBottom/>
            <wp:docPr id="35" name="image12.png"/>
            <wp:cNvGraphicFramePr>
              <a:graphicFrameLocks noChangeAspect="1"/>
            </wp:cNvGraphicFramePr>
            <a:graphic>
              <a:graphicData uri="http://schemas.openxmlformats.org/drawingml/2006/picture">
                <pic:pic>
                  <pic:nvPicPr>
                    <pic:cNvPr id="36" name="image12.png"/>
                    <pic:cNvPicPr/>
                  </pic:nvPicPr>
                  <pic:blipFill>
                    <a:blip r:embed="rId19" cstate="print"/>
                    <a:stretch>
                      <a:fillRect/>
                    </a:stretch>
                  </pic:blipFill>
                  <pic:spPr>
                    <a:xfrm>
                      <a:off x="0" y="0"/>
                      <a:ext cx="5346927" cy="2825496"/>
                    </a:xfrm>
                    <a:prstGeom prst="rect">
                      <a:avLst/>
                    </a:prstGeom>
                  </pic:spPr>
                </pic:pic>
              </a:graphicData>
            </a:graphic>
          </wp:anchor>
        </w:drawing>
      </w: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spacing w:before="303"/>
        <w:ind w:left="453" w:right="0" w:firstLine="0"/>
        <w:jc w:val="left"/>
        <w:rPr>
          <w:b/>
          <w:sz w:val="27"/>
        </w:rPr>
      </w:pPr>
      <w:r>
        <w:rPr>
          <w:b/>
          <w:sz w:val="27"/>
          <w:u w:val="single"/>
        </w:rPr>
        <w:t>Таблица П2/Г2. Частые п</w:t>
      </w:r>
      <w:r>
        <w:rPr>
          <w:b/>
          <w:sz w:val="27"/>
        </w:rPr>
        <w:t>р</w:t>
      </w:r>
      <w:r>
        <w:rPr>
          <w:b/>
          <w:sz w:val="27"/>
          <w:u w:val="single"/>
        </w:rPr>
        <w:t>ичины вто</w:t>
      </w:r>
      <w:r>
        <w:rPr>
          <w:b/>
          <w:sz w:val="27"/>
        </w:rPr>
        <w:t>р</w:t>
      </w:r>
      <w:r>
        <w:rPr>
          <w:b/>
          <w:sz w:val="27"/>
          <w:u w:val="single"/>
        </w:rPr>
        <w:t>ичных гипе</w:t>
      </w:r>
      <w:r>
        <w:rPr>
          <w:b/>
          <w:sz w:val="27"/>
        </w:rPr>
        <w:t>р</w:t>
      </w:r>
      <w:r>
        <w:rPr>
          <w:b/>
          <w:sz w:val="27"/>
          <w:u w:val="single"/>
        </w:rPr>
        <w:t>тензий</w:t>
      </w:r>
    </w:p>
    <w:p>
      <w:pPr>
        <w:pStyle w:val="BodyText"/>
        <w:spacing w:before="9"/>
        <w:ind w:left="0"/>
        <w:jc w:val="left"/>
        <w:rPr>
          <w:b/>
          <w:sz w:val="20"/>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1"/>
        <w:gridCol w:w="2071"/>
        <w:gridCol w:w="2296"/>
        <w:gridCol w:w="1823"/>
      </w:tblGrid>
      <w:tr>
        <w:trPr>
          <w:trHeight w:val="625" w:hRule="atLeast"/>
        </w:trPr>
        <w:tc>
          <w:tcPr>
            <w:tcW w:w="2251" w:type="dxa"/>
          </w:tcPr>
          <w:p>
            <w:pPr>
              <w:pStyle w:val="TableParagraph"/>
              <w:rPr>
                <w:sz w:val="16"/>
              </w:rPr>
            </w:pPr>
            <w:r>
              <w:rPr>
                <w:w w:val="105"/>
                <w:sz w:val="16"/>
              </w:rPr>
              <w:t>Причина</w:t>
            </w:r>
          </w:p>
        </w:tc>
        <w:tc>
          <w:tcPr>
            <w:tcW w:w="2071" w:type="dxa"/>
          </w:tcPr>
          <w:p>
            <w:pPr>
              <w:pStyle w:val="TableParagraph"/>
              <w:spacing w:line="204" w:lineRule="auto" w:before="161"/>
              <w:rPr>
                <w:sz w:val="16"/>
              </w:rPr>
            </w:pPr>
            <w:r>
              <w:rPr>
                <w:sz w:val="16"/>
              </w:rPr>
              <w:t>Распространенность </w:t>
            </w:r>
            <w:r>
              <w:rPr>
                <w:w w:val="105"/>
                <w:sz w:val="16"/>
              </w:rPr>
              <w:t>среди пациентов АГ</w:t>
            </w:r>
          </w:p>
        </w:tc>
        <w:tc>
          <w:tcPr>
            <w:tcW w:w="2296" w:type="dxa"/>
          </w:tcPr>
          <w:p>
            <w:pPr>
              <w:pStyle w:val="TableParagraph"/>
              <w:spacing w:line="204" w:lineRule="auto" w:before="161"/>
              <w:ind w:left="154" w:right="142"/>
              <w:rPr>
                <w:sz w:val="16"/>
              </w:rPr>
            </w:pPr>
            <w:r>
              <w:rPr>
                <w:w w:val="105"/>
                <w:sz w:val="16"/>
              </w:rPr>
              <w:t>Возможные симптомы и признаки</w:t>
            </w:r>
          </w:p>
        </w:tc>
        <w:tc>
          <w:tcPr>
            <w:tcW w:w="1823" w:type="dxa"/>
            <w:tcBorders>
              <w:right w:val="nil"/>
            </w:tcBorders>
          </w:tcPr>
          <w:p>
            <w:pPr>
              <w:pStyle w:val="TableParagraph"/>
              <w:ind w:left="154"/>
              <w:rPr>
                <w:sz w:val="16"/>
              </w:rPr>
            </w:pPr>
            <w:r>
              <w:rPr>
                <w:w w:val="105"/>
                <w:sz w:val="16"/>
              </w:rPr>
              <w:t>Обследование</w:t>
            </w:r>
          </w:p>
        </w:tc>
      </w:tr>
      <w:tr>
        <w:trPr>
          <w:trHeight w:val="1120" w:hRule="atLeast"/>
        </w:trPr>
        <w:tc>
          <w:tcPr>
            <w:tcW w:w="2251" w:type="dxa"/>
          </w:tcPr>
          <w:p>
            <w:pPr>
              <w:pStyle w:val="TableParagraph"/>
              <w:spacing w:line="204" w:lineRule="auto" w:before="161"/>
              <w:rPr>
                <w:sz w:val="16"/>
              </w:rPr>
            </w:pPr>
            <w:r>
              <w:rPr>
                <w:w w:val="105"/>
                <w:sz w:val="16"/>
              </w:rPr>
              <w:t>Синдром обструктивного апноэ во время сна</w:t>
            </w:r>
          </w:p>
        </w:tc>
        <w:tc>
          <w:tcPr>
            <w:tcW w:w="2071" w:type="dxa"/>
          </w:tcPr>
          <w:p>
            <w:pPr>
              <w:pStyle w:val="TableParagraph"/>
              <w:rPr>
                <w:sz w:val="16"/>
              </w:rPr>
            </w:pPr>
            <w:r>
              <w:rPr>
                <w:w w:val="105"/>
                <w:sz w:val="16"/>
              </w:rPr>
              <w:t>5–10%</w:t>
            </w:r>
          </w:p>
        </w:tc>
        <w:tc>
          <w:tcPr>
            <w:tcW w:w="2296" w:type="dxa"/>
          </w:tcPr>
          <w:p>
            <w:pPr>
              <w:pStyle w:val="TableParagraph"/>
              <w:tabs>
                <w:tab w:pos="1100" w:val="left" w:leader="none"/>
              </w:tabs>
              <w:spacing w:line="204" w:lineRule="auto" w:before="161"/>
              <w:ind w:left="154" w:right="142"/>
              <w:rPr>
                <w:sz w:val="16"/>
              </w:rPr>
            </w:pPr>
            <w:r>
              <w:rPr>
                <w:w w:val="105"/>
                <w:sz w:val="16"/>
              </w:rPr>
              <w:t>Храп; ожирение </w:t>
            </w:r>
            <w:r>
              <w:rPr>
                <w:spacing w:val="-6"/>
                <w:w w:val="105"/>
                <w:sz w:val="16"/>
              </w:rPr>
              <w:t>(но </w:t>
            </w:r>
            <w:r>
              <w:rPr>
                <w:w w:val="105"/>
                <w:sz w:val="16"/>
              </w:rPr>
              <w:t>может</w:t>
              <w:tab/>
            </w:r>
            <w:r>
              <w:rPr>
                <w:spacing w:val="-1"/>
                <w:sz w:val="16"/>
              </w:rPr>
              <w:t>встречаться</w:t>
            </w:r>
          </w:p>
          <w:p>
            <w:pPr>
              <w:pStyle w:val="TableParagraph"/>
              <w:tabs>
                <w:tab w:pos="1201" w:val="left" w:leader="none"/>
              </w:tabs>
              <w:spacing w:line="204" w:lineRule="auto" w:before="0"/>
              <w:ind w:left="154" w:right="142"/>
              <w:rPr>
                <w:sz w:val="16"/>
              </w:rPr>
            </w:pPr>
            <w:r>
              <w:rPr>
                <w:w w:val="105"/>
                <w:sz w:val="16"/>
              </w:rPr>
              <w:t>при</w:t>
              <w:tab/>
            </w:r>
            <w:r>
              <w:rPr>
                <w:spacing w:val="-1"/>
                <w:sz w:val="16"/>
              </w:rPr>
              <w:t>отсутствии </w:t>
            </w:r>
            <w:r>
              <w:rPr>
                <w:w w:val="105"/>
                <w:sz w:val="16"/>
              </w:rPr>
              <w:t>ожирения); сонливость</w:t>
            </w:r>
            <w:r>
              <w:rPr>
                <w:spacing w:val="-5"/>
                <w:w w:val="105"/>
                <w:sz w:val="16"/>
              </w:rPr>
              <w:t> </w:t>
            </w:r>
            <w:r>
              <w:rPr>
                <w:w w:val="105"/>
                <w:sz w:val="16"/>
              </w:rPr>
              <w:t>днем</w:t>
            </w:r>
          </w:p>
        </w:tc>
        <w:tc>
          <w:tcPr>
            <w:tcW w:w="1823" w:type="dxa"/>
            <w:tcBorders>
              <w:right w:val="nil"/>
            </w:tcBorders>
          </w:tcPr>
          <w:p>
            <w:pPr>
              <w:pStyle w:val="TableParagraph"/>
              <w:spacing w:line="204" w:lineRule="auto" w:before="161"/>
              <w:ind w:left="154"/>
              <w:rPr>
                <w:sz w:val="16"/>
              </w:rPr>
            </w:pPr>
            <w:r>
              <w:rPr>
                <w:w w:val="105"/>
                <w:sz w:val="16"/>
              </w:rPr>
              <w:t>Шкала Эпворта и полисомнография</w:t>
            </w:r>
          </w:p>
        </w:tc>
      </w:tr>
    </w:tbl>
    <w:p>
      <w:pPr>
        <w:spacing w:after="0" w:line="204" w:lineRule="auto"/>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1"/>
        <w:gridCol w:w="2071"/>
        <w:gridCol w:w="2296"/>
        <w:gridCol w:w="1823"/>
      </w:tblGrid>
      <w:tr>
        <w:trPr>
          <w:trHeight w:val="2110" w:hRule="atLeast"/>
        </w:trPr>
        <w:tc>
          <w:tcPr>
            <w:tcW w:w="2251" w:type="dxa"/>
          </w:tcPr>
          <w:p>
            <w:pPr>
              <w:pStyle w:val="TableParagraph"/>
              <w:spacing w:line="204" w:lineRule="auto" w:before="161"/>
              <w:rPr>
                <w:sz w:val="16"/>
              </w:rPr>
            </w:pPr>
            <w:r>
              <w:rPr>
                <w:sz w:val="16"/>
              </w:rPr>
              <w:t>Ренопаренхиматозные </w:t>
            </w:r>
            <w:r>
              <w:rPr>
                <w:w w:val="105"/>
                <w:sz w:val="16"/>
              </w:rPr>
              <w:t>заболевания</w:t>
            </w:r>
          </w:p>
        </w:tc>
        <w:tc>
          <w:tcPr>
            <w:tcW w:w="2071" w:type="dxa"/>
          </w:tcPr>
          <w:p>
            <w:pPr>
              <w:pStyle w:val="TableParagraph"/>
              <w:rPr>
                <w:sz w:val="16"/>
              </w:rPr>
            </w:pPr>
            <w:r>
              <w:rPr>
                <w:w w:val="105"/>
                <w:sz w:val="16"/>
              </w:rPr>
              <w:t>2–10%</w:t>
            </w:r>
          </w:p>
        </w:tc>
        <w:tc>
          <w:tcPr>
            <w:tcW w:w="2296" w:type="dxa"/>
          </w:tcPr>
          <w:p>
            <w:pPr>
              <w:pStyle w:val="TableParagraph"/>
              <w:tabs>
                <w:tab w:pos="714" w:val="left" w:leader="none"/>
                <w:tab w:pos="1191" w:val="left" w:leader="none"/>
                <w:tab w:pos="1305" w:val="left" w:leader="none"/>
                <w:tab w:pos="1443" w:val="left" w:leader="none"/>
                <w:tab w:pos="1624" w:val="left" w:leader="none"/>
                <w:tab w:pos="2031" w:val="left" w:leader="none"/>
              </w:tabs>
              <w:spacing w:line="204" w:lineRule="auto" w:before="161"/>
              <w:ind w:left="154" w:right="139"/>
              <w:rPr>
                <w:sz w:val="16"/>
              </w:rPr>
            </w:pPr>
            <w:r>
              <w:rPr>
                <w:w w:val="105"/>
                <w:sz w:val="16"/>
              </w:rPr>
              <w:t>Бессимптомное течение;</w:t>
              <w:tab/>
              <w:tab/>
            </w:r>
            <w:r>
              <w:rPr>
                <w:spacing w:val="-3"/>
                <w:w w:val="105"/>
                <w:sz w:val="16"/>
              </w:rPr>
              <w:t>сахарный </w:t>
            </w:r>
            <w:r>
              <w:rPr>
                <w:w w:val="105"/>
                <w:sz w:val="16"/>
              </w:rPr>
              <w:t>диабет;</w:t>
              <w:tab/>
            </w:r>
            <w:r>
              <w:rPr>
                <w:sz w:val="16"/>
              </w:rPr>
              <w:t>гематурия, </w:t>
            </w:r>
            <w:r>
              <w:rPr>
                <w:w w:val="105"/>
                <w:sz w:val="16"/>
              </w:rPr>
              <w:t>протеинурия, никтурия;</w:t>
              <w:tab/>
              <w:tab/>
              <w:tab/>
            </w:r>
            <w:r>
              <w:rPr>
                <w:sz w:val="16"/>
              </w:rPr>
              <w:t>анемия, </w:t>
            </w:r>
            <w:r>
              <w:rPr>
                <w:w w:val="105"/>
                <w:sz w:val="16"/>
              </w:rPr>
              <w:t>образование</w:t>
              <w:tab/>
              <w:tab/>
              <w:tab/>
            </w:r>
            <w:r>
              <w:rPr>
                <w:sz w:val="16"/>
              </w:rPr>
              <w:t>почек </w:t>
            </w:r>
            <w:r>
              <w:rPr>
                <w:w w:val="105"/>
                <w:sz w:val="16"/>
              </w:rPr>
              <w:t>при</w:t>
              <w:tab/>
              <w:t>поликистозе</w:t>
              <w:tab/>
            </w:r>
            <w:r>
              <w:rPr>
                <w:spacing w:val="-12"/>
                <w:w w:val="105"/>
                <w:sz w:val="16"/>
              </w:rPr>
              <w:t>у </w:t>
            </w:r>
            <w:r>
              <w:rPr>
                <w:w w:val="105"/>
                <w:sz w:val="16"/>
              </w:rPr>
              <w:t>взрослых</w:t>
            </w:r>
          </w:p>
        </w:tc>
        <w:tc>
          <w:tcPr>
            <w:tcW w:w="1823" w:type="dxa"/>
            <w:tcBorders>
              <w:top w:val="single" w:sz="6" w:space="0" w:color="000000"/>
              <w:right w:val="nil"/>
            </w:tcBorders>
          </w:tcPr>
          <w:p>
            <w:pPr>
              <w:pStyle w:val="TableParagraph"/>
              <w:tabs>
                <w:tab w:pos="908" w:val="left" w:leader="none"/>
                <w:tab w:pos="975" w:val="left" w:leader="none"/>
                <w:tab w:pos="1274" w:val="left" w:leader="none"/>
                <w:tab w:pos="1339" w:val="left" w:leader="none"/>
                <w:tab w:pos="1392" w:val="left" w:leader="none"/>
                <w:tab w:pos="1619" w:val="left" w:leader="none"/>
                <w:tab w:pos="1716" w:val="left" w:leader="none"/>
              </w:tabs>
              <w:spacing w:line="204" w:lineRule="auto" w:before="161"/>
              <w:ind w:left="154" w:right="-29"/>
              <w:rPr>
                <w:sz w:val="16"/>
              </w:rPr>
            </w:pPr>
            <w:r>
              <w:rPr>
                <w:w w:val="105"/>
                <w:sz w:val="16"/>
              </w:rPr>
              <w:t>Креатинин</w:t>
              <w:tab/>
              <w:tab/>
              <w:tab/>
              <w:tab/>
              <w:tab/>
              <w:t>и электролиты плазмы,</w:t>
              <w:tab/>
              <w:tab/>
              <w:tab/>
              <w:tab/>
              <w:tab/>
            </w:r>
            <w:r>
              <w:rPr>
                <w:sz w:val="16"/>
              </w:rPr>
              <w:t>СКФ; </w:t>
            </w:r>
            <w:r>
              <w:rPr>
                <w:w w:val="105"/>
                <w:sz w:val="16"/>
              </w:rPr>
              <w:t>анализ</w:t>
              <w:tab/>
              <w:tab/>
              <w:t>мочи</w:t>
              <w:tab/>
              <w:t>на кровь</w:t>
              <w:tab/>
              <w:t>и</w:t>
              <w:tab/>
            </w:r>
            <w:r>
              <w:rPr>
                <w:spacing w:val="-3"/>
                <w:w w:val="105"/>
                <w:sz w:val="16"/>
              </w:rPr>
              <w:t>белок, </w:t>
            </w:r>
            <w:r>
              <w:rPr>
                <w:w w:val="105"/>
                <w:sz w:val="16"/>
              </w:rPr>
              <w:t>отношение альбумин/ креатинин</w:t>
              <w:tab/>
              <w:tab/>
            </w:r>
            <w:r>
              <w:rPr>
                <w:spacing w:val="-3"/>
                <w:w w:val="105"/>
                <w:sz w:val="16"/>
              </w:rPr>
              <w:t>мочи; </w:t>
            </w:r>
            <w:r>
              <w:rPr>
                <w:w w:val="105"/>
                <w:sz w:val="16"/>
              </w:rPr>
              <w:t>ультразвуковое исследование почек</w:t>
            </w:r>
          </w:p>
        </w:tc>
      </w:tr>
      <w:tr>
        <w:trPr>
          <w:trHeight w:val="460" w:hRule="atLeast"/>
        </w:trPr>
        <w:tc>
          <w:tcPr>
            <w:tcW w:w="8441" w:type="dxa"/>
            <w:gridSpan w:val="4"/>
            <w:tcBorders>
              <w:right w:val="nil"/>
            </w:tcBorders>
          </w:tcPr>
          <w:p>
            <w:pPr>
              <w:pStyle w:val="TableParagraph"/>
              <w:rPr>
                <w:b/>
                <w:sz w:val="16"/>
              </w:rPr>
            </w:pPr>
            <w:r>
              <w:rPr>
                <w:b/>
                <w:w w:val="105"/>
                <w:sz w:val="16"/>
              </w:rPr>
              <w:t>Реноваскулярные заболевания</w:t>
            </w:r>
          </w:p>
        </w:tc>
      </w:tr>
      <w:tr>
        <w:trPr>
          <w:trHeight w:val="1945" w:hRule="atLeast"/>
        </w:trPr>
        <w:tc>
          <w:tcPr>
            <w:tcW w:w="2251" w:type="dxa"/>
          </w:tcPr>
          <w:p>
            <w:pPr>
              <w:pStyle w:val="TableParagraph"/>
              <w:spacing w:line="204" w:lineRule="auto" w:before="161"/>
              <w:ind w:right="147"/>
              <w:rPr>
                <w:sz w:val="16"/>
              </w:rPr>
            </w:pPr>
            <w:r>
              <w:rPr>
                <w:w w:val="105"/>
                <w:sz w:val="16"/>
              </w:rPr>
              <w:t>Атеросклероз почечных артерий</w:t>
            </w:r>
          </w:p>
        </w:tc>
        <w:tc>
          <w:tcPr>
            <w:tcW w:w="2071" w:type="dxa"/>
            <w:vMerge w:val="restart"/>
          </w:tcPr>
          <w:p>
            <w:pPr>
              <w:pStyle w:val="TableParagraph"/>
              <w:rPr>
                <w:sz w:val="16"/>
              </w:rPr>
            </w:pPr>
            <w:r>
              <w:rPr>
                <w:w w:val="105"/>
                <w:sz w:val="16"/>
              </w:rPr>
              <w:t>1–10%</w:t>
            </w:r>
          </w:p>
        </w:tc>
        <w:tc>
          <w:tcPr>
            <w:tcW w:w="2296" w:type="dxa"/>
          </w:tcPr>
          <w:p>
            <w:pPr>
              <w:pStyle w:val="TableParagraph"/>
              <w:tabs>
                <w:tab w:pos="1242" w:val="left" w:leader="none"/>
                <w:tab w:pos="1289" w:val="left" w:leader="none"/>
                <w:tab w:pos="1464" w:val="left" w:leader="none"/>
                <w:tab w:pos="2032" w:val="left" w:leader="none"/>
              </w:tabs>
              <w:spacing w:line="204" w:lineRule="auto" w:before="161"/>
              <w:ind w:left="154" w:right="142"/>
              <w:rPr>
                <w:sz w:val="16"/>
              </w:rPr>
            </w:pPr>
            <w:r>
              <w:rPr>
                <w:w w:val="105"/>
                <w:sz w:val="16"/>
              </w:rPr>
              <w:t>Пожилые; диффузный атеросклероз (особенно периферических артерий);</w:t>
              <w:tab/>
              <w:tab/>
              <w:tab/>
            </w:r>
            <w:r>
              <w:rPr>
                <w:spacing w:val="-1"/>
                <w:sz w:val="16"/>
              </w:rPr>
              <w:t>диабет; </w:t>
            </w:r>
            <w:r>
              <w:rPr>
                <w:w w:val="105"/>
                <w:sz w:val="16"/>
              </w:rPr>
              <w:t>курение; рецидивирующий </w:t>
            </w:r>
            <w:r>
              <w:rPr>
                <w:spacing w:val="-4"/>
                <w:w w:val="105"/>
                <w:sz w:val="16"/>
              </w:rPr>
              <w:t>отек </w:t>
            </w:r>
            <w:r>
              <w:rPr>
                <w:w w:val="105"/>
                <w:sz w:val="16"/>
              </w:rPr>
              <w:t>легких;</w:t>
              <w:tab/>
              <w:t>шум</w:t>
              <w:tab/>
            </w:r>
            <w:r>
              <w:rPr>
                <w:spacing w:val="-17"/>
                <w:w w:val="105"/>
                <w:sz w:val="16"/>
              </w:rPr>
              <w:t>в </w:t>
            </w:r>
            <w:r>
              <w:rPr>
                <w:w w:val="105"/>
                <w:sz w:val="16"/>
              </w:rPr>
              <w:t>проекции</w:t>
              <w:tab/>
              <w:tab/>
            </w:r>
            <w:r>
              <w:rPr>
                <w:sz w:val="16"/>
              </w:rPr>
              <w:t>почечных </w:t>
            </w:r>
            <w:r>
              <w:rPr>
                <w:w w:val="105"/>
                <w:sz w:val="16"/>
              </w:rPr>
              <w:t>артерий.</w:t>
            </w:r>
          </w:p>
        </w:tc>
        <w:tc>
          <w:tcPr>
            <w:tcW w:w="1823" w:type="dxa"/>
            <w:vMerge w:val="restart"/>
            <w:tcBorders>
              <w:right w:val="nil"/>
            </w:tcBorders>
          </w:tcPr>
          <w:p>
            <w:pPr>
              <w:pStyle w:val="TableParagraph"/>
              <w:tabs>
                <w:tab w:pos="1531" w:val="left" w:leader="none"/>
              </w:tabs>
              <w:spacing w:line="204" w:lineRule="auto" w:before="161"/>
              <w:ind w:left="154" w:right="-15"/>
              <w:rPr>
                <w:sz w:val="16"/>
              </w:rPr>
            </w:pPr>
            <w:r>
              <w:rPr>
                <w:w w:val="105"/>
                <w:sz w:val="16"/>
              </w:rPr>
              <w:t>Дуплексное сканирование почечных артерий или</w:t>
              <w:tab/>
            </w:r>
            <w:r>
              <w:rPr>
                <w:spacing w:val="-5"/>
                <w:w w:val="105"/>
                <w:sz w:val="16"/>
              </w:rPr>
              <w:t>КТ-</w:t>
            </w:r>
          </w:p>
          <w:p>
            <w:pPr>
              <w:pStyle w:val="TableParagraph"/>
              <w:tabs>
                <w:tab w:pos="1519" w:val="left" w:leader="none"/>
              </w:tabs>
              <w:spacing w:line="204" w:lineRule="auto" w:before="0"/>
              <w:ind w:left="154" w:right="-29"/>
              <w:rPr>
                <w:sz w:val="16"/>
              </w:rPr>
            </w:pPr>
            <w:r>
              <w:rPr>
                <w:w w:val="105"/>
                <w:sz w:val="16"/>
              </w:rPr>
              <w:t>ангиография</w:t>
              <w:tab/>
            </w:r>
            <w:r>
              <w:rPr>
                <w:spacing w:val="-4"/>
                <w:w w:val="105"/>
                <w:sz w:val="16"/>
              </w:rPr>
              <w:t>или </w:t>
            </w:r>
            <w:r>
              <w:rPr>
                <w:w w:val="105"/>
                <w:sz w:val="16"/>
              </w:rPr>
              <w:t>МР-ангиография</w:t>
            </w:r>
          </w:p>
        </w:tc>
      </w:tr>
      <w:tr>
        <w:trPr>
          <w:trHeight w:val="955" w:hRule="atLeast"/>
        </w:trPr>
        <w:tc>
          <w:tcPr>
            <w:tcW w:w="2251" w:type="dxa"/>
          </w:tcPr>
          <w:p>
            <w:pPr>
              <w:pStyle w:val="TableParagraph"/>
              <w:spacing w:line="204" w:lineRule="auto" w:before="161"/>
              <w:rPr>
                <w:sz w:val="16"/>
              </w:rPr>
            </w:pPr>
            <w:r>
              <w:rPr>
                <w:w w:val="105"/>
                <w:sz w:val="16"/>
              </w:rPr>
              <w:t>Фибромускулярная дисплазия почечных артерий</w:t>
            </w:r>
          </w:p>
        </w:tc>
        <w:tc>
          <w:tcPr>
            <w:tcW w:w="2071" w:type="dxa"/>
            <w:vMerge/>
            <w:tcBorders>
              <w:top w:val="nil"/>
            </w:tcBorders>
          </w:tcPr>
          <w:p>
            <w:pPr>
              <w:rPr>
                <w:sz w:val="2"/>
                <w:szCs w:val="2"/>
              </w:rPr>
            </w:pPr>
          </w:p>
        </w:tc>
        <w:tc>
          <w:tcPr>
            <w:tcW w:w="2296" w:type="dxa"/>
          </w:tcPr>
          <w:p>
            <w:pPr>
              <w:pStyle w:val="TableParagraph"/>
              <w:spacing w:line="204" w:lineRule="auto" w:before="161"/>
              <w:ind w:left="154" w:right="146"/>
              <w:jc w:val="both"/>
              <w:rPr>
                <w:sz w:val="16"/>
              </w:rPr>
            </w:pPr>
            <w:r>
              <w:rPr>
                <w:w w:val="105"/>
                <w:sz w:val="16"/>
              </w:rPr>
              <w:t>Молодые; чаще у женщин; шум в проекции почечных артерия</w:t>
            </w:r>
          </w:p>
        </w:tc>
        <w:tc>
          <w:tcPr>
            <w:tcW w:w="1823" w:type="dxa"/>
            <w:vMerge/>
            <w:tcBorders>
              <w:top w:val="nil"/>
              <w:right w:val="nil"/>
            </w:tcBorders>
          </w:tcPr>
          <w:p>
            <w:pPr>
              <w:rPr>
                <w:sz w:val="2"/>
                <w:szCs w:val="2"/>
              </w:rPr>
            </w:pPr>
          </w:p>
        </w:tc>
      </w:tr>
      <w:tr>
        <w:trPr>
          <w:trHeight w:val="460" w:hRule="atLeast"/>
        </w:trPr>
        <w:tc>
          <w:tcPr>
            <w:tcW w:w="8441" w:type="dxa"/>
            <w:gridSpan w:val="4"/>
            <w:tcBorders>
              <w:right w:val="nil"/>
            </w:tcBorders>
          </w:tcPr>
          <w:p>
            <w:pPr>
              <w:pStyle w:val="TableParagraph"/>
              <w:rPr>
                <w:b/>
                <w:sz w:val="16"/>
              </w:rPr>
            </w:pPr>
            <w:r>
              <w:rPr>
                <w:b/>
                <w:w w:val="105"/>
                <w:sz w:val="16"/>
              </w:rPr>
              <w:t>Эндокринные причины</w:t>
            </w:r>
          </w:p>
        </w:tc>
      </w:tr>
      <w:tr>
        <w:trPr>
          <w:trHeight w:val="3431" w:hRule="atLeast"/>
        </w:trPr>
        <w:tc>
          <w:tcPr>
            <w:tcW w:w="2251" w:type="dxa"/>
          </w:tcPr>
          <w:p>
            <w:pPr>
              <w:pStyle w:val="TableParagraph"/>
              <w:spacing w:line="204" w:lineRule="auto" w:before="161"/>
              <w:rPr>
                <w:sz w:val="16"/>
              </w:rPr>
            </w:pPr>
            <w:r>
              <w:rPr>
                <w:w w:val="105"/>
                <w:sz w:val="16"/>
              </w:rPr>
              <w:t>Первичный </w:t>
            </w:r>
            <w:r>
              <w:rPr>
                <w:sz w:val="16"/>
              </w:rPr>
              <w:t>альдостеронизм</w:t>
            </w:r>
          </w:p>
        </w:tc>
        <w:tc>
          <w:tcPr>
            <w:tcW w:w="2071" w:type="dxa"/>
          </w:tcPr>
          <w:p>
            <w:pPr>
              <w:pStyle w:val="TableParagraph"/>
              <w:rPr>
                <w:sz w:val="16"/>
              </w:rPr>
            </w:pPr>
            <w:r>
              <w:rPr>
                <w:w w:val="105"/>
                <w:sz w:val="16"/>
              </w:rPr>
              <w:t>5–15%</w:t>
            </w:r>
          </w:p>
        </w:tc>
        <w:tc>
          <w:tcPr>
            <w:tcW w:w="2296" w:type="dxa"/>
          </w:tcPr>
          <w:p>
            <w:pPr>
              <w:pStyle w:val="TableParagraph"/>
              <w:tabs>
                <w:tab w:pos="1813" w:val="left" w:leader="none"/>
                <w:tab w:pos="2029" w:val="left" w:leader="none"/>
              </w:tabs>
              <w:spacing w:line="204" w:lineRule="auto" w:before="161"/>
              <w:ind w:left="154" w:right="146"/>
              <w:rPr>
                <w:sz w:val="16"/>
              </w:rPr>
            </w:pPr>
            <w:r>
              <w:rPr>
                <w:w w:val="105"/>
                <w:sz w:val="16"/>
              </w:rPr>
              <w:t>Спонтанная</w:t>
              <w:tab/>
            </w:r>
            <w:r>
              <w:rPr>
                <w:spacing w:val="-6"/>
                <w:w w:val="105"/>
                <w:sz w:val="16"/>
              </w:rPr>
              <w:t>или </w:t>
            </w:r>
            <w:r>
              <w:rPr>
                <w:w w:val="105"/>
                <w:sz w:val="16"/>
              </w:rPr>
              <w:t>индуцированная диуретиками гипокалиемия, гипертензия</w:t>
              <w:tab/>
              <w:tab/>
            </w:r>
            <w:r>
              <w:rPr>
                <w:spacing w:val="-18"/>
                <w:w w:val="105"/>
                <w:sz w:val="16"/>
              </w:rPr>
              <w:t>в</w:t>
            </w:r>
          </w:p>
          <w:p>
            <w:pPr>
              <w:pStyle w:val="TableParagraph"/>
              <w:tabs>
                <w:tab w:pos="2042" w:val="left" w:leader="none"/>
              </w:tabs>
              <w:spacing w:line="155" w:lineRule="exact" w:before="0"/>
              <w:ind w:left="154"/>
              <w:rPr>
                <w:sz w:val="16"/>
              </w:rPr>
            </w:pPr>
            <w:r>
              <w:rPr>
                <w:w w:val="105"/>
                <w:sz w:val="16"/>
              </w:rPr>
              <w:t>сочетании</w:t>
              <w:tab/>
              <w:t>с</w:t>
            </w:r>
          </w:p>
          <w:p>
            <w:pPr>
              <w:pStyle w:val="TableParagraph"/>
              <w:tabs>
                <w:tab w:pos="1447" w:val="left" w:leader="none"/>
              </w:tabs>
              <w:spacing w:line="204" w:lineRule="auto" w:before="9"/>
              <w:ind w:left="154" w:right="149"/>
              <w:rPr>
                <w:sz w:val="16"/>
              </w:rPr>
            </w:pPr>
            <w:r>
              <w:rPr>
                <w:w w:val="105"/>
                <w:sz w:val="16"/>
              </w:rPr>
              <w:t>надпочечниковой инсиденталомой, или синдромом</w:t>
              <w:tab/>
            </w:r>
            <w:r>
              <w:rPr>
                <w:spacing w:val="-3"/>
                <w:w w:val="105"/>
                <w:sz w:val="16"/>
              </w:rPr>
              <w:t>сонного </w:t>
            </w:r>
            <w:r>
              <w:rPr>
                <w:w w:val="105"/>
                <w:sz w:val="16"/>
              </w:rPr>
              <w:t>апноэ</w:t>
            </w:r>
            <w:r>
              <w:rPr>
                <w:spacing w:val="-3"/>
                <w:w w:val="105"/>
                <w:sz w:val="16"/>
              </w:rPr>
              <w:t> </w:t>
            </w:r>
            <w:r>
              <w:rPr>
                <w:w w:val="105"/>
                <w:sz w:val="16"/>
              </w:rPr>
              <w:t>или</w:t>
            </w:r>
          </w:p>
          <w:p>
            <w:pPr>
              <w:pStyle w:val="TableParagraph"/>
              <w:tabs>
                <w:tab w:pos="1839" w:val="left" w:leader="none"/>
              </w:tabs>
              <w:spacing w:line="204" w:lineRule="auto" w:before="0"/>
              <w:ind w:left="154" w:right="145"/>
              <w:rPr>
                <w:sz w:val="16"/>
              </w:rPr>
            </w:pPr>
            <w:r>
              <w:rPr>
                <w:w w:val="105"/>
                <w:sz w:val="16"/>
              </w:rPr>
              <w:t>семейным анамнезом гипертензии в </w:t>
            </w:r>
            <w:r>
              <w:rPr>
                <w:spacing w:val="-3"/>
                <w:w w:val="105"/>
                <w:sz w:val="16"/>
              </w:rPr>
              <w:t>раннем </w:t>
            </w:r>
            <w:r>
              <w:rPr>
                <w:w w:val="105"/>
                <w:sz w:val="16"/>
              </w:rPr>
              <w:t>возрасте (до 40 лет), семейным анамнезом первичного </w:t>
            </w:r>
            <w:r>
              <w:rPr>
                <w:sz w:val="16"/>
              </w:rPr>
              <w:t>гиперальдостеронизма </w:t>
            </w:r>
            <w:r>
              <w:rPr>
                <w:w w:val="105"/>
                <w:sz w:val="16"/>
              </w:rPr>
              <w:t>(родственники</w:t>
              <w:tab/>
            </w:r>
            <w:r>
              <w:rPr>
                <w:spacing w:val="-5"/>
                <w:w w:val="105"/>
                <w:sz w:val="16"/>
              </w:rPr>
              <w:t>1-й </w:t>
            </w:r>
            <w:r>
              <w:rPr>
                <w:w w:val="105"/>
                <w:sz w:val="16"/>
              </w:rPr>
              <w:t>линии</w:t>
            </w:r>
            <w:r>
              <w:rPr>
                <w:spacing w:val="-4"/>
                <w:w w:val="105"/>
                <w:sz w:val="16"/>
              </w:rPr>
              <w:t> </w:t>
            </w:r>
            <w:r>
              <w:rPr>
                <w:w w:val="105"/>
                <w:sz w:val="16"/>
              </w:rPr>
              <w:t>родства)</w:t>
            </w:r>
          </w:p>
        </w:tc>
        <w:tc>
          <w:tcPr>
            <w:tcW w:w="1823" w:type="dxa"/>
            <w:tcBorders>
              <w:right w:val="nil"/>
            </w:tcBorders>
          </w:tcPr>
          <w:p>
            <w:pPr>
              <w:pStyle w:val="TableParagraph"/>
              <w:tabs>
                <w:tab w:pos="878" w:val="left" w:leader="none"/>
                <w:tab w:pos="1202" w:val="left" w:leader="none"/>
                <w:tab w:pos="1618" w:val="left" w:leader="none"/>
                <w:tab w:pos="1715" w:val="left" w:leader="none"/>
              </w:tabs>
              <w:spacing w:line="204" w:lineRule="auto" w:before="161"/>
              <w:ind w:left="154" w:right="-29"/>
              <w:rPr>
                <w:sz w:val="16"/>
              </w:rPr>
            </w:pPr>
            <w:r>
              <w:rPr>
                <w:w w:val="105"/>
                <w:sz w:val="16"/>
              </w:rPr>
              <w:t>Ренин, альдостерон плазмы (исследование проводят</w:t>
              <w:tab/>
              <w:tab/>
              <w:t>на нормокалиемии</w:t>
              <w:tab/>
              <w:tab/>
              <w:t>и через</w:t>
              <w:tab/>
              <w:t>6</w:t>
              <w:tab/>
              <w:t>недель после</w:t>
              <w:tab/>
              <w:tab/>
            </w:r>
            <w:r>
              <w:rPr>
                <w:sz w:val="16"/>
              </w:rPr>
              <w:t>отмены </w:t>
            </w:r>
            <w:r>
              <w:rPr>
                <w:w w:val="105"/>
                <w:sz w:val="16"/>
              </w:rPr>
              <w:t>верошпирона); трактуют результаты</w:t>
              <w:tab/>
              <w:tab/>
              <w:tab/>
              <w:t>с учетом </w:t>
            </w:r>
            <w:r>
              <w:rPr>
                <w:sz w:val="16"/>
              </w:rPr>
              <w:t>антигипертензивой </w:t>
            </w:r>
            <w:r>
              <w:rPr>
                <w:w w:val="105"/>
                <w:sz w:val="16"/>
              </w:rPr>
              <w:t>терапии, которую получает</w:t>
            </w:r>
            <w:r>
              <w:rPr>
                <w:spacing w:val="-10"/>
                <w:w w:val="105"/>
                <w:sz w:val="16"/>
              </w:rPr>
              <w:t> </w:t>
            </w:r>
            <w:r>
              <w:rPr>
                <w:w w:val="105"/>
                <w:sz w:val="16"/>
              </w:rPr>
              <w:t>пациент</w:t>
            </w:r>
          </w:p>
        </w:tc>
      </w:tr>
      <w:tr>
        <w:trPr>
          <w:trHeight w:val="2771" w:hRule="atLeast"/>
        </w:trPr>
        <w:tc>
          <w:tcPr>
            <w:tcW w:w="2251" w:type="dxa"/>
          </w:tcPr>
          <w:p>
            <w:pPr>
              <w:pStyle w:val="TableParagraph"/>
              <w:rPr>
                <w:sz w:val="16"/>
              </w:rPr>
            </w:pPr>
            <w:r>
              <w:rPr>
                <w:w w:val="105"/>
                <w:sz w:val="16"/>
              </w:rPr>
              <w:t>Феохромоцитома</w:t>
            </w:r>
          </w:p>
        </w:tc>
        <w:tc>
          <w:tcPr>
            <w:tcW w:w="2071" w:type="dxa"/>
          </w:tcPr>
          <w:p>
            <w:pPr>
              <w:pStyle w:val="TableParagraph"/>
              <w:rPr>
                <w:sz w:val="16"/>
              </w:rPr>
            </w:pPr>
            <w:r>
              <w:rPr>
                <w:w w:val="105"/>
                <w:sz w:val="16"/>
              </w:rPr>
              <w:t>&lt;1%</w:t>
            </w:r>
          </w:p>
        </w:tc>
        <w:tc>
          <w:tcPr>
            <w:tcW w:w="2296" w:type="dxa"/>
          </w:tcPr>
          <w:p>
            <w:pPr>
              <w:pStyle w:val="TableParagraph"/>
              <w:tabs>
                <w:tab w:pos="1400" w:val="left" w:leader="none"/>
                <w:tab w:pos="1830" w:val="left" w:leader="none"/>
              </w:tabs>
              <w:spacing w:line="204" w:lineRule="auto" w:before="161"/>
              <w:ind w:left="154" w:right="147"/>
              <w:rPr>
                <w:sz w:val="16"/>
              </w:rPr>
            </w:pPr>
            <w:r>
              <w:rPr>
                <w:w w:val="105"/>
                <w:sz w:val="16"/>
              </w:rPr>
              <w:t>Периодические симптомы:</w:t>
              <w:tab/>
            </w:r>
            <w:r>
              <w:rPr>
                <w:sz w:val="16"/>
              </w:rPr>
              <w:t>эпизоды </w:t>
            </w:r>
            <w:r>
              <w:rPr>
                <w:w w:val="105"/>
                <w:sz w:val="16"/>
              </w:rPr>
              <w:t>повышения</w:t>
              <w:tab/>
              <w:tab/>
            </w:r>
            <w:r>
              <w:rPr>
                <w:spacing w:val="-6"/>
                <w:w w:val="105"/>
                <w:sz w:val="16"/>
              </w:rPr>
              <w:t>АД,</w:t>
            </w:r>
          </w:p>
          <w:p>
            <w:pPr>
              <w:pStyle w:val="TableParagraph"/>
              <w:tabs>
                <w:tab w:pos="1134" w:val="left" w:leader="none"/>
                <w:tab w:pos="1670" w:val="left" w:leader="none"/>
                <w:tab w:pos="2024" w:val="left" w:leader="none"/>
              </w:tabs>
              <w:spacing w:line="204" w:lineRule="auto" w:before="0"/>
              <w:ind w:left="154" w:right="139"/>
              <w:rPr>
                <w:sz w:val="16"/>
              </w:rPr>
            </w:pPr>
            <w:r>
              <w:rPr>
                <w:w w:val="105"/>
                <w:sz w:val="16"/>
              </w:rPr>
              <w:t>головная</w:t>
              <w:tab/>
              <w:tab/>
            </w:r>
            <w:r>
              <w:rPr>
                <w:spacing w:val="-3"/>
                <w:w w:val="105"/>
                <w:sz w:val="16"/>
              </w:rPr>
              <w:t>боль, </w:t>
            </w:r>
            <w:r>
              <w:rPr>
                <w:w w:val="105"/>
                <w:sz w:val="16"/>
              </w:rPr>
              <w:t>потливость, сердцебиения</w:t>
              <w:tab/>
              <w:tab/>
            </w:r>
            <w:r>
              <w:rPr>
                <w:spacing w:val="-13"/>
                <w:w w:val="105"/>
                <w:sz w:val="16"/>
              </w:rPr>
              <w:t>и </w:t>
            </w:r>
            <w:r>
              <w:rPr>
                <w:w w:val="105"/>
                <w:sz w:val="16"/>
              </w:rPr>
              <w:t>бледность; лабильное АД; подъемы АД</w:t>
            </w:r>
            <w:r>
              <w:rPr>
                <w:spacing w:val="-20"/>
                <w:w w:val="105"/>
                <w:sz w:val="16"/>
              </w:rPr>
              <w:t> </w:t>
            </w:r>
            <w:r>
              <w:rPr>
                <w:w w:val="105"/>
                <w:sz w:val="16"/>
              </w:rPr>
              <w:t>могут быть спровоцированы приемом</w:t>
              <w:tab/>
            </w:r>
            <w:r>
              <w:rPr>
                <w:sz w:val="16"/>
              </w:rPr>
              <w:t>препаратов </w:t>
            </w:r>
            <w:r>
              <w:rPr>
                <w:w w:val="105"/>
                <w:sz w:val="16"/>
              </w:rPr>
              <w:t>(ББ, </w:t>
            </w:r>
            <w:r>
              <w:rPr>
                <w:spacing w:val="-2"/>
                <w:w w:val="105"/>
                <w:sz w:val="16"/>
              </w:rPr>
              <w:t>метоклопрамида, </w:t>
            </w:r>
            <w:r>
              <w:rPr>
                <w:w w:val="105"/>
                <w:sz w:val="16"/>
              </w:rPr>
              <w:t>симпатомиметиков, опиоидов, трициклических антидепрессантов)</w:t>
            </w:r>
          </w:p>
        </w:tc>
        <w:tc>
          <w:tcPr>
            <w:tcW w:w="1823" w:type="dxa"/>
            <w:tcBorders>
              <w:right w:val="nil"/>
            </w:tcBorders>
          </w:tcPr>
          <w:p>
            <w:pPr>
              <w:pStyle w:val="TableParagraph"/>
              <w:tabs>
                <w:tab w:pos="1509" w:val="left" w:leader="none"/>
              </w:tabs>
              <w:spacing w:line="204" w:lineRule="auto" w:before="161"/>
              <w:ind w:left="154" w:right="-29"/>
              <w:jc w:val="both"/>
              <w:rPr>
                <w:sz w:val="16"/>
              </w:rPr>
            </w:pPr>
            <w:r>
              <w:rPr>
                <w:w w:val="105"/>
                <w:sz w:val="16"/>
              </w:rPr>
              <w:t>Метанефрины в плазме</w:t>
              <w:tab/>
              <w:t>или суточной</w:t>
            </w:r>
            <w:r>
              <w:rPr>
                <w:spacing w:val="-5"/>
                <w:w w:val="105"/>
                <w:sz w:val="16"/>
              </w:rPr>
              <w:t> </w:t>
            </w:r>
            <w:r>
              <w:rPr>
                <w:w w:val="105"/>
                <w:sz w:val="16"/>
              </w:rPr>
              <w:t>моче</w:t>
            </w:r>
          </w:p>
        </w:tc>
      </w:tr>
      <w:tr>
        <w:trPr>
          <w:trHeight w:val="2275" w:hRule="atLeast"/>
        </w:trPr>
        <w:tc>
          <w:tcPr>
            <w:tcW w:w="2251" w:type="dxa"/>
          </w:tcPr>
          <w:p>
            <w:pPr>
              <w:pStyle w:val="TableParagraph"/>
              <w:rPr>
                <w:sz w:val="16"/>
              </w:rPr>
            </w:pPr>
            <w:r>
              <w:rPr>
                <w:w w:val="105"/>
                <w:sz w:val="16"/>
              </w:rPr>
              <w:t>Синдром Кушинга</w:t>
            </w:r>
          </w:p>
        </w:tc>
        <w:tc>
          <w:tcPr>
            <w:tcW w:w="2071" w:type="dxa"/>
          </w:tcPr>
          <w:p>
            <w:pPr>
              <w:pStyle w:val="TableParagraph"/>
              <w:rPr>
                <w:sz w:val="16"/>
              </w:rPr>
            </w:pPr>
            <w:r>
              <w:rPr>
                <w:w w:val="105"/>
                <w:sz w:val="16"/>
              </w:rPr>
              <w:t>&lt;1%</w:t>
            </w:r>
          </w:p>
        </w:tc>
        <w:tc>
          <w:tcPr>
            <w:tcW w:w="2296" w:type="dxa"/>
          </w:tcPr>
          <w:p>
            <w:pPr>
              <w:pStyle w:val="TableParagraph"/>
              <w:tabs>
                <w:tab w:pos="1405" w:val="left" w:leader="none"/>
                <w:tab w:pos="1602" w:val="left" w:leader="none"/>
                <w:tab w:pos="1656" w:val="left" w:leader="none"/>
              </w:tabs>
              <w:spacing w:line="204" w:lineRule="auto" w:before="161"/>
              <w:ind w:left="154" w:right="140"/>
              <w:rPr>
                <w:sz w:val="16"/>
              </w:rPr>
            </w:pPr>
            <w:r>
              <w:rPr>
                <w:sz w:val="16"/>
              </w:rPr>
              <w:t>Лунообразное</w:t>
              <w:tab/>
              <w:tab/>
              <w:tab/>
            </w:r>
            <w:r>
              <w:rPr>
                <w:spacing w:val="-3"/>
                <w:w w:val="105"/>
                <w:sz w:val="16"/>
              </w:rPr>
              <w:t>лицо, </w:t>
            </w:r>
            <w:r>
              <w:rPr>
                <w:w w:val="105"/>
                <w:sz w:val="16"/>
              </w:rPr>
              <w:t>центральное ожирение,</w:t>
              <w:tab/>
            </w:r>
            <w:r>
              <w:rPr>
                <w:spacing w:val="-3"/>
                <w:w w:val="105"/>
                <w:sz w:val="16"/>
              </w:rPr>
              <w:t>атрофия </w:t>
            </w:r>
            <w:r>
              <w:rPr>
                <w:w w:val="105"/>
                <w:sz w:val="16"/>
              </w:rPr>
              <w:t>кожи, стрии, диабет, длительный</w:t>
              <w:tab/>
              <w:tab/>
            </w:r>
            <w:r>
              <w:rPr>
                <w:spacing w:val="-3"/>
                <w:w w:val="105"/>
                <w:sz w:val="16"/>
              </w:rPr>
              <w:t>прием </w:t>
            </w:r>
            <w:r>
              <w:rPr>
                <w:w w:val="105"/>
                <w:sz w:val="16"/>
              </w:rPr>
              <w:t>стероидов</w:t>
            </w:r>
          </w:p>
        </w:tc>
        <w:tc>
          <w:tcPr>
            <w:tcW w:w="1823" w:type="dxa"/>
            <w:tcBorders>
              <w:right w:val="nil"/>
            </w:tcBorders>
          </w:tcPr>
          <w:p>
            <w:pPr>
              <w:pStyle w:val="TableParagraph"/>
              <w:spacing w:line="204" w:lineRule="auto" w:before="161"/>
              <w:ind w:left="154" w:right="-29"/>
              <w:jc w:val="both"/>
              <w:rPr>
                <w:sz w:val="16"/>
              </w:rPr>
            </w:pPr>
            <w:r>
              <w:rPr>
                <w:w w:val="105"/>
                <w:sz w:val="16"/>
              </w:rPr>
              <w:t>Проба с 1 мг дексаметазона, и/ или кортизол слюны   в  </w:t>
            </w:r>
            <w:r>
              <w:rPr>
                <w:spacing w:val="27"/>
                <w:w w:val="105"/>
                <w:sz w:val="16"/>
              </w:rPr>
              <w:t> </w:t>
            </w:r>
            <w:r>
              <w:rPr>
                <w:w w:val="105"/>
                <w:sz w:val="16"/>
              </w:rPr>
              <w:t>23:00–</w:t>
            </w:r>
          </w:p>
          <w:p>
            <w:pPr>
              <w:pStyle w:val="TableParagraph"/>
              <w:tabs>
                <w:tab w:pos="1337" w:val="left" w:leader="none"/>
              </w:tabs>
              <w:spacing w:line="204" w:lineRule="auto" w:before="0"/>
              <w:ind w:left="154" w:right="-29"/>
              <w:rPr>
                <w:sz w:val="16"/>
              </w:rPr>
            </w:pPr>
            <w:r>
              <w:rPr>
                <w:w w:val="105"/>
                <w:sz w:val="16"/>
              </w:rPr>
              <w:t>00:00,</w:t>
              <w:tab/>
            </w:r>
            <w:r>
              <w:rPr>
                <w:sz w:val="16"/>
              </w:rPr>
              <w:t>и/или </w:t>
            </w:r>
            <w:r>
              <w:rPr>
                <w:w w:val="105"/>
                <w:sz w:val="16"/>
              </w:rPr>
              <w:t>суточная экскреция свободного кортизола  с</w:t>
            </w:r>
            <w:r>
              <w:rPr>
                <w:spacing w:val="-13"/>
                <w:w w:val="105"/>
                <w:sz w:val="16"/>
              </w:rPr>
              <w:t> </w:t>
            </w:r>
            <w:r>
              <w:rPr>
                <w:w w:val="105"/>
                <w:sz w:val="16"/>
              </w:rPr>
              <w:t>мочой</w:t>
            </w:r>
          </w:p>
          <w:p>
            <w:pPr>
              <w:pStyle w:val="TableParagraph"/>
              <w:tabs>
                <w:tab w:pos="918" w:val="left" w:leader="none"/>
              </w:tabs>
              <w:spacing w:line="204" w:lineRule="auto" w:before="0"/>
              <w:ind w:left="154" w:right="-29"/>
              <w:rPr>
                <w:sz w:val="16"/>
              </w:rPr>
            </w:pPr>
            <w:r>
              <w:rPr>
                <w:w w:val="105"/>
                <w:sz w:val="16"/>
              </w:rPr>
              <w:t>—</w:t>
              <w:tab/>
            </w:r>
            <w:r>
              <w:rPr>
                <w:sz w:val="16"/>
              </w:rPr>
              <w:t>исключить </w:t>
            </w:r>
            <w:r>
              <w:rPr>
                <w:w w:val="105"/>
                <w:sz w:val="16"/>
              </w:rPr>
              <w:t>прием </w:t>
            </w:r>
            <w:r>
              <w:rPr>
                <w:sz w:val="16"/>
              </w:rPr>
              <w:t>глюкокортикоидов!</w:t>
            </w:r>
          </w:p>
        </w:tc>
      </w:tr>
      <w:tr>
        <w:trPr>
          <w:trHeight w:val="955" w:hRule="atLeast"/>
        </w:trPr>
        <w:tc>
          <w:tcPr>
            <w:tcW w:w="2251" w:type="dxa"/>
          </w:tcPr>
          <w:p>
            <w:pPr>
              <w:pStyle w:val="TableParagraph"/>
              <w:tabs>
                <w:tab w:pos="1429" w:val="left" w:leader="none"/>
                <w:tab w:pos="1768" w:val="left" w:leader="none"/>
              </w:tabs>
              <w:spacing w:line="204" w:lineRule="auto" w:before="161"/>
              <w:ind w:right="147"/>
              <w:rPr>
                <w:sz w:val="16"/>
              </w:rPr>
            </w:pPr>
            <w:r>
              <w:rPr>
                <w:w w:val="105"/>
                <w:sz w:val="16"/>
              </w:rPr>
              <w:t>Заболевания щитовидной</w:t>
              <w:tab/>
            </w:r>
            <w:r>
              <w:rPr>
                <w:spacing w:val="-3"/>
                <w:w w:val="105"/>
                <w:sz w:val="16"/>
              </w:rPr>
              <w:t>железы </w:t>
            </w:r>
            <w:r>
              <w:rPr>
                <w:w w:val="105"/>
                <w:sz w:val="16"/>
              </w:rPr>
              <w:t>(гипер-</w:t>
              <w:tab/>
              <w:tab/>
            </w:r>
            <w:r>
              <w:rPr>
                <w:spacing w:val="-6"/>
                <w:w w:val="105"/>
                <w:sz w:val="16"/>
              </w:rPr>
              <w:t>или</w:t>
            </w:r>
          </w:p>
          <w:p>
            <w:pPr>
              <w:pStyle w:val="TableParagraph"/>
              <w:spacing w:line="170" w:lineRule="exact" w:before="0"/>
              <w:rPr>
                <w:sz w:val="16"/>
              </w:rPr>
            </w:pPr>
            <w:r>
              <w:rPr>
                <w:w w:val="105"/>
                <w:sz w:val="16"/>
              </w:rPr>
              <w:t>гипотиреоз)</w:t>
            </w:r>
          </w:p>
        </w:tc>
        <w:tc>
          <w:tcPr>
            <w:tcW w:w="2071" w:type="dxa"/>
          </w:tcPr>
          <w:p>
            <w:pPr>
              <w:pStyle w:val="TableParagraph"/>
              <w:rPr>
                <w:sz w:val="16"/>
              </w:rPr>
            </w:pPr>
            <w:r>
              <w:rPr>
                <w:w w:val="105"/>
                <w:sz w:val="16"/>
              </w:rPr>
              <w:t>1–2%</w:t>
            </w:r>
          </w:p>
        </w:tc>
        <w:tc>
          <w:tcPr>
            <w:tcW w:w="2296" w:type="dxa"/>
          </w:tcPr>
          <w:p>
            <w:pPr>
              <w:pStyle w:val="TableParagraph"/>
              <w:tabs>
                <w:tab w:pos="1813" w:val="left" w:leader="none"/>
              </w:tabs>
              <w:spacing w:line="204" w:lineRule="auto" w:before="161"/>
              <w:ind w:left="154" w:right="138"/>
              <w:rPr>
                <w:sz w:val="16"/>
              </w:rPr>
            </w:pPr>
            <w:r>
              <w:rPr>
                <w:w w:val="105"/>
                <w:sz w:val="16"/>
              </w:rPr>
              <w:t>Признаки и симптомы гипер-</w:t>
              <w:tab/>
              <w:t>или</w:t>
            </w:r>
          </w:p>
          <w:p>
            <w:pPr>
              <w:pStyle w:val="TableParagraph"/>
              <w:spacing w:line="170" w:lineRule="exact" w:before="0"/>
              <w:ind w:left="154"/>
              <w:rPr>
                <w:sz w:val="16"/>
              </w:rPr>
            </w:pPr>
            <w:r>
              <w:rPr>
                <w:w w:val="105"/>
                <w:sz w:val="16"/>
              </w:rPr>
              <w:t>гипотиреоза</w:t>
            </w:r>
          </w:p>
        </w:tc>
        <w:tc>
          <w:tcPr>
            <w:tcW w:w="1823" w:type="dxa"/>
            <w:tcBorders>
              <w:right w:val="nil"/>
            </w:tcBorders>
          </w:tcPr>
          <w:p>
            <w:pPr>
              <w:pStyle w:val="TableParagraph"/>
              <w:tabs>
                <w:tab w:pos="1074" w:val="left" w:leader="none"/>
              </w:tabs>
              <w:spacing w:line="204" w:lineRule="auto" w:before="161"/>
              <w:ind w:left="154" w:right="-29"/>
              <w:rPr>
                <w:sz w:val="16"/>
              </w:rPr>
            </w:pPr>
            <w:r>
              <w:rPr>
                <w:w w:val="105"/>
                <w:sz w:val="16"/>
              </w:rPr>
              <w:t>Оценка</w:t>
              <w:tab/>
            </w:r>
            <w:r>
              <w:rPr>
                <w:sz w:val="16"/>
              </w:rPr>
              <w:t>функции </w:t>
            </w:r>
            <w:r>
              <w:rPr>
                <w:w w:val="105"/>
                <w:sz w:val="16"/>
              </w:rPr>
              <w:t>щитовидной железы (ТТГ,</w:t>
            </w:r>
            <w:r>
              <w:rPr>
                <w:spacing w:val="5"/>
                <w:w w:val="105"/>
                <w:sz w:val="16"/>
              </w:rPr>
              <w:t> </w:t>
            </w:r>
            <w:r>
              <w:rPr>
                <w:w w:val="105"/>
                <w:sz w:val="16"/>
              </w:rPr>
              <w:t>Т</w:t>
            </w:r>
            <w:r>
              <w:rPr>
                <w:w w:val="105"/>
                <w:position w:val="-4"/>
                <w:sz w:val="16"/>
              </w:rPr>
              <w:t>4</w:t>
            </w:r>
            <w:r>
              <w:rPr>
                <w:w w:val="105"/>
                <w:sz w:val="16"/>
              </w:rPr>
              <w:t>,</w:t>
            </w:r>
          </w:p>
          <w:p>
            <w:pPr>
              <w:pStyle w:val="TableParagraph"/>
              <w:spacing w:line="127" w:lineRule="auto" w:before="0"/>
              <w:ind w:left="154"/>
              <w:rPr>
                <w:sz w:val="16"/>
              </w:rPr>
            </w:pPr>
            <w:r>
              <w:rPr>
                <w:w w:val="105"/>
                <w:sz w:val="16"/>
              </w:rPr>
              <w:t>Т</w:t>
            </w:r>
            <w:r>
              <w:rPr>
                <w:w w:val="105"/>
                <w:position w:val="-4"/>
                <w:sz w:val="16"/>
              </w:rPr>
              <w:t>3</w:t>
            </w:r>
            <w:r>
              <w:rPr>
                <w:w w:val="105"/>
                <w:sz w:val="16"/>
              </w:rPr>
              <w:t>)</w:t>
            </w:r>
          </w:p>
        </w:tc>
      </w:tr>
      <w:tr>
        <w:trPr>
          <w:trHeight w:val="625" w:hRule="atLeast"/>
        </w:trPr>
        <w:tc>
          <w:tcPr>
            <w:tcW w:w="2251" w:type="dxa"/>
          </w:tcPr>
          <w:p>
            <w:pPr>
              <w:pStyle w:val="TableParagraph"/>
              <w:rPr>
                <w:sz w:val="16"/>
              </w:rPr>
            </w:pPr>
            <w:r>
              <w:rPr>
                <w:w w:val="105"/>
                <w:sz w:val="16"/>
              </w:rPr>
              <w:t>Гиперапаратиреоз</w:t>
            </w:r>
          </w:p>
        </w:tc>
        <w:tc>
          <w:tcPr>
            <w:tcW w:w="2071" w:type="dxa"/>
          </w:tcPr>
          <w:p>
            <w:pPr>
              <w:pStyle w:val="TableParagraph"/>
              <w:rPr>
                <w:sz w:val="16"/>
              </w:rPr>
            </w:pPr>
            <w:r>
              <w:rPr>
                <w:w w:val="105"/>
                <w:sz w:val="16"/>
              </w:rPr>
              <w:t>&lt;1%</w:t>
            </w:r>
          </w:p>
        </w:tc>
        <w:tc>
          <w:tcPr>
            <w:tcW w:w="2296" w:type="dxa"/>
          </w:tcPr>
          <w:p>
            <w:pPr>
              <w:pStyle w:val="TableParagraph"/>
              <w:spacing w:line="204" w:lineRule="auto" w:before="161"/>
              <w:ind w:left="154" w:right="142"/>
              <w:rPr>
                <w:sz w:val="16"/>
              </w:rPr>
            </w:pPr>
            <w:r>
              <w:rPr>
                <w:sz w:val="16"/>
              </w:rPr>
              <w:t>Гиперкальциемия, </w:t>
            </w:r>
            <w:r>
              <w:rPr>
                <w:w w:val="105"/>
                <w:sz w:val="16"/>
              </w:rPr>
              <w:t>гипофосфатемия</w:t>
            </w:r>
          </w:p>
        </w:tc>
        <w:tc>
          <w:tcPr>
            <w:tcW w:w="1823" w:type="dxa"/>
            <w:tcBorders>
              <w:right w:val="nil"/>
            </w:tcBorders>
          </w:tcPr>
          <w:p>
            <w:pPr>
              <w:pStyle w:val="TableParagraph"/>
              <w:spacing w:line="204" w:lineRule="auto" w:before="161"/>
              <w:ind w:left="154"/>
              <w:rPr>
                <w:sz w:val="16"/>
              </w:rPr>
            </w:pPr>
            <w:r>
              <w:rPr>
                <w:w w:val="105"/>
                <w:sz w:val="16"/>
              </w:rPr>
              <w:t>Паратгормон, уровень кальция</w:t>
            </w:r>
          </w:p>
        </w:tc>
      </w:tr>
    </w:tbl>
    <w:p>
      <w:pPr>
        <w:spacing w:after="0" w:line="204" w:lineRule="auto"/>
        <w:rPr>
          <w:sz w:val="16"/>
        </w:rPr>
        <w:sectPr>
          <w:pgSz w:w="11900" w:h="16840"/>
          <w:pgMar w:top="0" w:bottom="28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51"/>
        <w:gridCol w:w="2071"/>
        <w:gridCol w:w="2296"/>
        <w:gridCol w:w="1823"/>
      </w:tblGrid>
      <w:tr>
        <w:trPr>
          <w:trHeight w:val="1120" w:hRule="atLeast"/>
        </w:trPr>
        <w:tc>
          <w:tcPr>
            <w:tcW w:w="2251" w:type="dxa"/>
          </w:tcPr>
          <w:p>
            <w:pPr>
              <w:pStyle w:val="TableParagraph"/>
              <w:rPr>
                <w:sz w:val="16"/>
              </w:rPr>
            </w:pPr>
            <w:r>
              <w:rPr>
                <w:w w:val="105"/>
                <w:sz w:val="16"/>
              </w:rPr>
              <w:t>Акромегалия</w:t>
            </w:r>
          </w:p>
        </w:tc>
        <w:tc>
          <w:tcPr>
            <w:tcW w:w="2071" w:type="dxa"/>
          </w:tcPr>
          <w:p>
            <w:pPr>
              <w:pStyle w:val="TableParagraph"/>
              <w:spacing w:before="0"/>
              <w:ind w:left="0"/>
              <w:rPr>
                <w:rFonts w:ascii="Times New Roman"/>
                <w:sz w:val="16"/>
              </w:rPr>
            </w:pPr>
          </w:p>
        </w:tc>
        <w:tc>
          <w:tcPr>
            <w:tcW w:w="2296" w:type="dxa"/>
          </w:tcPr>
          <w:p>
            <w:pPr>
              <w:pStyle w:val="TableParagraph"/>
              <w:tabs>
                <w:tab w:pos="804" w:val="left" w:leader="none"/>
                <w:tab w:pos="1562" w:val="left" w:leader="none"/>
                <w:tab w:pos="2026" w:val="left" w:leader="none"/>
              </w:tabs>
              <w:spacing w:line="204" w:lineRule="auto" w:before="161"/>
              <w:ind w:left="154" w:right="138"/>
              <w:rPr>
                <w:sz w:val="16"/>
              </w:rPr>
            </w:pPr>
            <w:r>
              <w:rPr>
                <w:w w:val="105"/>
                <w:sz w:val="16"/>
              </w:rPr>
              <w:t>Увеличение акральных</w:t>
              <w:tab/>
            </w:r>
            <w:r>
              <w:rPr>
                <w:spacing w:val="-3"/>
                <w:w w:val="105"/>
                <w:sz w:val="16"/>
              </w:rPr>
              <w:t>частей </w:t>
            </w:r>
            <w:r>
              <w:rPr>
                <w:w w:val="105"/>
                <w:sz w:val="16"/>
              </w:rPr>
              <w:t>тела,</w:t>
              <w:tab/>
              <w:t>укрупнение</w:t>
              <w:tab/>
            </w:r>
            <w:r>
              <w:rPr>
                <w:spacing w:val="-14"/>
                <w:w w:val="105"/>
                <w:sz w:val="16"/>
              </w:rPr>
              <w:t>и </w:t>
            </w:r>
            <w:r>
              <w:rPr>
                <w:w w:val="105"/>
                <w:sz w:val="16"/>
              </w:rPr>
              <w:t>огрубление черт</w:t>
            </w:r>
            <w:r>
              <w:rPr>
                <w:spacing w:val="-15"/>
                <w:w w:val="105"/>
                <w:sz w:val="16"/>
              </w:rPr>
              <w:t> </w:t>
            </w:r>
            <w:r>
              <w:rPr>
                <w:spacing w:val="-3"/>
                <w:w w:val="105"/>
                <w:sz w:val="16"/>
              </w:rPr>
              <w:t>лица, </w:t>
            </w:r>
            <w:r>
              <w:rPr>
                <w:w w:val="105"/>
                <w:sz w:val="16"/>
              </w:rPr>
              <w:t>потливость</w:t>
            </w:r>
          </w:p>
        </w:tc>
        <w:tc>
          <w:tcPr>
            <w:tcW w:w="1823" w:type="dxa"/>
            <w:tcBorders>
              <w:right w:val="nil"/>
            </w:tcBorders>
          </w:tcPr>
          <w:p>
            <w:pPr>
              <w:pStyle w:val="TableParagraph"/>
              <w:spacing w:line="204" w:lineRule="auto" w:before="161"/>
              <w:ind w:left="154" w:right="-29"/>
              <w:jc w:val="both"/>
              <w:rPr>
                <w:sz w:val="16"/>
              </w:rPr>
            </w:pPr>
            <w:r>
              <w:rPr>
                <w:sz w:val="16"/>
              </w:rPr>
              <w:t>Инсулиноподобный </w:t>
            </w:r>
            <w:r>
              <w:rPr>
                <w:w w:val="105"/>
                <w:sz w:val="16"/>
              </w:rPr>
              <w:t>фактор роста (ИФР-1) сыворотки крови</w:t>
            </w:r>
          </w:p>
        </w:tc>
      </w:tr>
      <w:tr>
        <w:trPr>
          <w:trHeight w:val="460" w:hRule="atLeast"/>
        </w:trPr>
        <w:tc>
          <w:tcPr>
            <w:tcW w:w="8441" w:type="dxa"/>
            <w:gridSpan w:val="4"/>
            <w:tcBorders>
              <w:right w:val="nil"/>
            </w:tcBorders>
          </w:tcPr>
          <w:p>
            <w:pPr>
              <w:pStyle w:val="TableParagraph"/>
              <w:rPr>
                <w:sz w:val="16"/>
              </w:rPr>
            </w:pPr>
            <w:r>
              <w:rPr>
                <w:w w:val="105"/>
                <w:sz w:val="16"/>
              </w:rPr>
              <w:t>Другие причины</w:t>
            </w:r>
          </w:p>
        </w:tc>
      </w:tr>
      <w:tr>
        <w:trPr>
          <w:trHeight w:val="2936" w:hRule="atLeast"/>
        </w:trPr>
        <w:tc>
          <w:tcPr>
            <w:tcW w:w="2251" w:type="dxa"/>
          </w:tcPr>
          <w:p>
            <w:pPr>
              <w:pStyle w:val="TableParagraph"/>
              <w:rPr>
                <w:sz w:val="16"/>
              </w:rPr>
            </w:pPr>
            <w:r>
              <w:rPr>
                <w:w w:val="105"/>
                <w:sz w:val="16"/>
              </w:rPr>
              <w:t>Коарктация аорты</w:t>
            </w:r>
          </w:p>
        </w:tc>
        <w:tc>
          <w:tcPr>
            <w:tcW w:w="2071" w:type="dxa"/>
          </w:tcPr>
          <w:p>
            <w:pPr>
              <w:pStyle w:val="TableParagraph"/>
              <w:rPr>
                <w:sz w:val="16"/>
              </w:rPr>
            </w:pPr>
            <w:r>
              <w:rPr>
                <w:w w:val="105"/>
                <w:sz w:val="16"/>
              </w:rPr>
              <w:t>&lt;1%</w:t>
            </w:r>
          </w:p>
        </w:tc>
        <w:tc>
          <w:tcPr>
            <w:tcW w:w="2296" w:type="dxa"/>
          </w:tcPr>
          <w:p>
            <w:pPr>
              <w:pStyle w:val="TableParagraph"/>
              <w:tabs>
                <w:tab w:pos="602" w:val="left" w:leader="none"/>
                <w:tab w:pos="867" w:val="left" w:leader="none"/>
                <w:tab w:pos="934" w:val="left" w:leader="none"/>
                <w:tab w:pos="1065" w:val="left" w:leader="none"/>
                <w:tab w:pos="1315" w:val="left" w:leader="none"/>
                <w:tab w:pos="1522" w:val="left" w:leader="none"/>
                <w:tab w:pos="1588" w:val="left" w:leader="none"/>
                <w:tab w:pos="1634" w:val="left" w:leader="none"/>
                <w:tab w:pos="1812" w:val="left" w:leader="none"/>
              </w:tabs>
              <w:spacing w:line="204" w:lineRule="auto" w:before="161"/>
              <w:ind w:left="154" w:right="139"/>
              <w:rPr>
                <w:sz w:val="16"/>
              </w:rPr>
            </w:pPr>
            <w:r>
              <w:rPr>
                <w:w w:val="105"/>
                <w:sz w:val="16"/>
              </w:rPr>
              <w:t>Обычно выявляется у детей или</w:t>
            </w:r>
            <w:r>
              <w:rPr>
                <w:spacing w:val="-33"/>
                <w:w w:val="105"/>
                <w:sz w:val="16"/>
              </w:rPr>
              <w:t> </w:t>
            </w:r>
            <w:r>
              <w:rPr>
                <w:w w:val="105"/>
                <w:sz w:val="16"/>
              </w:rPr>
              <w:t>подростков; разница АД (≥20/10 мм</w:t>
              <w:tab/>
              <w:t>рт.</w:t>
              <w:tab/>
              <w:tab/>
              <w:tab/>
              <w:t>ст.)</w:t>
              <w:tab/>
              <w:tab/>
            </w:r>
            <w:r>
              <w:rPr>
                <w:spacing w:val="-4"/>
                <w:w w:val="105"/>
                <w:sz w:val="16"/>
              </w:rPr>
              <w:t>между </w:t>
            </w:r>
            <w:r>
              <w:rPr>
                <w:w w:val="105"/>
                <w:sz w:val="16"/>
              </w:rPr>
              <w:t>верхними и нижними конечностями</w:t>
              <w:tab/>
              <w:tab/>
              <w:tab/>
            </w:r>
            <w:r>
              <w:rPr>
                <w:spacing w:val="-3"/>
                <w:w w:val="105"/>
                <w:sz w:val="16"/>
              </w:rPr>
              <w:t>и/или </w:t>
            </w:r>
            <w:r>
              <w:rPr>
                <w:w w:val="105"/>
                <w:sz w:val="16"/>
              </w:rPr>
              <w:t>между правой и левой рукой</w:t>
              <w:tab/>
              <w:tab/>
              <w:t>и</w:t>
              <w:tab/>
              <w:tab/>
            </w:r>
            <w:r>
              <w:rPr>
                <w:spacing w:val="-1"/>
                <w:sz w:val="16"/>
              </w:rPr>
              <w:t>задержка </w:t>
            </w:r>
            <w:r>
              <w:rPr>
                <w:w w:val="105"/>
                <w:sz w:val="16"/>
              </w:rPr>
              <w:t>радиально- феморальной пульсации;</w:t>
              <w:tab/>
              <w:tab/>
            </w:r>
            <w:r>
              <w:rPr>
                <w:sz w:val="16"/>
              </w:rPr>
              <w:t>низкий ЛПИ;</w:t>
              <w:tab/>
              <w:tab/>
            </w:r>
            <w:r>
              <w:rPr>
                <w:spacing w:val="-2"/>
                <w:sz w:val="16"/>
              </w:rPr>
              <w:t>систолический </w:t>
            </w:r>
            <w:r>
              <w:rPr>
                <w:w w:val="105"/>
                <w:sz w:val="16"/>
              </w:rPr>
              <w:t>шум в межлопаточной области;</w:t>
              <w:tab/>
              <w:tab/>
              <w:tab/>
            </w:r>
            <w:r>
              <w:rPr>
                <w:sz w:val="16"/>
              </w:rPr>
              <w:t>узурация </w:t>
            </w:r>
            <w:r>
              <w:rPr>
                <w:w w:val="105"/>
                <w:sz w:val="16"/>
              </w:rPr>
              <w:t>ребер</w:t>
              <w:tab/>
              <w:tab/>
              <w:tab/>
              <w:tab/>
              <w:tab/>
              <w:tab/>
              <w:tab/>
              <w:tab/>
              <w:t>при</w:t>
            </w:r>
          </w:p>
          <w:p>
            <w:pPr>
              <w:pStyle w:val="TableParagraph"/>
              <w:spacing w:line="167" w:lineRule="exact" w:before="0"/>
              <w:ind w:left="154"/>
              <w:rPr>
                <w:sz w:val="16"/>
              </w:rPr>
            </w:pPr>
            <w:r>
              <w:rPr>
                <w:w w:val="105"/>
                <w:sz w:val="16"/>
              </w:rPr>
              <w:t>рентгенографии</w:t>
            </w:r>
          </w:p>
        </w:tc>
        <w:tc>
          <w:tcPr>
            <w:tcW w:w="1823" w:type="dxa"/>
            <w:tcBorders>
              <w:right w:val="nil"/>
            </w:tcBorders>
          </w:tcPr>
          <w:p>
            <w:pPr>
              <w:pStyle w:val="TableParagraph"/>
              <w:ind w:left="154"/>
              <w:rPr>
                <w:sz w:val="16"/>
              </w:rPr>
            </w:pPr>
            <w:r>
              <w:rPr>
                <w:w w:val="105"/>
                <w:sz w:val="16"/>
              </w:rPr>
              <w:t>Эхокардиография</w:t>
            </w:r>
          </w:p>
        </w:tc>
      </w:tr>
    </w:tbl>
    <w:p>
      <w:pPr>
        <w:pStyle w:val="BodyText"/>
        <w:spacing w:before="0"/>
        <w:ind w:left="0"/>
        <w:jc w:val="left"/>
        <w:rPr>
          <w:b/>
          <w:sz w:val="20"/>
        </w:rPr>
      </w:pPr>
      <w:r>
        <w:rPr/>
        <w:pict>
          <v:shape style="position:absolute;margin-left:90.037003pt;margin-top:841.853027pt;width:422.45pt;height:.1pt;mso-position-horizontal-relative:page;mso-position-vertical-relative:page;z-index:15917056" coordorigin="1801,16837" coordsize="8449,1" path="m10249,16837l10234,16837,1816,16837,1801,16837,1816,16837,10234,16837,10249,16837xe" filled="true" fillcolor="#000000" stroked="false">
            <v:path arrowok="t"/>
            <v:fill type="solid"/>
            <w10:wrap type="none"/>
          </v:shape>
        </w:pict>
      </w:r>
    </w:p>
    <w:p>
      <w:pPr>
        <w:pStyle w:val="BodyText"/>
        <w:spacing w:before="13"/>
        <w:ind w:left="0"/>
        <w:jc w:val="left"/>
        <w:rPr>
          <w:b/>
          <w:sz w:val="22"/>
        </w:rPr>
      </w:pPr>
    </w:p>
    <w:p>
      <w:pPr>
        <w:tabs>
          <w:tab w:pos="1826" w:val="left" w:leader="none"/>
          <w:tab w:pos="2957" w:val="left" w:leader="none"/>
          <w:tab w:pos="4636" w:val="left" w:leader="none"/>
          <w:tab w:pos="6534" w:val="left" w:leader="none"/>
          <w:tab w:pos="6995" w:val="left" w:leader="none"/>
        </w:tabs>
        <w:spacing w:line="256" w:lineRule="auto" w:before="97"/>
        <w:ind w:left="380" w:right="138" w:firstLine="0"/>
        <w:jc w:val="left"/>
        <w:rPr>
          <w:b/>
          <w:sz w:val="27"/>
        </w:rPr>
      </w:pPr>
      <w:r>
        <w:rPr/>
        <w:pict>
          <v:rect style="position:absolute;margin-left:510.271973pt;margin-top:19.76936pt;width:1.724366pt;height:.750315pt;mso-position-horizontal-relative:page;mso-position-vertical-relative:paragraph;z-index:15917568" filled="true" fillcolor="#000000" stroked="false">
            <v:fill type="solid"/>
            <w10:wrap type="none"/>
          </v:rect>
        </w:pict>
      </w:r>
      <w:r>
        <w:rPr>
          <w:b/>
          <w:spacing w:val="-3"/>
          <w:sz w:val="27"/>
          <w:u w:val="single"/>
        </w:rPr>
        <w:t>Таблица</w:t>
        <w:tab/>
      </w:r>
      <w:r>
        <w:rPr>
          <w:b/>
          <w:sz w:val="27"/>
          <w:u w:val="single"/>
        </w:rPr>
        <w:t>П3/Г2.</w:t>
        <w:tab/>
        <w:t>Основные</w:t>
        <w:tab/>
        <w:t>т</w:t>
      </w:r>
      <w:r>
        <w:rPr>
          <w:b/>
          <w:sz w:val="27"/>
        </w:rPr>
        <w:t>р</w:t>
      </w:r>
      <w:r>
        <w:rPr>
          <w:b/>
          <w:sz w:val="27"/>
          <w:u w:val="single"/>
        </w:rPr>
        <w:t>ебования</w:t>
        <w:tab/>
        <w:t>к</w:t>
        <w:tab/>
      </w:r>
      <w:r>
        <w:rPr>
          <w:b/>
          <w:spacing w:val="-3"/>
          <w:sz w:val="27"/>
          <w:u w:val="single"/>
        </w:rPr>
        <w:t>физическом</w:t>
      </w:r>
      <w:r>
        <w:rPr>
          <w:b/>
          <w:spacing w:val="-3"/>
          <w:sz w:val="27"/>
        </w:rPr>
        <w:t>у </w:t>
      </w:r>
      <w:r>
        <w:rPr>
          <w:b/>
          <w:sz w:val="27"/>
          <w:u w:val="single"/>
        </w:rPr>
        <w:t>обсле</w:t>
      </w:r>
      <w:r>
        <w:rPr>
          <w:b/>
          <w:sz w:val="27"/>
        </w:rPr>
        <w:t>д</w:t>
      </w:r>
      <w:r>
        <w:rPr>
          <w:b/>
          <w:sz w:val="27"/>
          <w:u w:val="single"/>
        </w:rPr>
        <w:t>ованию</w:t>
      </w:r>
    </w:p>
    <w:p>
      <w:pPr>
        <w:pStyle w:val="BodyText"/>
        <w:spacing w:before="1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460" w:hRule="atLeast"/>
        </w:trPr>
        <w:tc>
          <w:tcPr>
            <w:tcW w:w="8434" w:type="dxa"/>
          </w:tcPr>
          <w:p>
            <w:pPr>
              <w:pStyle w:val="TableParagraph"/>
              <w:rPr>
                <w:b/>
                <w:sz w:val="16"/>
              </w:rPr>
            </w:pPr>
            <w:r>
              <w:rPr>
                <w:b/>
                <w:w w:val="105"/>
                <w:sz w:val="16"/>
              </w:rPr>
              <w:t>Антропометрические показатели</w:t>
            </w:r>
          </w:p>
        </w:tc>
      </w:tr>
      <w:tr>
        <w:trPr>
          <w:trHeight w:val="460" w:hRule="atLeast"/>
        </w:trPr>
        <w:tc>
          <w:tcPr>
            <w:tcW w:w="8434" w:type="dxa"/>
          </w:tcPr>
          <w:p>
            <w:pPr>
              <w:pStyle w:val="TableParagraph"/>
              <w:rPr>
                <w:sz w:val="16"/>
              </w:rPr>
            </w:pPr>
            <w:r>
              <w:rPr>
                <w:w w:val="105"/>
                <w:sz w:val="16"/>
              </w:rPr>
              <w:t>Определение веса и роста с помощью калиброванных приборов, расчет ИМТ</w:t>
            </w:r>
          </w:p>
        </w:tc>
      </w:tr>
      <w:tr>
        <w:trPr>
          <w:trHeight w:val="460" w:hRule="atLeast"/>
        </w:trPr>
        <w:tc>
          <w:tcPr>
            <w:tcW w:w="8434" w:type="dxa"/>
          </w:tcPr>
          <w:p>
            <w:pPr>
              <w:pStyle w:val="TableParagraph"/>
              <w:rPr>
                <w:sz w:val="16"/>
              </w:rPr>
            </w:pPr>
            <w:r>
              <w:rPr>
                <w:w w:val="105"/>
                <w:sz w:val="16"/>
              </w:rPr>
              <w:t>Окружность талии</w:t>
            </w:r>
          </w:p>
        </w:tc>
      </w:tr>
      <w:tr>
        <w:trPr>
          <w:trHeight w:val="460" w:hRule="atLeast"/>
        </w:trPr>
        <w:tc>
          <w:tcPr>
            <w:tcW w:w="8434" w:type="dxa"/>
          </w:tcPr>
          <w:p>
            <w:pPr>
              <w:pStyle w:val="TableParagraph"/>
              <w:rPr>
                <w:b/>
                <w:sz w:val="16"/>
              </w:rPr>
            </w:pPr>
            <w:r>
              <w:rPr>
                <w:b/>
                <w:w w:val="105"/>
                <w:sz w:val="16"/>
              </w:rPr>
              <w:t>Признаки ПОМ</w:t>
            </w:r>
          </w:p>
        </w:tc>
      </w:tr>
      <w:tr>
        <w:trPr>
          <w:trHeight w:val="460" w:hRule="atLeast"/>
        </w:trPr>
        <w:tc>
          <w:tcPr>
            <w:tcW w:w="8434" w:type="dxa"/>
          </w:tcPr>
          <w:p>
            <w:pPr>
              <w:pStyle w:val="TableParagraph"/>
              <w:rPr>
                <w:sz w:val="16"/>
              </w:rPr>
            </w:pPr>
            <w:r>
              <w:rPr>
                <w:w w:val="105"/>
                <w:sz w:val="16"/>
              </w:rPr>
              <w:t>Неврологическое обследование и оценка когнитивного статуса</w:t>
            </w:r>
          </w:p>
        </w:tc>
      </w:tr>
      <w:tr>
        <w:trPr>
          <w:trHeight w:val="460" w:hRule="atLeast"/>
        </w:trPr>
        <w:tc>
          <w:tcPr>
            <w:tcW w:w="8434" w:type="dxa"/>
          </w:tcPr>
          <w:p>
            <w:pPr>
              <w:pStyle w:val="TableParagraph"/>
              <w:rPr>
                <w:sz w:val="16"/>
              </w:rPr>
            </w:pPr>
            <w:r>
              <w:rPr>
                <w:w w:val="105"/>
                <w:sz w:val="16"/>
              </w:rPr>
              <w:t>Фундоскопия для выявления гипертонической ретинопатии</w:t>
            </w:r>
          </w:p>
        </w:tc>
      </w:tr>
      <w:tr>
        <w:trPr>
          <w:trHeight w:val="460" w:hRule="atLeast"/>
        </w:trPr>
        <w:tc>
          <w:tcPr>
            <w:tcW w:w="8434" w:type="dxa"/>
          </w:tcPr>
          <w:p>
            <w:pPr>
              <w:pStyle w:val="TableParagraph"/>
              <w:rPr>
                <w:sz w:val="16"/>
              </w:rPr>
            </w:pPr>
            <w:r>
              <w:rPr>
                <w:w w:val="105"/>
                <w:sz w:val="16"/>
              </w:rPr>
              <w:t>Пальпация и аускультация сердца, сонных и почечных артерий</w:t>
            </w:r>
          </w:p>
        </w:tc>
      </w:tr>
      <w:tr>
        <w:trPr>
          <w:trHeight w:val="460" w:hRule="atLeast"/>
        </w:trPr>
        <w:tc>
          <w:tcPr>
            <w:tcW w:w="8434" w:type="dxa"/>
          </w:tcPr>
          <w:p>
            <w:pPr>
              <w:pStyle w:val="TableParagraph"/>
              <w:rPr>
                <w:sz w:val="16"/>
              </w:rPr>
            </w:pPr>
            <w:r>
              <w:rPr>
                <w:w w:val="105"/>
                <w:sz w:val="16"/>
              </w:rPr>
              <w:t>Пальпация периферических артерий</w:t>
            </w:r>
          </w:p>
        </w:tc>
      </w:tr>
      <w:tr>
        <w:trPr>
          <w:trHeight w:val="460" w:hRule="atLeast"/>
        </w:trPr>
        <w:tc>
          <w:tcPr>
            <w:tcW w:w="8434" w:type="dxa"/>
          </w:tcPr>
          <w:p>
            <w:pPr>
              <w:pStyle w:val="TableParagraph"/>
              <w:rPr>
                <w:sz w:val="16"/>
              </w:rPr>
            </w:pPr>
            <w:r>
              <w:rPr>
                <w:w w:val="105"/>
                <w:sz w:val="16"/>
              </w:rPr>
              <w:t>Определение АД на обеих руках (как минимум однократно)</w:t>
            </w:r>
          </w:p>
        </w:tc>
      </w:tr>
      <w:tr>
        <w:trPr>
          <w:trHeight w:val="460" w:hRule="atLeast"/>
        </w:trPr>
        <w:tc>
          <w:tcPr>
            <w:tcW w:w="8434" w:type="dxa"/>
          </w:tcPr>
          <w:p>
            <w:pPr>
              <w:pStyle w:val="TableParagraph"/>
              <w:rPr>
                <w:b/>
                <w:sz w:val="16"/>
              </w:rPr>
            </w:pPr>
            <w:r>
              <w:rPr>
                <w:b/>
                <w:w w:val="105"/>
                <w:sz w:val="16"/>
              </w:rPr>
              <w:t>Вторичные гипертензии</w:t>
            </w:r>
          </w:p>
        </w:tc>
      </w:tr>
      <w:tr>
        <w:trPr>
          <w:trHeight w:val="460" w:hRule="atLeast"/>
        </w:trPr>
        <w:tc>
          <w:tcPr>
            <w:tcW w:w="8434" w:type="dxa"/>
          </w:tcPr>
          <w:p>
            <w:pPr>
              <w:pStyle w:val="TableParagraph"/>
              <w:rPr>
                <w:sz w:val="16"/>
              </w:rPr>
            </w:pPr>
            <w:r>
              <w:rPr>
                <w:w w:val="105"/>
                <w:sz w:val="16"/>
              </w:rPr>
              <w:t>Осмотр кожных покровов: признаки нейрофиброматоза (феохромоцитома)</w:t>
            </w:r>
          </w:p>
        </w:tc>
      </w:tr>
      <w:tr>
        <w:trPr>
          <w:trHeight w:val="460" w:hRule="atLeast"/>
        </w:trPr>
        <w:tc>
          <w:tcPr>
            <w:tcW w:w="8434" w:type="dxa"/>
          </w:tcPr>
          <w:p>
            <w:pPr>
              <w:pStyle w:val="TableParagraph"/>
              <w:rPr>
                <w:sz w:val="16"/>
              </w:rPr>
            </w:pPr>
            <w:r>
              <w:rPr>
                <w:w w:val="105"/>
                <w:sz w:val="16"/>
              </w:rPr>
              <w:t>Пальпация почек для исключения их увеличения при поликистозе</w:t>
            </w:r>
          </w:p>
        </w:tc>
      </w:tr>
      <w:tr>
        <w:trPr>
          <w:trHeight w:val="625" w:hRule="atLeast"/>
        </w:trPr>
        <w:tc>
          <w:tcPr>
            <w:tcW w:w="8434" w:type="dxa"/>
          </w:tcPr>
          <w:p>
            <w:pPr>
              <w:pStyle w:val="TableParagraph"/>
              <w:spacing w:line="204" w:lineRule="auto" w:before="161"/>
              <w:rPr>
                <w:sz w:val="16"/>
              </w:rPr>
            </w:pPr>
            <w:r>
              <w:rPr>
                <w:w w:val="105"/>
                <w:sz w:val="16"/>
              </w:rPr>
              <w:t>Аускультация сердца и почечных артерий для выявления шумов, являющихся признаком коарктации аорты или реноваскулярной гипертензии</w:t>
            </w:r>
          </w:p>
        </w:tc>
      </w:tr>
      <w:tr>
        <w:trPr>
          <w:trHeight w:val="625" w:hRule="atLeast"/>
        </w:trPr>
        <w:tc>
          <w:tcPr>
            <w:tcW w:w="8434" w:type="dxa"/>
          </w:tcPr>
          <w:p>
            <w:pPr>
              <w:pStyle w:val="TableParagraph"/>
              <w:spacing w:line="204" w:lineRule="auto" w:before="161"/>
              <w:rPr>
                <w:sz w:val="16"/>
              </w:rPr>
            </w:pPr>
            <w:r>
              <w:rPr>
                <w:w w:val="105"/>
                <w:sz w:val="16"/>
              </w:rPr>
              <w:t>Сравнение пульсации на радиальных и бедренных артериях для выявления задержки пульсовой волны при коарктации аорты</w:t>
            </w:r>
          </w:p>
        </w:tc>
      </w:tr>
    </w:tbl>
    <w:p>
      <w:pPr>
        <w:spacing w:after="0" w:line="204" w:lineRule="auto"/>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3971" w:hRule="atLeast"/>
        </w:trPr>
        <w:tc>
          <w:tcPr>
            <w:tcW w:w="8434" w:type="dxa"/>
          </w:tcPr>
          <w:p>
            <w:pPr>
              <w:pStyle w:val="TableParagraph"/>
              <w:spacing w:line="333" w:lineRule="auto"/>
              <w:ind w:left="470" w:right="2525" w:hanging="316"/>
              <w:rPr>
                <w:sz w:val="16"/>
              </w:rPr>
            </w:pPr>
            <w:r>
              <w:rPr>
                <w:w w:val="105"/>
                <w:sz w:val="16"/>
              </w:rPr>
              <w:t>Признаки</w:t>
            </w:r>
            <w:r>
              <w:rPr>
                <w:spacing w:val="-17"/>
                <w:w w:val="105"/>
                <w:sz w:val="16"/>
              </w:rPr>
              <w:t> </w:t>
            </w:r>
            <w:r>
              <w:rPr>
                <w:w w:val="105"/>
                <w:sz w:val="16"/>
              </w:rPr>
              <w:t>синдрома</w:t>
            </w:r>
            <w:r>
              <w:rPr>
                <w:spacing w:val="-16"/>
                <w:w w:val="105"/>
                <w:sz w:val="16"/>
              </w:rPr>
              <w:t> </w:t>
            </w:r>
            <w:r>
              <w:rPr>
                <w:w w:val="105"/>
                <w:sz w:val="16"/>
              </w:rPr>
              <w:t>Кушинга</w:t>
            </w:r>
            <w:r>
              <w:rPr>
                <w:spacing w:val="-16"/>
                <w:w w:val="105"/>
                <w:sz w:val="16"/>
              </w:rPr>
              <w:t> </w:t>
            </w:r>
            <w:r>
              <w:rPr>
                <w:w w:val="105"/>
                <w:sz w:val="16"/>
              </w:rPr>
              <w:t>(сочетание</w:t>
            </w:r>
            <w:r>
              <w:rPr>
                <w:spacing w:val="-16"/>
                <w:w w:val="105"/>
                <w:sz w:val="16"/>
              </w:rPr>
              <w:t> </w:t>
            </w:r>
            <w:r>
              <w:rPr>
                <w:w w:val="105"/>
                <w:sz w:val="16"/>
              </w:rPr>
              <w:t>2</w:t>
            </w:r>
            <w:r>
              <w:rPr>
                <w:spacing w:val="-16"/>
                <w:w w:val="105"/>
                <w:sz w:val="16"/>
              </w:rPr>
              <w:t> </w:t>
            </w:r>
            <w:r>
              <w:rPr>
                <w:w w:val="105"/>
                <w:sz w:val="16"/>
              </w:rPr>
              <w:t>или</w:t>
            </w:r>
            <w:r>
              <w:rPr>
                <w:spacing w:val="-17"/>
                <w:w w:val="105"/>
                <w:sz w:val="16"/>
              </w:rPr>
              <w:t> </w:t>
            </w:r>
            <w:r>
              <w:rPr>
                <w:w w:val="105"/>
                <w:sz w:val="16"/>
              </w:rPr>
              <w:t>более</w:t>
            </w:r>
            <w:r>
              <w:rPr>
                <w:spacing w:val="-16"/>
                <w:w w:val="105"/>
                <w:sz w:val="16"/>
              </w:rPr>
              <w:t> </w:t>
            </w:r>
            <w:r>
              <w:rPr>
                <w:w w:val="105"/>
                <w:sz w:val="16"/>
              </w:rPr>
              <w:t>симптомов): центральное</w:t>
            </w:r>
            <w:r>
              <w:rPr>
                <w:spacing w:val="-3"/>
                <w:w w:val="105"/>
                <w:sz w:val="16"/>
              </w:rPr>
              <w:t> </w:t>
            </w:r>
            <w:r>
              <w:rPr>
                <w:w w:val="105"/>
                <w:sz w:val="16"/>
              </w:rPr>
              <w:t>ожирение,</w:t>
            </w:r>
          </w:p>
          <w:p>
            <w:pPr>
              <w:pStyle w:val="TableParagraph"/>
              <w:spacing w:line="482" w:lineRule="auto" w:before="120"/>
              <w:ind w:left="470" w:right="4734"/>
              <w:rPr>
                <w:sz w:val="16"/>
              </w:rPr>
            </w:pPr>
            <w:r>
              <w:rPr>
                <w:w w:val="105"/>
                <w:sz w:val="16"/>
              </w:rPr>
              <w:t>проксимальная мышечная слабость, подкожные кровоизлияния, широкие и глубокие стрии, необъяснимый остеопороз, гипокалиемия,</w:t>
            </w:r>
          </w:p>
          <w:p>
            <w:pPr>
              <w:pStyle w:val="TableParagraph"/>
              <w:spacing w:line="482" w:lineRule="auto" w:before="0"/>
              <w:ind w:left="470" w:right="5749"/>
              <w:rPr>
                <w:sz w:val="16"/>
              </w:rPr>
            </w:pPr>
            <w:r>
              <w:rPr>
                <w:w w:val="105"/>
                <w:sz w:val="16"/>
              </w:rPr>
              <w:t>вновь начавшийся СД, аменорея,</w:t>
            </w:r>
          </w:p>
          <w:p>
            <w:pPr>
              <w:pStyle w:val="TableParagraph"/>
              <w:spacing w:line="193" w:lineRule="exact" w:before="0"/>
              <w:ind w:left="470"/>
              <w:rPr>
                <w:sz w:val="16"/>
              </w:rPr>
            </w:pPr>
            <w:r>
              <w:rPr>
                <w:w w:val="105"/>
                <w:sz w:val="16"/>
              </w:rPr>
              <w:t>инсиденталома надпочечника</w:t>
            </w:r>
          </w:p>
        </w:tc>
      </w:tr>
      <w:tr>
        <w:trPr>
          <w:trHeight w:val="1630" w:hRule="atLeast"/>
        </w:trPr>
        <w:tc>
          <w:tcPr>
            <w:tcW w:w="8434" w:type="dxa"/>
          </w:tcPr>
          <w:p>
            <w:pPr>
              <w:pStyle w:val="TableParagraph"/>
              <w:rPr>
                <w:sz w:val="16"/>
              </w:rPr>
            </w:pPr>
            <w:r>
              <w:rPr>
                <w:w w:val="105"/>
                <w:sz w:val="16"/>
              </w:rPr>
              <w:t>Признаки акромегалии</w:t>
            </w:r>
          </w:p>
          <w:p>
            <w:pPr>
              <w:pStyle w:val="TableParagraph"/>
              <w:spacing w:line="482" w:lineRule="auto" w:before="76"/>
              <w:ind w:left="470" w:right="4669"/>
              <w:rPr>
                <w:sz w:val="16"/>
              </w:rPr>
            </w:pPr>
            <w:r>
              <w:rPr>
                <w:w w:val="105"/>
                <w:sz w:val="16"/>
              </w:rPr>
              <w:t>увеличение акральных частей тела, укрупнение и огрубление черт лица, потливость</w:t>
            </w:r>
          </w:p>
        </w:tc>
      </w:tr>
      <w:tr>
        <w:trPr>
          <w:trHeight w:val="3971" w:hRule="atLeast"/>
        </w:trPr>
        <w:tc>
          <w:tcPr>
            <w:tcW w:w="8434" w:type="dxa"/>
          </w:tcPr>
          <w:p>
            <w:pPr>
              <w:pStyle w:val="TableParagraph"/>
              <w:spacing w:line="333" w:lineRule="auto"/>
              <w:ind w:left="470" w:right="2321" w:hanging="316"/>
              <w:rPr>
                <w:sz w:val="16"/>
              </w:rPr>
            </w:pPr>
            <w:r>
              <w:rPr>
                <w:w w:val="105"/>
                <w:sz w:val="16"/>
              </w:rPr>
              <w:t>Признаки</w:t>
            </w:r>
            <w:r>
              <w:rPr>
                <w:spacing w:val="-23"/>
                <w:w w:val="105"/>
                <w:sz w:val="16"/>
              </w:rPr>
              <w:t> </w:t>
            </w:r>
            <w:r>
              <w:rPr>
                <w:w w:val="105"/>
                <w:sz w:val="16"/>
              </w:rPr>
              <w:t>заболеваний</w:t>
            </w:r>
            <w:r>
              <w:rPr>
                <w:spacing w:val="-23"/>
                <w:w w:val="105"/>
                <w:sz w:val="16"/>
              </w:rPr>
              <w:t> </w:t>
            </w:r>
            <w:r>
              <w:rPr>
                <w:w w:val="105"/>
                <w:sz w:val="16"/>
              </w:rPr>
              <w:t>щитовидной</w:t>
            </w:r>
            <w:r>
              <w:rPr>
                <w:spacing w:val="-23"/>
                <w:w w:val="105"/>
                <w:sz w:val="16"/>
              </w:rPr>
              <w:t> </w:t>
            </w:r>
            <w:r>
              <w:rPr>
                <w:w w:val="105"/>
                <w:sz w:val="16"/>
              </w:rPr>
              <w:t>железы</w:t>
            </w:r>
            <w:r>
              <w:rPr>
                <w:spacing w:val="-23"/>
                <w:w w:val="105"/>
                <w:sz w:val="16"/>
              </w:rPr>
              <w:t> </w:t>
            </w:r>
            <w:r>
              <w:rPr>
                <w:w w:val="105"/>
                <w:sz w:val="16"/>
              </w:rPr>
              <w:t>(синдром</w:t>
            </w:r>
            <w:r>
              <w:rPr>
                <w:spacing w:val="-22"/>
                <w:w w:val="105"/>
                <w:sz w:val="16"/>
              </w:rPr>
              <w:t> </w:t>
            </w:r>
            <w:r>
              <w:rPr>
                <w:w w:val="105"/>
                <w:sz w:val="16"/>
              </w:rPr>
              <w:t>гипотиреоза): склонность к</w:t>
            </w:r>
            <w:r>
              <w:rPr>
                <w:spacing w:val="-5"/>
                <w:w w:val="105"/>
                <w:sz w:val="16"/>
              </w:rPr>
              <w:t> </w:t>
            </w:r>
            <w:r>
              <w:rPr>
                <w:w w:val="105"/>
                <w:sz w:val="16"/>
              </w:rPr>
              <w:t>брадикардии;</w:t>
            </w:r>
          </w:p>
          <w:p>
            <w:pPr>
              <w:pStyle w:val="TableParagraph"/>
              <w:spacing w:line="482" w:lineRule="auto" w:before="120"/>
              <w:ind w:left="470" w:right="4222"/>
              <w:rPr>
                <w:sz w:val="16"/>
              </w:rPr>
            </w:pPr>
            <w:r>
              <w:rPr>
                <w:w w:val="105"/>
                <w:sz w:val="16"/>
              </w:rPr>
              <w:t>плохая переносимость холода (зябкость); нарушения стула по типу запора; диффузная алопеция,</w:t>
            </w:r>
          </w:p>
          <w:p>
            <w:pPr>
              <w:pStyle w:val="TableParagraph"/>
              <w:spacing w:line="192" w:lineRule="exact" w:before="0"/>
              <w:ind w:left="470"/>
              <w:rPr>
                <w:sz w:val="16"/>
              </w:rPr>
            </w:pPr>
            <w:r>
              <w:rPr>
                <w:w w:val="105"/>
                <w:sz w:val="16"/>
              </w:rPr>
              <w:t>раннее поседение волос,</w:t>
            </w:r>
          </w:p>
          <w:p>
            <w:pPr>
              <w:pStyle w:val="TableParagraph"/>
              <w:spacing w:before="7"/>
              <w:ind w:left="0"/>
              <w:rPr>
                <w:rFonts w:ascii="Palatino Linotype"/>
                <w:b/>
                <w:sz w:val="14"/>
              </w:rPr>
            </w:pPr>
          </w:p>
          <w:p>
            <w:pPr>
              <w:pStyle w:val="TableParagraph"/>
              <w:spacing w:line="482" w:lineRule="auto" w:before="0"/>
              <w:ind w:left="470"/>
              <w:rPr>
                <w:sz w:val="16"/>
              </w:rPr>
            </w:pPr>
            <w:r>
              <w:rPr>
                <w:w w:val="105"/>
                <w:sz w:val="16"/>
              </w:rPr>
              <w:t>дистрофии ногтевых пластин (важен факт появления в недавнем анамнезе, возможен неудачный опыт лечения у дерматолога);</w:t>
            </w:r>
          </w:p>
          <w:p>
            <w:pPr>
              <w:pStyle w:val="TableParagraph"/>
              <w:spacing w:line="482" w:lineRule="auto" w:before="0"/>
              <w:ind w:left="470" w:right="53"/>
              <w:rPr>
                <w:sz w:val="16"/>
              </w:rPr>
            </w:pPr>
            <w:r>
              <w:rPr>
                <w:w w:val="105"/>
                <w:sz w:val="16"/>
              </w:rPr>
              <w:t>нарушения менструальной функции у женщин (по типу олиго-, опсо-, аменореи), анамнез бесплодия, невынашивания беременности)</w:t>
            </w:r>
          </w:p>
        </w:tc>
      </w:tr>
      <w:tr>
        <w:trPr>
          <w:trHeight w:val="7077" w:hRule="atLeast"/>
        </w:trPr>
        <w:tc>
          <w:tcPr>
            <w:tcW w:w="8434" w:type="dxa"/>
          </w:tcPr>
          <w:p>
            <w:pPr>
              <w:pStyle w:val="TableParagraph"/>
              <w:spacing w:line="180" w:lineRule="exact"/>
              <w:jc w:val="both"/>
              <w:rPr>
                <w:sz w:val="16"/>
              </w:rPr>
            </w:pPr>
            <w:r>
              <w:rPr>
                <w:w w:val="105"/>
                <w:sz w:val="16"/>
              </w:rPr>
              <w:t>Признаки заболеваний щитовидной железы (синдром тиреотоксикоза):</w:t>
            </w:r>
          </w:p>
          <w:p>
            <w:pPr>
              <w:pStyle w:val="TableParagraph"/>
              <w:numPr>
                <w:ilvl w:val="0"/>
                <w:numId w:val="14"/>
              </w:numPr>
              <w:tabs>
                <w:tab w:pos="1386" w:val="left" w:leader="none"/>
                <w:tab w:pos="1387" w:val="left" w:leader="none"/>
              </w:tabs>
              <w:spacing w:line="204" w:lineRule="auto" w:before="10" w:after="0"/>
              <w:ind w:left="155" w:right="147" w:firstLine="0"/>
              <w:jc w:val="both"/>
              <w:rPr>
                <w:sz w:val="16"/>
              </w:rPr>
            </w:pPr>
            <w:r>
              <w:rPr>
                <w:w w:val="105"/>
                <w:sz w:val="16"/>
              </w:rPr>
              <w:t>склонность к тахикардии (нарушения ритма в анамнезе — фибрилляция </w:t>
            </w:r>
            <w:r>
              <w:rPr>
                <w:spacing w:val="-12"/>
                <w:w w:val="105"/>
                <w:sz w:val="16"/>
              </w:rPr>
              <w:t>и </w:t>
            </w:r>
            <w:r>
              <w:rPr>
                <w:w w:val="105"/>
                <w:sz w:val="16"/>
              </w:rPr>
              <w:t>трепетание предсердий, суправентрикулярные тахикардии, частые наджелудочковые </w:t>
            </w:r>
            <w:r>
              <w:rPr>
                <w:spacing w:val="-18"/>
                <w:w w:val="105"/>
                <w:sz w:val="16"/>
              </w:rPr>
              <w:t>и </w:t>
            </w:r>
            <w:r>
              <w:rPr>
                <w:w w:val="105"/>
                <w:sz w:val="16"/>
              </w:rPr>
              <w:t>желудочковые</w:t>
            </w:r>
            <w:r>
              <w:rPr>
                <w:spacing w:val="-3"/>
                <w:w w:val="105"/>
                <w:sz w:val="16"/>
              </w:rPr>
              <w:t> </w:t>
            </w:r>
            <w:r>
              <w:rPr>
                <w:w w:val="105"/>
                <w:sz w:val="16"/>
              </w:rPr>
              <w:t>экстрасистолии);</w:t>
            </w:r>
          </w:p>
          <w:p>
            <w:pPr>
              <w:pStyle w:val="TableParagraph"/>
              <w:numPr>
                <w:ilvl w:val="0"/>
                <w:numId w:val="14"/>
              </w:numPr>
              <w:tabs>
                <w:tab w:pos="883" w:val="left" w:leader="none"/>
                <w:tab w:pos="884" w:val="left" w:leader="none"/>
              </w:tabs>
              <w:spacing w:line="170" w:lineRule="exact" w:before="0" w:after="0"/>
              <w:ind w:left="883" w:right="0" w:hanging="729"/>
              <w:jc w:val="both"/>
              <w:rPr>
                <w:sz w:val="16"/>
              </w:rPr>
            </w:pPr>
            <w:r>
              <w:rPr>
                <w:w w:val="105"/>
                <w:sz w:val="16"/>
              </w:rPr>
              <w:t>плохая переносимость</w:t>
            </w:r>
            <w:r>
              <w:rPr>
                <w:spacing w:val="-5"/>
                <w:w w:val="105"/>
                <w:sz w:val="16"/>
              </w:rPr>
              <w:t> </w:t>
            </w:r>
            <w:r>
              <w:rPr>
                <w:w w:val="105"/>
                <w:sz w:val="16"/>
              </w:rPr>
              <w:t>тепла;</w:t>
            </w:r>
          </w:p>
          <w:p>
            <w:pPr>
              <w:pStyle w:val="TableParagraph"/>
              <w:spacing w:before="76"/>
              <w:ind w:left="818"/>
              <w:jc w:val="both"/>
              <w:rPr>
                <w:sz w:val="16"/>
              </w:rPr>
            </w:pPr>
            <w:r>
              <w:rPr>
                <w:w w:val="105"/>
                <w:sz w:val="16"/>
              </w:rPr>
              <w:t>потливость, кожа влажная, горячая</w:t>
            </w:r>
          </w:p>
          <w:p>
            <w:pPr>
              <w:pStyle w:val="TableParagraph"/>
              <w:spacing w:before="6"/>
              <w:ind w:left="0"/>
              <w:rPr>
                <w:rFonts w:ascii="Palatino Linotype"/>
                <w:b/>
                <w:sz w:val="14"/>
              </w:rPr>
            </w:pPr>
          </w:p>
          <w:p>
            <w:pPr>
              <w:pStyle w:val="TableParagraph"/>
              <w:spacing w:before="0"/>
              <w:ind w:left="818"/>
              <w:rPr>
                <w:sz w:val="16"/>
              </w:rPr>
            </w:pPr>
            <w:r>
              <w:rPr>
                <w:w w:val="105"/>
                <w:sz w:val="16"/>
              </w:rPr>
              <w:t>потеря массы тела</w:t>
            </w:r>
          </w:p>
          <w:p>
            <w:pPr>
              <w:pStyle w:val="TableParagraph"/>
              <w:numPr>
                <w:ilvl w:val="0"/>
                <w:numId w:val="14"/>
              </w:numPr>
              <w:tabs>
                <w:tab w:pos="883" w:val="left" w:leader="none"/>
                <w:tab w:pos="884" w:val="left" w:leader="none"/>
              </w:tabs>
              <w:spacing w:line="180" w:lineRule="exact" w:before="91" w:after="0"/>
              <w:ind w:left="883" w:right="0" w:hanging="729"/>
              <w:jc w:val="left"/>
              <w:rPr>
                <w:sz w:val="16"/>
              </w:rPr>
            </w:pPr>
            <w:r>
              <w:rPr>
                <w:w w:val="105"/>
                <w:sz w:val="16"/>
              </w:rPr>
              <w:t>диарея;</w:t>
            </w:r>
          </w:p>
          <w:p>
            <w:pPr>
              <w:pStyle w:val="TableParagraph"/>
              <w:numPr>
                <w:ilvl w:val="0"/>
                <w:numId w:val="14"/>
              </w:numPr>
              <w:tabs>
                <w:tab w:pos="1040" w:val="left" w:leader="none"/>
                <w:tab w:pos="1041" w:val="left" w:leader="none"/>
              </w:tabs>
              <w:spacing w:line="204" w:lineRule="auto" w:before="10" w:after="0"/>
              <w:ind w:left="155" w:right="139" w:firstLine="0"/>
              <w:jc w:val="left"/>
              <w:rPr>
                <w:sz w:val="16"/>
              </w:rPr>
            </w:pPr>
            <w:r>
              <w:rPr>
                <w:w w:val="105"/>
                <w:sz w:val="16"/>
              </w:rPr>
              <w:t>нарушения менструальной функции у женщин (по типу олиго-, опсо-, аменореи), анамнез бесплодия, невынашивания</w:t>
            </w:r>
            <w:r>
              <w:rPr>
                <w:spacing w:val="-10"/>
                <w:w w:val="105"/>
                <w:sz w:val="16"/>
              </w:rPr>
              <w:t> </w:t>
            </w:r>
            <w:r>
              <w:rPr>
                <w:w w:val="105"/>
                <w:sz w:val="16"/>
              </w:rPr>
              <w:t>беременности);</w:t>
            </w:r>
          </w:p>
          <w:p>
            <w:pPr>
              <w:pStyle w:val="TableParagraph"/>
              <w:spacing w:line="482" w:lineRule="auto" w:before="80"/>
              <w:ind w:left="470" w:right="140" w:firstLine="612"/>
              <w:jc w:val="both"/>
              <w:rPr>
                <w:sz w:val="16"/>
              </w:rPr>
            </w:pPr>
            <w:r>
              <w:rPr>
                <w:w w:val="105"/>
                <w:sz w:val="16"/>
              </w:rPr>
              <w:t>глазные симптомы: Грефе — отставание верхнего века от края роговицы при движении глазного яблока вниз. Кохера — отставание движения глазного яблока </w:t>
            </w:r>
            <w:r>
              <w:rPr>
                <w:spacing w:val="-6"/>
                <w:w w:val="105"/>
                <w:sz w:val="16"/>
              </w:rPr>
              <w:t>от </w:t>
            </w:r>
            <w:r>
              <w:rPr>
                <w:w w:val="105"/>
                <w:sz w:val="16"/>
              </w:rPr>
              <w:t>такового верхнего века при взгляде вверх, в связи с чем обнаруживается участок склеры</w:t>
            </w:r>
            <w:r>
              <w:rPr>
                <w:spacing w:val="-5"/>
                <w:w w:val="105"/>
                <w:sz w:val="16"/>
              </w:rPr>
              <w:t> </w:t>
            </w:r>
            <w:r>
              <w:rPr>
                <w:w w:val="105"/>
                <w:sz w:val="16"/>
              </w:rPr>
              <w:t>между</w:t>
            </w:r>
            <w:r>
              <w:rPr>
                <w:spacing w:val="-5"/>
                <w:w w:val="105"/>
                <w:sz w:val="16"/>
              </w:rPr>
              <w:t> </w:t>
            </w:r>
            <w:r>
              <w:rPr>
                <w:w w:val="105"/>
                <w:sz w:val="16"/>
              </w:rPr>
              <w:t>верхним</w:t>
            </w:r>
            <w:r>
              <w:rPr>
                <w:spacing w:val="-5"/>
                <w:w w:val="105"/>
                <w:sz w:val="16"/>
              </w:rPr>
              <w:t> </w:t>
            </w:r>
            <w:r>
              <w:rPr>
                <w:w w:val="105"/>
                <w:sz w:val="16"/>
              </w:rPr>
              <w:t>веком</w:t>
            </w:r>
            <w:r>
              <w:rPr>
                <w:spacing w:val="-5"/>
                <w:w w:val="105"/>
                <w:sz w:val="16"/>
              </w:rPr>
              <w:t> </w:t>
            </w:r>
            <w:r>
              <w:rPr>
                <w:w w:val="105"/>
                <w:sz w:val="16"/>
              </w:rPr>
              <w:t>и</w:t>
            </w:r>
            <w:r>
              <w:rPr>
                <w:spacing w:val="-5"/>
                <w:w w:val="105"/>
                <w:sz w:val="16"/>
              </w:rPr>
              <w:t> </w:t>
            </w:r>
            <w:r>
              <w:rPr>
                <w:w w:val="105"/>
                <w:sz w:val="16"/>
              </w:rPr>
              <w:t>радужкой.</w:t>
            </w:r>
            <w:r>
              <w:rPr>
                <w:spacing w:val="-5"/>
                <w:w w:val="105"/>
                <w:sz w:val="16"/>
              </w:rPr>
              <w:t> </w:t>
            </w:r>
            <w:r>
              <w:rPr>
                <w:w w:val="105"/>
                <w:sz w:val="16"/>
              </w:rPr>
              <w:t>Краузе</w:t>
            </w:r>
            <w:r>
              <w:rPr>
                <w:spacing w:val="-5"/>
                <w:w w:val="105"/>
                <w:sz w:val="16"/>
              </w:rPr>
              <w:t> </w:t>
            </w:r>
            <w:r>
              <w:rPr>
                <w:w w:val="105"/>
                <w:sz w:val="16"/>
              </w:rPr>
              <w:t>—</w:t>
            </w:r>
            <w:r>
              <w:rPr>
                <w:spacing w:val="-5"/>
                <w:w w:val="105"/>
                <w:sz w:val="16"/>
              </w:rPr>
              <w:t> </w:t>
            </w:r>
            <w:r>
              <w:rPr>
                <w:w w:val="105"/>
                <w:sz w:val="16"/>
              </w:rPr>
              <w:t>усиленный</w:t>
            </w:r>
            <w:r>
              <w:rPr>
                <w:spacing w:val="-5"/>
                <w:w w:val="105"/>
                <w:sz w:val="16"/>
              </w:rPr>
              <w:t> </w:t>
            </w:r>
            <w:r>
              <w:rPr>
                <w:w w:val="105"/>
                <w:sz w:val="16"/>
              </w:rPr>
              <w:t>блеск</w:t>
            </w:r>
            <w:r>
              <w:rPr>
                <w:spacing w:val="-5"/>
                <w:w w:val="105"/>
                <w:sz w:val="16"/>
              </w:rPr>
              <w:t> </w:t>
            </w:r>
            <w:r>
              <w:rPr>
                <w:w w:val="105"/>
                <w:sz w:val="16"/>
              </w:rPr>
              <w:t>глаз.</w:t>
            </w:r>
            <w:r>
              <w:rPr>
                <w:spacing w:val="-5"/>
                <w:w w:val="105"/>
                <w:sz w:val="16"/>
              </w:rPr>
              <w:t> </w:t>
            </w:r>
            <w:r>
              <w:rPr>
                <w:w w:val="105"/>
                <w:sz w:val="16"/>
              </w:rPr>
              <w:t>Дальримпля</w:t>
            </w:r>
          </w:p>
          <w:p>
            <w:pPr>
              <w:pStyle w:val="TableParagraph"/>
              <w:tabs>
                <w:tab w:pos="1833" w:val="left" w:leader="none"/>
                <w:tab w:pos="3406" w:val="left" w:leader="none"/>
                <w:tab w:pos="3822" w:val="left" w:leader="none"/>
                <w:tab w:pos="5181" w:val="left" w:leader="none"/>
                <w:tab w:pos="6498" w:val="left" w:leader="none"/>
                <w:tab w:pos="7454" w:val="left" w:leader="none"/>
              </w:tabs>
              <w:spacing w:line="482" w:lineRule="auto" w:before="0"/>
              <w:ind w:left="470" w:right="140"/>
              <w:rPr>
                <w:sz w:val="16"/>
              </w:rPr>
            </w:pPr>
            <w:r>
              <w:rPr>
                <w:w w:val="105"/>
                <w:sz w:val="16"/>
              </w:rPr>
              <w:t>— широкое раскрытие глазных щелей — «удивленный взгляд». Розенбаха — мелкое и быстрое дрожание опущенных или слегка сомкнутых век. Штельвага — редкие </w:t>
            </w:r>
            <w:r>
              <w:rPr>
                <w:spacing w:val="-12"/>
                <w:w w:val="105"/>
                <w:sz w:val="16"/>
              </w:rPr>
              <w:t>и </w:t>
            </w:r>
            <w:r>
              <w:rPr>
                <w:w w:val="105"/>
                <w:sz w:val="16"/>
              </w:rPr>
              <w:t>неполные мигательные движения всочетании с ретракцией верхнего века. Мебиуса — нарушение конвергенции. Меланодермия в области век (симптом Еллинека) эндокринная</w:t>
              <w:tab/>
              <w:t>офтальмопатия</w:t>
              <w:tab/>
              <w:t>—</w:t>
              <w:tab/>
              <w:t>выраженный</w:t>
              <w:tab/>
              <w:t>экзофтальм,</w:t>
              <w:tab/>
              <w:t>нередко</w:t>
              <w:tab/>
            </w:r>
            <w:r>
              <w:rPr>
                <w:spacing w:val="-3"/>
                <w:w w:val="105"/>
                <w:sz w:val="16"/>
              </w:rPr>
              <w:t>имеющий </w:t>
            </w:r>
            <w:r>
              <w:rPr>
                <w:w w:val="105"/>
                <w:sz w:val="16"/>
              </w:rPr>
              <w:t>несимметричный характер, диплопия при взгляде в одну из сторон или вверх, слезотечение, ощущение песка в глазах, отечность</w:t>
            </w:r>
            <w:r>
              <w:rPr>
                <w:spacing w:val="-20"/>
                <w:w w:val="105"/>
                <w:sz w:val="16"/>
              </w:rPr>
              <w:t> </w:t>
            </w:r>
            <w:r>
              <w:rPr>
                <w:w w:val="105"/>
                <w:sz w:val="16"/>
              </w:rPr>
              <w:t>век.</w:t>
            </w:r>
          </w:p>
          <w:p>
            <w:pPr>
              <w:pStyle w:val="TableParagraph"/>
              <w:spacing w:line="190" w:lineRule="exact" w:before="0"/>
              <w:ind w:left="470"/>
              <w:rPr>
                <w:sz w:val="16"/>
              </w:rPr>
            </w:pPr>
            <w:r>
              <w:rPr>
                <w:w w:val="105"/>
                <w:sz w:val="16"/>
              </w:rPr>
              <w:t>тремор пальцев вытянутых рук, иногда всего тела (симптом телеграфного столба).</w:t>
            </w:r>
          </w:p>
        </w:tc>
      </w:tr>
    </w:tbl>
    <w:p>
      <w:pPr>
        <w:rPr>
          <w:sz w:val="2"/>
          <w:szCs w:val="2"/>
        </w:rPr>
      </w:pPr>
      <w:r>
        <w:rPr/>
        <w:pict>
          <v:shape style="position:absolute;margin-left:90.037003pt;margin-top:841.848022pt;width:422.45pt;height:.1pt;mso-position-horizontal-relative:page;mso-position-vertical-relative:page;z-index:15918080" coordorigin="1801,16837" coordsize="8449,1" path="m10249,16837l10234,16837,1816,16837,1801,16837,1816,16837,10234,16837,10249,16837xe" filled="true" fillcolor="#000000" stroked="false">
            <v:path arrowok="t"/>
            <v:fill type="solid"/>
            <w10:wrap type="none"/>
          </v:shape>
        </w:pict>
      </w:r>
      <w:r>
        <w:rPr/>
        <w:pict>
          <v:shape style="position:absolute;margin-left:103.543495pt;margin-top:25.507898pt;width:3.05pt;height:3.05pt;mso-position-horizontal-relative:page;mso-position-vertical-relative:page;z-index:-18190336" coordorigin="2071,510" coordsize="61,61" path="m2101,570l2093,570,2086,567,2074,555,2071,548,2071,532,2074,525,2086,513,2093,510,2109,510,2116,513,2128,525,2131,532,2131,540,2131,548,2128,555,2116,567,2109,570,2101,570xe" filled="true" fillcolor="#000000" stroked="false">
            <v:path arrowok="t"/>
            <v:fill type="solid"/>
            <w10:wrap type="none"/>
          </v:shape>
        </w:pict>
      </w:r>
      <w:r>
        <w:rPr/>
        <w:pict>
          <v:shape style="position:absolute;margin-left:103.543495pt;margin-top:45.016094pt;width:3.05pt;height:3.05pt;mso-position-horizontal-relative:page;mso-position-vertical-relative:page;z-index:-18189824" coordorigin="2071,900" coordsize="61,61" path="m2101,960l2093,960,2086,957,2074,946,2071,939,2071,922,2074,915,2080,909,2086,903,2093,900,2109,900,2131,930,2131,939,2128,946,2116,957,2109,960,2101,960xe" filled="true" fillcolor="#000000" stroked="false">
            <v:path arrowok="t"/>
            <v:fill type="solid"/>
            <w10:wrap type="none"/>
          </v:shape>
        </w:pict>
      </w:r>
      <w:r>
        <w:rPr/>
        <w:pict>
          <v:shape style="position:absolute;margin-left:103.543495pt;margin-top:64.524292pt;width:3.05pt;height:3.05pt;mso-position-horizontal-relative:page;mso-position-vertical-relative:page;z-index:-18189312" coordorigin="2071,1290" coordsize="61,61" path="m2101,1351l2093,1350,2086,1347,2074,1336,2071,1329,2071,1312,2074,1305,2086,1293,2093,1290,2109,1290,2116,1293,2128,1305,2131,1312,2131,1320,2131,1329,2128,1336,2116,1347,2109,1350,2101,1351xe" filled="true" fillcolor="#000000" stroked="false">
            <v:path arrowok="t"/>
            <v:fill type="solid"/>
            <w10:wrap type="none"/>
          </v:shape>
        </w:pict>
      </w:r>
      <w:r>
        <w:rPr/>
        <w:pict>
          <v:shape style="position:absolute;margin-left:103.543495pt;margin-top:84.032486pt;width:3.05pt;height:3.05pt;mso-position-horizontal-relative:page;mso-position-vertical-relative:page;z-index:-18188800" coordorigin="2071,1681" coordsize="61,61" path="m2109,1741l2093,1741,2086,1738,2074,1726,2071,1719,2071,1702,2074,1695,2086,1683,2093,1681,2109,1681,2116,1683,2128,1695,2131,1702,2131,1711,2131,1719,2128,1726,2116,1738,2109,1741xe" filled="true" fillcolor="#000000" stroked="false">
            <v:path arrowok="t"/>
            <v:fill type="solid"/>
            <w10:wrap type="none"/>
          </v:shape>
        </w:pict>
      </w:r>
      <w:r>
        <w:rPr/>
        <w:pict>
          <v:shape style="position:absolute;margin-left:103.543495pt;margin-top:103.540688pt;width:3.05pt;height:3.05pt;mso-position-horizontal-relative:page;mso-position-vertical-relative:page;z-index:-18188288" coordorigin="2071,2071" coordsize="61,61" path="m2109,2131l2093,2131,2086,2128,2074,2116,2071,2109,2071,2092,2074,2085,2080,2079,2086,2074,2093,2071,2109,2071,2131,2101,2131,2109,2128,2116,2116,2128,2109,2131xe" filled="true" fillcolor="#000000" stroked="false">
            <v:path arrowok="t"/>
            <v:fill type="solid"/>
            <w10:wrap type="none"/>
          </v:shape>
        </w:pict>
      </w:r>
      <w:r>
        <w:rPr/>
        <w:pict>
          <v:shape style="position:absolute;margin-left:103.543495pt;margin-top:123.048882pt;width:3.05pt;height:3.05pt;mso-position-horizontal-relative:page;mso-position-vertical-relative:page;z-index:-18187776" coordorigin="2071,2461" coordsize="61,61" path="m2101,2521l2093,2521,2086,2518,2074,2506,2071,2499,2071,2483,2074,2476,2086,2464,2093,2461,2109,2461,2116,2464,2128,2476,2131,2483,2131,2491,2131,2499,2128,2506,2116,2518,2109,2521,2101,2521xe" filled="true" fillcolor="#000000" stroked="false">
            <v:path arrowok="t"/>
            <v:fill type="solid"/>
            <w10:wrap type="none"/>
          </v:shape>
        </w:pict>
      </w:r>
      <w:r>
        <w:rPr/>
        <w:pict>
          <v:shape style="position:absolute;margin-left:103.543495pt;margin-top:142.557083pt;width:3.05pt;height:3.05pt;mso-position-horizontal-relative:page;mso-position-vertical-relative:page;z-index:-18187264" coordorigin="2071,2851" coordsize="61,61" path="m2101,2911l2093,2911,2086,2908,2074,2896,2071,2889,2071,2873,2074,2866,2086,2854,2093,2851,2109,2851,2116,2854,2128,2866,2131,2873,2131,2881,2131,2889,2128,2896,2116,2908,2109,2911,2101,2911xe" filled="true" fillcolor="#000000" stroked="false">
            <v:path arrowok="t"/>
            <v:fill type="solid"/>
            <w10:wrap type="none"/>
          </v:shape>
        </w:pict>
      </w:r>
      <w:r>
        <w:rPr/>
        <w:pict>
          <v:shape style="position:absolute;margin-left:103.543495pt;margin-top:162.065277pt;width:3.05pt;height:3.05pt;mso-position-horizontal-relative:page;mso-position-vertical-relative:page;z-index:-18186752" coordorigin="2071,3241" coordsize="61,61" path="m2109,3301l2093,3301,2086,3298,2074,3287,2071,3280,2071,3263,2074,3256,2086,3244,2093,3241,2109,3241,2116,3244,2128,3256,2131,3263,2131,3271,2131,3280,2128,3287,2116,3298,2109,3301xe" filled="true" fillcolor="#000000" stroked="false">
            <v:path arrowok="t"/>
            <v:fill type="solid"/>
            <w10:wrap type="none"/>
          </v:shape>
        </w:pict>
      </w:r>
      <w:r>
        <w:rPr/>
        <w:pict>
          <v:shape style="position:absolute;margin-left:103.543495pt;margin-top:181.573471pt;width:3.05pt;height:3.05pt;mso-position-horizontal-relative:page;mso-position-vertical-relative:page;z-index:-18186240" coordorigin="2071,3631" coordsize="61,61" path="m2101,3691l2093,3691,2086,3688,2074,3677,2071,3670,2071,3653,2074,3646,2080,3640,2086,3634,2093,3631,2109,3631,2131,3661,2131,3670,2128,3677,2116,3688,2109,3691,2101,3691xe" filled="true" fillcolor="#000000" stroked="false">
            <v:path arrowok="t"/>
            <v:fill type="solid"/>
            <w10:wrap type="none"/>
          </v:shape>
        </w:pict>
      </w:r>
      <w:r>
        <w:rPr/>
        <w:pict>
          <v:shape style="position:absolute;margin-left:103.543495pt;margin-top:225.091751pt;width:3.05pt;height:3.05pt;mso-position-horizontal-relative:page;mso-position-vertical-relative:page;z-index:-18185728" coordorigin="2071,4502" coordsize="61,61" path="m2109,4562l2093,4562,2086,4559,2074,4547,2071,4540,2071,4523,2074,4516,2086,4505,2093,4502,2109,4502,2116,4505,2128,4516,2131,4523,2131,4532,2131,4540,2128,4547,2116,4559,2109,4562xe" filled="true" fillcolor="#000000" stroked="false">
            <v:path arrowok="t"/>
            <v:fill type="solid"/>
            <w10:wrap type="none"/>
          </v:shape>
        </w:pict>
      </w:r>
      <w:r>
        <w:rPr/>
        <w:pict>
          <v:shape style="position:absolute;margin-left:103.543495pt;margin-top:244.599945pt;width:3.05pt;height:3.05pt;mso-position-horizontal-relative:page;mso-position-vertical-relative:page;z-index:-18185216" coordorigin="2071,4892" coordsize="61,61" path="m2109,4952l2093,4952,2086,4949,2074,4937,2071,4930,2071,4914,2074,4907,2086,4895,2093,4892,2109,4892,2116,4895,2128,4907,2131,4914,2131,4922,2131,4930,2128,4937,2116,4949,2109,4952xe" filled="true" fillcolor="#000000" stroked="false">
            <v:path arrowok="t"/>
            <v:fill type="solid"/>
            <w10:wrap type="none"/>
          </v:shape>
        </w:pict>
      </w:r>
      <w:r>
        <w:rPr/>
        <w:pict>
          <v:shape style="position:absolute;margin-left:103.543495pt;margin-top:264.108154pt;width:3.05pt;height:3.05pt;mso-position-horizontal-relative:page;mso-position-vertical-relative:page;z-index:-18184704" coordorigin="2071,5282" coordsize="61,61" path="m2101,5342l2093,5342,2086,5339,2074,5327,2071,5320,2071,5304,2074,5297,2086,5285,2093,5282,2109,5282,2116,5285,2128,5297,2131,5304,2131,5312,2131,5320,2128,5327,2116,5339,2109,5342,2101,5342xe" filled="true" fillcolor="#000000" stroked="false">
            <v:path arrowok="t"/>
            <v:fill type="solid"/>
            <w10:wrap type="none"/>
          </v:shape>
        </w:pict>
      </w:r>
      <w:r>
        <w:rPr/>
        <w:pict>
          <v:shape style="position:absolute;margin-left:103.543495pt;margin-top:307.626434pt;width:3.05pt;height:3.05pt;mso-position-horizontal-relative:page;mso-position-vertical-relative:page;z-index:-18184192" coordorigin="2071,6153" coordsize="61,61" path="m2101,6213l2093,6212,2086,6209,2074,6198,2071,6191,2071,6174,2074,6167,2086,6155,2093,6153,2109,6153,2116,6155,2128,6167,2131,6174,2131,6183,2131,6191,2128,6198,2116,6209,2109,6212,2101,6213xe" filled="true" fillcolor="#000000" stroked="false">
            <v:path arrowok="t"/>
            <v:fill type="solid"/>
            <w10:wrap type="none"/>
          </v:shape>
        </w:pict>
      </w:r>
      <w:r>
        <w:rPr/>
        <w:pict>
          <v:shape style="position:absolute;margin-left:103.543495pt;margin-top:327.134613pt;width:3.05pt;height:3.05pt;mso-position-horizontal-relative:page;mso-position-vertical-relative:page;z-index:-18183680" coordorigin="2071,6543" coordsize="61,61" path="m2109,6603l2093,6603,2086,6600,2074,6588,2071,6581,2071,6564,2074,6557,2086,6546,2093,6543,2109,6543,2116,6546,2128,6557,2131,6564,2131,6573,2131,6581,2128,6588,2116,6600,2109,6603xe" filled="true" fillcolor="#000000" stroked="false">
            <v:path arrowok="t"/>
            <v:fill type="solid"/>
            <w10:wrap type="none"/>
          </v:shape>
        </w:pict>
      </w:r>
      <w:r>
        <w:rPr/>
        <w:pict>
          <v:shape style="position:absolute;margin-left:103.543495pt;margin-top:346.642822pt;width:3.05pt;height:3.05pt;mso-position-horizontal-relative:page;mso-position-vertical-relative:page;z-index:-18183168" coordorigin="2071,6933" coordsize="61,61" path="m2101,6993l2093,6993,2086,6990,2074,6978,2071,6971,2071,6954,2074,6947,2080,6941,2086,6936,2093,6933,2109,6933,2131,6963,2131,6971,2128,6978,2116,6990,2109,6993,2101,6993xe" filled="true" fillcolor="#000000" stroked="false">
            <v:path arrowok="t"/>
            <v:fill type="solid"/>
            <w10:wrap type="none"/>
          </v:shape>
        </w:pict>
      </w:r>
      <w:r>
        <w:rPr/>
        <w:pict>
          <v:shape style="position:absolute;margin-left:103.543495pt;margin-top:366.151031pt;width:3.05pt;height:3.05pt;mso-position-horizontal-relative:page;mso-position-vertical-relative:page;z-index:-18182656" coordorigin="2071,7323" coordsize="61,61" path="m2109,7383l2093,7383,2086,7380,2074,7369,2071,7361,2071,7345,2074,7338,2086,7326,2093,7323,2109,7323,2116,7326,2128,7338,2131,7345,2131,7353,2131,7361,2128,7369,2116,7380,2109,7383xe" filled="true" fillcolor="#000000" stroked="false">
            <v:path arrowok="t"/>
            <v:fill type="solid"/>
            <w10:wrap type="none"/>
          </v:shape>
        </w:pict>
      </w:r>
      <w:r>
        <w:rPr/>
        <w:pict>
          <v:shape style="position:absolute;margin-left:103.543495pt;margin-top:385.65921pt;width:3.05pt;height:3.05pt;mso-position-horizontal-relative:page;mso-position-vertical-relative:page;z-index:-18182144" coordorigin="2071,7713" coordsize="61,61" path="m2109,7773l2093,7773,2086,7770,2074,7758,2071,7751,2071,7735,2074,7728,2086,7716,2093,7713,2109,7713,2116,7716,2128,7728,2131,7735,2131,7743,2131,7751,2128,7758,2116,7770,2109,7773xe" filled="true" fillcolor="#000000" stroked="false">
            <v:path arrowok="t"/>
            <v:fill type="solid"/>
            <w10:wrap type="none"/>
          </v:shape>
        </w:pict>
      </w:r>
      <w:r>
        <w:rPr/>
        <w:pict>
          <v:shape style="position:absolute;margin-left:103.543495pt;margin-top:405.167419pt;width:3.05pt;height:3.05pt;mso-position-horizontal-relative:page;mso-position-vertical-relative:page;z-index:-18181632" coordorigin="2071,8103" coordsize="61,61" path="m2101,8163l2093,8163,2086,8160,2074,8149,2071,8142,2071,8125,2074,8118,2086,8106,2093,8103,2109,8103,2116,8106,2128,8118,2131,8125,2131,8133,2131,8142,2128,8149,2116,8160,2109,8163,2101,8163xe" filled="true" fillcolor="#000000" stroked="false">
            <v:path arrowok="t"/>
            <v:fill type="solid"/>
            <w10:wrap type="none"/>
          </v:shape>
        </w:pict>
      </w:r>
      <w:r>
        <w:rPr/>
        <w:pict>
          <v:shape style="position:absolute;margin-left:103.543495pt;margin-top:444.183807pt;width:3.05pt;height:3.05pt;mso-position-horizontal-relative:page;mso-position-vertical-relative:page;z-index:-18181120" coordorigin="2071,8884" coordsize="61,61" path="m2109,8944l2093,8944,2086,8941,2074,8929,2071,8922,2071,8905,2074,8898,2086,8886,2093,8884,2109,8884,2116,8886,2128,8898,2131,8905,2131,8914,2131,8922,2128,8929,2116,8941,2109,8944xe" filled="true" fillcolor="#000000" stroked="false">
            <v:path arrowok="t"/>
            <v:fill type="solid"/>
            <w10:wrap type="none"/>
          </v:shape>
        </w:pict>
      </w:r>
      <w:r>
        <w:rPr/>
        <w:pict>
          <v:shape style="position:absolute;margin-left:103.543495pt;margin-top:540.224182pt;width:3.05pt;height:3.05pt;mso-position-horizontal-relative:page;mso-position-vertical-relative:page;z-index:-18180608" coordorigin="2071,10804" coordsize="61,61" path="m2101,10865l2093,10864,2086,10861,2074,10850,2071,10843,2071,10826,2074,10819,2080,10813,2086,10807,2093,10804,2109,10804,2131,10834,2131,10843,2128,10850,2116,10861,2109,10864,2101,10865xe" filled="true" fillcolor="#000000" stroked="false">
            <v:path arrowok="t"/>
            <v:fill type="solid"/>
            <w10:wrap type="none"/>
          </v:shape>
        </w:pict>
      </w:r>
      <w:r>
        <w:rPr/>
        <w:pict>
          <v:shape style="position:absolute;margin-left:103.543495pt;margin-top:559.732361pt;width:3.05pt;height:3.05pt;mso-position-horizontal-relative:page;mso-position-vertical-relative:page;z-index:-18180096" coordorigin="2071,11195" coordsize="61,61" path="m2101,11255l2093,11254,2086,11252,2074,11240,2071,11233,2071,11216,2074,11209,2086,11197,2093,11195,2109,11195,2116,11197,2128,11209,2131,11216,2131,11225,2131,11233,2128,11240,2116,11252,2109,11254,2101,11255xe" filled="true" fillcolor="#000000" stroked="false">
            <v:path arrowok="t"/>
            <v:fill type="solid"/>
            <w10:wrap type="none"/>
          </v:shape>
        </w:pict>
      </w:r>
      <w:r>
        <w:rPr/>
        <w:pict>
          <v:shape style="position:absolute;margin-left:103.543495pt;margin-top:604.000977pt;width:3.05pt;height:3.05pt;mso-position-horizontal-relative:page;mso-position-vertical-relative:page;z-index:-18179584" coordorigin="2071,12080" coordsize="61,61" path="m2101,12140l2093,12140,2086,12137,2074,12125,2071,12118,2071,12102,2074,12095,2086,12083,2093,12080,2109,12080,2116,12083,2128,12095,2131,12102,2131,12110,2131,12118,2128,12125,2116,12137,2109,12140,2101,12140xe" filled="true" fillcolor="#000000" stroked="false">
            <v:path arrowok="t"/>
            <v:fill type="solid"/>
            <w10:wrap type="none"/>
          </v:shape>
        </w:pict>
      </w:r>
      <w:r>
        <w:rPr/>
        <w:pict>
          <v:shape style="position:absolute;margin-left:103.543495pt;margin-top:760.066528pt;width:3.05pt;height:3.05pt;mso-position-horizontal-relative:page;mso-position-vertical-relative:page;z-index:-18179072" coordorigin="2071,15201" coordsize="61,61" path="m2109,15261l2093,15261,2086,15258,2074,15247,2071,15240,2071,15223,2074,15216,2080,15210,2086,15204,2093,15201,2109,15201,2131,15231,2131,15240,2128,15247,2116,15258,2109,15261xe" filled="true" fillcolor="#000000" stroked="false">
            <v:path arrowok="t"/>
            <v:fill type="solid"/>
            <w10:wrap type="none"/>
          </v:shape>
        </w:pict>
      </w:r>
      <w:r>
        <w:rPr/>
        <w:pict>
          <v:shape style="position:absolute;margin-left:103.543495pt;margin-top:818.591125pt;width:3.05pt;height:3.05pt;mso-position-horizontal-relative:page;mso-position-vertical-relative:page;z-index:-18178560" coordorigin="2071,16372" coordsize="61,61" path="m2109,16432l2093,16432,2086,16429,2074,16417,2071,16410,2071,16393,2074,16386,2086,16375,2093,16372,2109,16372,2116,16375,2128,16386,2131,16393,2131,16402,2131,16410,2128,16417,2116,16429,2109,16432xe" filled="true" fillcolor="#000000" stroked="false">
            <v:path arrowok="t"/>
            <v:fill type="solid"/>
            <w10:wrap type="none"/>
          </v:shape>
        </w:pict>
      </w:r>
    </w:p>
    <w:p>
      <w:pPr>
        <w:spacing w:after="0"/>
        <w:rPr>
          <w:sz w:val="2"/>
          <w:szCs w:val="2"/>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2020" w:hRule="atLeast"/>
        </w:trPr>
        <w:tc>
          <w:tcPr>
            <w:tcW w:w="8434" w:type="dxa"/>
          </w:tcPr>
          <w:p>
            <w:pPr>
              <w:pStyle w:val="TableParagraph"/>
              <w:spacing w:line="333" w:lineRule="auto"/>
              <w:ind w:left="470" w:right="4734" w:hanging="316"/>
              <w:rPr>
                <w:sz w:val="16"/>
              </w:rPr>
            </w:pPr>
            <w:r>
              <w:rPr>
                <w:sz w:val="16"/>
              </w:rPr>
              <w:t>Признаки гиперпаратиреоза: </w:t>
            </w:r>
            <w:r>
              <w:rPr>
                <w:w w:val="105"/>
                <w:sz w:val="16"/>
              </w:rPr>
              <w:t>нефролитиаз,</w:t>
            </w:r>
          </w:p>
          <w:p>
            <w:pPr>
              <w:pStyle w:val="TableParagraph"/>
              <w:spacing w:line="482" w:lineRule="auto" w:before="120"/>
              <w:ind w:left="470" w:right="5749"/>
              <w:rPr>
                <w:sz w:val="16"/>
              </w:rPr>
            </w:pPr>
            <w:r>
              <w:rPr>
                <w:w w:val="105"/>
                <w:sz w:val="16"/>
              </w:rPr>
              <w:t>вторичный остеопороз, мышечная слабость, боли в мышцах.</w:t>
            </w:r>
          </w:p>
        </w:tc>
      </w:tr>
    </w:tbl>
    <w:p>
      <w:pPr>
        <w:spacing w:before="16"/>
        <w:ind w:left="380" w:right="0" w:firstLine="0"/>
        <w:jc w:val="left"/>
        <w:rPr>
          <w:sz w:val="27"/>
        </w:rPr>
      </w:pPr>
      <w:r>
        <w:rPr/>
        <w:pict>
          <v:shape style="position:absolute;margin-left:90.037003pt;margin-top:841.848999pt;width:422.45pt;height:.1pt;mso-position-horizontal-relative:page;mso-position-vertical-relative:page;z-index:15930880" coordorigin="1801,16837" coordsize="8449,1" path="m10249,16837l10249,16837,1801,16837,1801,16837,10249,16837xe" filled="true" fillcolor="#000000" stroked="false">
            <v:path arrowok="t"/>
            <v:fill type="solid"/>
            <w10:wrap type="none"/>
          </v:shape>
        </w:pict>
      </w:r>
      <w:r>
        <w:rPr/>
        <w:pict>
          <v:shape style="position:absolute;margin-left:103.543495pt;margin-top:-77.316551pt;width:3.05pt;height:3.05pt;mso-position-horizontal-relative:page;mso-position-vertical-relative:paragraph;z-index:-18177536" coordorigin="2071,-1546" coordsize="61,61" path="m2101,-1486l2093,-1487,2086,-1490,2074,-1501,2071,-1508,2071,-1525,2074,-1532,2086,-1544,2093,-1546,2109,-1546,2116,-1544,2128,-1532,2131,-1525,2131,-1516,2131,-1508,2128,-1501,2116,-1490,2109,-1487,2101,-1486xe" filled="true" fillcolor="#000000" stroked="false">
            <v:path arrowok="t"/>
            <v:fill type="solid"/>
            <w10:wrap type="none"/>
          </v:shape>
        </w:pict>
      </w:r>
      <w:r>
        <w:rPr/>
        <w:pict>
          <v:shape style="position:absolute;margin-left:103.543495pt;margin-top:-57.808357pt;width:3.05pt;height:3.05pt;mso-position-horizontal-relative:page;mso-position-vertical-relative:paragraph;z-index:-18177024" coordorigin="2071,-1156" coordsize="61,61" path="m2109,-1096l2093,-1096,2086,-1099,2074,-1111,2071,-1118,2071,-1135,2074,-1142,2080,-1148,2086,-1153,2093,-1156,2109,-1156,2131,-1126,2131,-1118,2128,-1111,2116,-1099,2109,-1096xe" filled="true" fillcolor="#000000" stroked="false">
            <v:path arrowok="t"/>
            <v:fill type="solid"/>
            <w10:wrap type="none"/>
          </v:shape>
        </w:pict>
      </w:r>
      <w:r>
        <w:rPr/>
        <w:pict>
          <v:shape style="position:absolute;margin-left:103.543495pt;margin-top:-38.300159pt;width:3.05pt;height:3.05pt;mso-position-horizontal-relative:page;mso-position-vertical-relative:paragraph;z-index:-18176512" coordorigin="2071,-766" coordsize="61,61" path="m2101,-706l2093,-706,2086,-709,2074,-721,2071,-728,2071,-744,2074,-751,2086,-763,2093,-766,2109,-766,2116,-763,2128,-751,2131,-744,2131,-736,2131,-728,2128,-721,2116,-709,2109,-706,2101,-706xe" filled="true" fillcolor="#000000" stroked="false">
            <v:path arrowok="t"/>
            <v:fill type="solid"/>
            <w10:wrap type="none"/>
          </v:shape>
        </w:pict>
      </w:r>
      <w:r>
        <w:rPr/>
        <w:pict>
          <v:shape style="position:absolute;margin-left:103.543495pt;margin-top:-18.791964pt;width:3.05pt;height:3.05pt;mso-position-horizontal-relative:page;mso-position-vertical-relative:paragraph;z-index:-18176000" coordorigin="2071,-376" coordsize="61,61" path="m2109,-316l2093,-316,2086,-319,2074,-331,2071,-338,2071,-354,2074,-361,2086,-373,2093,-376,2109,-376,2116,-373,2128,-361,2131,-354,2131,-346,2131,-338,2128,-331,2116,-319,2109,-316xe" filled="true" fillcolor="#000000" stroked="false">
            <v:path arrowok="t"/>
            <v:fill type="solid"/>
            <w10:wrap type="none"/>
          </v:shape>
        </w:pict>
      </w:r>
      <w:r>
        <w:rPr>
          <w:b/>
          <w:sz w:val="27"/>
        </w:rPr>
        <w:t>Таблица П4/Г2. </w:t>
      </w:r>
      <w:r>
        <w:rPr>
          <w:sz w:val="27"/>
        </w:rPr>
        <w:t>Рутинное обследование пациентов с АГ</w:t>
      </w:r>
    </w:p>
    <w:p>
      <w:pPr>
        <w:pStyle w:val="BodyText"/>
        <w:spacing w:before="10"/>
        <w:ind w:left="0"/>
        <w:jc w:val="left"/>
        <w:rPr>
          <w:sz w:val="20"/>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460" w:hRule="atLeast"/>
        </w:trPr>
        <w:tc>
          <w:tcPr>
            <w:tcW w:w="8434" w:type="dxa"/>
          </w:tcPr>
          <w:p>
            <w:pPr>
              <w:pStyle w:val="TableParagraph"/>
              <w:rPr>
                <w:sz w:val="16"/>
              </w:rPr>
            </w:pPr>
            <w:r>
              <w:rPr>
                <w:w w:val="105"/>
                <w:sz w:val="16"/>
              </w:rPr>
              <w:t>Гемоглобин и/или гематокрит</w:t>
            </w:r>
          </w:p>
        </w:tc>
      </w:tr>
      <w:tr>
        <w:trPr>
          <w:trHeight w:val="460" w:hRule="atLeast"/>
        </w:trPr>
        <w:tc>
          <w:tcPr>
            <w:tcW w:w="8434" w:type="dxa"/>
          </w:tcPr>
          <w:p>
            <w:pPr>
              <w:pStyle w:val="TableParagraph"/>
              <w:rPr>
                <w:sz w:val="16"/>
              </w:rPr>
            </w:pPr>
            <w:r>
              <w:rPr>
                <w:w w:val="105"/>
                <w:sz w:val="16"/>
              </w:rPr>
              <w:t>Глюкоза и гликозилированный гемоглобин</w:t>
            </w:r>
          </w:p>
        </w:tc>
      </w:tr>
      <w:tr>
        <w:trPr>
          <w:trHeight w:val="460" w:hRule="atLeast"/>
        </w:trPr>
        <w:tc>
          <w:tcPr>
            <w:tcW w:w="8434" w:type="dxa"/>
          </w:tcPr>
          <w:p>
            <w:pPr>
              <w:pStyle w:val="TableParagraph"/>
              <w:rPr>
                <w:sz w:val="16"/>
              </w:rPr>
            </w:pPr>
            <w:r>
              <w:rPr>
                <w:w w:val="105"/>
                <w:sz w:val="16"/>
              </w:rPr>
              <w:t>Липиды крови: ОХС, ХС ЛНП, ХС ЛВП</w:t>
            </w:r>
          </w:p>
        </w:tc>
      </w:tr>
      <w:tr>
        <w:trPr>
          <w:trHeight w:val="460" w:hRule="atLeast"/>
        </w:trPr>
        <w:tc>
          <w:tcPr>
            <w:tcW w:w="8434" w:type="dxa"/>
          </w:tcPr>
          <w:p>
            <w:pPr>
              <w:pStyle w:val="TableParagraph"/>
              <w:rPr>
                <w:sz w:val="16"/>
              </w:rPr>
            </w:pPr>
            <w:r>
              <w:rPr>
                <w:w w:val="105"/>
                <w:sz w:val="16"/>
              </w:rPr>
              <w:t>Триглицериды</w:t>
            </w:r>
          </w:p>
        </w:tc>
      </w:tr>
      <w:tr>
        <w:trPr>
          <w:trHeight w:val="460" w:hRule="atLeast"/>
        </w:trPr>
        <w:tc>
          <w:tcPr>
            <w:tcW w:w="8434" w:type="dxa"/>
          </w:tcPr>
          <w:p>
            <w:pPr>
              <w:pStyle w:val="TableParagraph"/>
              <w:rPr>
                <w:sz w:val="16"/>
              </w:rPr>
            </w:pPr>
            <w:r>
              <w:rPr>
                <w:w w:val="105"/>
                <w:sz w:val="16"/>
              </w:rPr>
              <w:t>Калий, натрий</w:t>
            </w:r>
          </w:p>
        </w:tc>
      </w:tr>
      <w:tr>
        <w:trPr>
          <w:trHeight w:val="460" w:hRule="atLeast"/>
        </w:trPr>
        <w:tc>
          <w:tcPr>
            <w:tcW w:w="8434" w:type="dxa"/>
          </w:tcPr>
          <w:p>
            <w:pPr>
              <w:pStyle w:val="TableParagraph"/>
              <w:rPr>
                <w:sz w:val="16"/>
              </w:rPr>
            </w:pPr>
            <w:r>
              <w:rPr>
                <w:w w:val="105"/>
                <w:sz w:val="16"/>
              </w:rPr>
              <w:t>Мочевая кислота</w:t>
            </w:r>
          </w:p>
        </w:tc>
      </w:tr>
      <w:tr>
        <w:trPr>
          <w:trHeight w:val="460" w:hRule="atLeast"/>
        </w:trPr>
        <w:tc>
          <w:tcPr>
            <w:tcW w:w="8434" w:type="dxa"/>
          </w:tcPr>
          <w:p>
            <w:pPr>
              <w:pStyle w:val="TableParagraph"/>
              <w:rPr>
                <w:sz w:val="16"/>
              </w:rPr>
            </w:pPr>
            <w:r>
              <w:rPr>
                <w:w w:val="105"/>
                <w:sz w:val="16"/>
              </w:rPr>
              <w:t>Креатинин и расчетная СКФ</w:t>
            </w:r>
          </w:p>
        </w:tc>
      </w:tr>
      <w:tr>
        <w:trPr>
          <w:trHeight w:val="460" w:hRule="atLeast"/>
        </w:trPr>
        <w:tc>
          <w:tcPr>
            <w:tcW w:w="8434" w:type="dxa"/>
          </w:tcPr>
          <w:p>
            <w:pPr>
              <w:pStyle w:val="TableParagraph"/>
              <w:rPr>
                <w:sz w:val="16"/>
              </w:rPr>
            </w:pPr>
            <w:r>
              <w:rPr>
                <w:w w:val="105"/>
                <w:sz w:val="16"/>
              </w:rPr>
              <w:t>Показатели функции печени</w:t>
            </w:r>
          </w:p>
        </w:tc>
      </w:tr>
      <w:tr>
        <w:trPr>
          <w:trHeight w:val="625" w:hRule="atLeast"/>
        </w:trPr>
        <w:tc>
          <w:tcPr>
            <w:tcW w:w="8434" w:type="dxa"/>
          </w:tcPr>
          <w:p>
            <w:pPr>
              <w:pStyle w:val="TableParagraph"/>
              <w:spacing w:line="204" w:lineRule="auto" w:before="161"/>
              <w:rPr>
                <w:sz w:val="16"/>
              </w:rPr>
            </w:pPr>
            <w:r>
              <w:rPr>
                <w:w w:val="105"/>
                <w:sz w:val="16"/>
              </w:rPr>
              <w:t>Анализ мочи: микроскопия осадка, качественная оценка протеинурии тест-полоской, отношение альбумин–креатинин в разовой порции мочи (оптимально)</w:t>
            </w:r>
          </w:p>
        </w:tc>
      </w:tr>
      <w:tr>
        <w:trPr>
          <w:trHeight w:val="460" w:hRule="atLeast"/>
        </w:trPr>
        <w:tc>
          <w:tcPr>
            <w:tcW w:w="8434" w:type="dxa"/>
          </w:tcPr>
          <w:p>
            <w:pPr>
              <w:pStyle w:val="TableParagraph"/>
              <w:rPr>
                <w:sz w:val="16"/>
              </w:rPr>
            </w:pPr>
            <w:r>
              <w:rPr>
                <w:w w:val="105"/>
                <w:sz w:val="16"/>
              </w:rPr>
              <w:t>ЭКГ в 12 отведениях</w:t>
            </w:r>
          </w:p>
        </w:tc>
      </w:tr>
    </w:tbl>
    <w:p>
      <w:pPr>
        <w:pStyle w:val="BodyText"/>
        <w:spacing w:before="2"/>
        <w:ind w:left="0"/>
        <w:jc w:val="left"/>
        <w:rPr>
          <w:sz w:val="50"/>
        </w:rPr>
      </w:pPr>
    </w:p>
    <w:p>
      <w:pPr>
        <w:tabs>
          <w:tab w:pos="1883" w:val="left" w:leader="none"/>
          <w:tab w:pos="4866" w:val="left" w:leader="none"/>
          <w:tab w:pos="5672" w:val="left" w:leader="none"/>
          <w:tab w:pos="7419" w:val="left" w:leader="none"/>
        </w:tabs>
        <w:spacing w:line="256" w:lineRule="auto" w:before="0"/>
        <w:ind w:left="380" w:right="132" w:firstLine="0"/>
        <w:jc w:val="left"/>
        <w:rPr>
          <w:sz w:val="27"/>
        </w:rPr>
      </w:pPr>
      <w:r>
        <w:rPr>
          <w:b/>
          <w:spacing w:val="-3"/>
          <w:sz w:val="27"/>
        </w:rPr>
        <w:t>Таблица</w:t>
        <w:tab/>
      </w:r>
      <w:r>
        <w:rPr>
          <w:b/>
          <w:sz w:val="27"/>
        </w:rPr>
        <w:t>П5/Г2.</w:t>
      </w:r>
      <w:r>
        <w:rPr>
          <w:sz w:val="27"/>
        </w:rPr>
        <w:t>Обследование</w:t>
        <w:tab/>
        <w:t>для</w:t>
        <w:tab/>
        <w:t>выявления</w:t>
        <w:tab/>
      </w:r>
      <w:r>
        <w:rPr>
          <w:spacing w:val="-3"/>
          <w:w w:val="95"/>
          <w:sz w:val="27"/>
        </w:rPr>
        <w:t>поражения </w:t>
      </w:r>
      <w:r>
        <w:rPr>
          <w:sz w:val="27"/>
        </w:rPr>
        <w:t>органов-мишеней</w:t>
      </w:r>
    </w:p>
    <w:p>
      <w:pPr>
        <w:pStyle w:val="BodyText"/>
        <w:spacing w:before="11"/>
        <w:ind w:left="0"/>
        <w:jc w:val="left"/>
        <w:rPr>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72"/>
        <w:gridCol w:w="4262"/>
      </w:tblGrid>
      <w:tr>
        <w:trPr>
          <w:trHeight w:val="460" w:hRule="atLeast"/>
        </w:trPr>
        <w:tc>
          <w:tcPr>
            <w:tcW w:w="4172" w:type="dxa"/>
          </w:tcPr>
          <w:p>
            <w:pPr>
              <w:pStyle w:val="TableParagraph"/>
              <w:spacing w:before="0"/>
              <w:ind w:left="0"/>
              <w:rPr>
                <w:rFonts w:ascii="Times New Roman"/>
                <w:sz w:val="16"/>
              </w:rPr>
            </w:pPr>
          </w:p>
        </w:tc>
        <w:tc>
          <w:tcPr>
            <w:tcW w:w="4262" w:type="dxa"/>
          </w:tcPr>
          <w:p>
            <w:pPr>
              <w:pStyle w:val="TableParagraph"/>
              <w:ind w:left="154"/>
              <w:rPr>
                <w:b/>
                <w:sz w:val="16"/>
              </w:rPr>
            </w:pPr>
            <w:r>
              <w:rPr>
                <w:b/>
                <w:w w:val="105"/>
                <w:sz w:val="16"/>
              </w:rPr>
              <w:t>Показание и интерпретация</w:t>
            </w:r>
          </w:p>
        </w:tc>
      </w:tr>
      <w:tr>
        <w:trPr>
          <w:trHeight w:val="460" w:hRule="atLeast"/>
        </w:trPr>
        <w:tc>
          <w:tcPr>
            <w:tcW w:w="8434" w:type="dxa"/>
            <w:gridSpan w:val="2"/>
          </w:tcPr>
          <w:p>
            <w:pPr>
              <w:pStyle w:val="TableParagraph"/>
              <w:rPr>
                <w:b/>
                <w:sz w:val="16"/>
              </w:rPr>
            </w:pPr>
            <w:r>
              <w:rPr>
                <w:b/>
                <w:w w:val="105"/>
                <w:sz w:val="16"/>
              </w:rPr>
              <w:t>Первичные тесты для выявления ПОМ</w:t>
            </w:r>
          </w:p>
        </w:tc>
      </w:tr>
      <w:tr>
        <w:trPr>
          <w:trHeight w:val="955" w:hRule="atLeast"/>
        </w:trPr>
        <w:tc>
          <w:tcPr>
            <w:tcW w:w="4172" w:type="dxa"/>
          </w:tcPr>
          <w:p>
            <w:pPr>
              <w:pStyle w:val="TableParagraph"/>
              <w:rPr>
                <w:b/>
                <w:sz w:val="16"/>
              </w:rPr>
            </w:pPr>
            <w:r>
              <w:rPr>
                <w:b/>
                <w:w w:val="105"/>
                <w:sz w:val="16"/>
              </w:rPr>
              <w:t>ЭКГ в 12 отведениях</w:t>
            </w:r>
          </w:p>
        </w:tc>
        <w:tc>
          <w:tcPr>
            <w:tcW w:w="4262" w:type="dxa"/>
          </w:tcPr>
          <w:p>
            <w:pPr>
              <w:pStyle w:val="TableParagraph"/>
              <w:spacing w:line="204" w:lineRule="auto" w:before="161"/>
              <w:ind w:left="154" w:right="142"/>
              <w:jc w:val="both"/>
              <w:rPr>
                <w:sz w:val="16"/>
              </w:rPr>
            </w:pPr>
            <w:r>
              <w:rPr>
                <w:w w:val="105"/>
                <w:sz w:val="16"/>
              </w:rPr>
              <w:t>Скрининг для выявления ГЛЖ и других возможных аномалий, а также для документирования сердечного ритма и выявления аритмий</w:t>
            </w:r>
          </w:p>
        </w:tc>
      </w:tr>
      <w:tr>
        <w:trPr>
          <w:trHeight w:val="625" w:hRule="atLeast"/>
        </w:trPr>
        <w:tc>
          <w:tcPr>
            <w:tcW w:w="4172" w:type="dxa"/>
          </w:tcPr>
          <w:p>
            <w:pPr>
              <w:pStyle w:val="TableParagraph"/>
              <w:spacing w:line="204" w:lineRule="auto" w:before="161"/>
              <w:rPr>
                <w:sz w:val="16"/>
              </w:rPr>
            </w:pPr>
            <w:r>
              <w:rPr>
                <w:w w:val="105"/>
                <w:sz w:val="16"/>
              </w:rPr>
              <w:t>Отношение альбумин–креатинин в разовой порции мочи</w:t>
            </w:r>
          </w:p>
        </w:tc>
        <w:tc>
          <w:tcPr>
            <w:tcW w:w="4262" w:type="dxa"/>
          </w:tcPr>
          <w:p>
            <w:pPr>
              <w:pStyle w:val="TableParagraph"/>
              <w:tabs>
                <w:tab w:pos="847" w:val="left" w:leader="none"/>
                <w:tab w:pos="2152" w:val="left" w:leader="none"/>
                <w:tab w:pos="3813" w:val="left" w:leader="none"/>
              </w:tabs>
              <w:spacing w:line="204" w:lineRule="auto" w:before="161"/>
              <w:ind w:left="154" w:right="144"/>
              <w:rPr>
                <w:sz w:val="16"/>
              </w:rPr>
            </w:pPr>
            <w:r>
              <w:rPr>
                <w:w w:val="105"/>
                <w:sz w:val="16"/>
              </w:rPr>
              <w:t>Для</w:t>
              <w:tab/>
              <w:t>выявления</w:t>
              <w:tab/>
              <w:t>альбуминурии,</w:t>
              <w:tab/>
            </w:r>
            <w:r>
              <w:rPr>
                <w:spacing w:val="-6"/>
                <w:w w:val="105"/>
                <w:sz w:val="16"/>
              </w:rPr>
              <w:t>что </w:t>
            </w:r>
            <w:r>
              <w:rPr>
                <w:w w:val="105"/>
                <w:sz w:val="16"/>
              </w:rPr>
              <w:t>указывает на возможное поражение</w:t>
            </w:r>
            <w:r>
              <w:rPr>
                <w:spacing w:val="-38"/>
                <w:w w:val="105"/>
                <w:sz w:val="16"/>
              </w:rPr>
              <w:t> </w:t>
            </w:r>
            <w:r>
              <w:rPr>
                <w:w w:val="105"/>
                <w:sz w:val="16"/>
              </w:rPr>
              <w:t>почек</w:t>
            </w:r>
          </w:p>
        </w:tc>
      </w:tr>
      <w:tr>
        <w:trPr>
          <w:trHeight w:val="460" w:hRule="atLeast"/>
        </w:trPr>
        <w:tc>
          <w:tcPr>
            <w:tcW w:w="4172" w:type="dxa"/>
          </w:tcPr>
          <w:p>
            <w:pPr>
              <w:pStyle w:val="TableParagraph"/>
              <w:rPr>
                <w:sz w:val="16"/>
              </w:rPr>
            </w:pPr>
            <w:r>
              <w:rPr>
                <w:w w:val="105"/>
                <w:sz w:val="16"/>
              </w:rPr>
              <w:t>Креатинин и расчетная СКФ</w:t>
            </w:r>
          </w:p>
        </w:tc>
        <w:tc>
          <w:tcPr>
            <w:tcW w:w="4262" w:type="dxa"/>
          </w:tcPr>
          <w:p>
            <w:pPr>
              <w:pStyle w:val="TableParagraph"/>
              <w:ind w:left="154"/>
              <w:rPr>
                <w:sz w:val="16"/>
              </w:rPr>
            </w:pPr>
            <w:r>
              <w:rPr>
                <w:w w:val="105"/>
                <w:sz w:val="16"/>
              </w:rPr>
              <w:t>Для выявления поражения почек</w:t>
            </w:r>
          </w:p>
        </w:tc>
      </w:tr>
      <w:tr>
        <w:trPr>
          <w:trHeight w:val="790" w:hRule="atLeast"/>
        </w:trPr>
        <w:tc>
          <w:tcPr>
            <w:tcW w:w="4172" w:type="dxa"/>
          </w:tcPr>
          <w:p>
            <w:pPr>
              <w:pStyle w:val="TableParagraph"/>
              <w:rPr>
                <w:b/>
                <w:sz w:val="16"/>
              </w:rPr>
            </w:pPr>
            <w:r>
              <w:rPr>
                <w:b/>
                <w:w w:val="105"/>
                <w:sz w:val="16"/>
              </w:rPr>
              <w:t>Фундоскопия</w:t>
            </w:r>
          </w:p>
        </w:tc>
        <w:tc>
          <w:tcPr>
            <w:tcW w:w="4262" w:type="dxa"/>
          </w:tcPr>
          <w:p>
            <w:pPr>
              <w:pStyle w:val="TableParagraph"/>
              <w:tabs>
                <w:tab w:pos="1084" w:val="left" w:leader="none"/>
                <w:tab w:pos="2627" w:val="left" w:leader="none"/>
              </w:tabs>
              <w:spacing w:line="204" w:lineRule="auto" w:before="161"/>
              <w:ind w:left="154" w:right="139"/>
              <w:jc w:val="both"/>
              <w:rPr>
                <w:sz w:val="16"/>
              </w:rPr>
            </w:pPr>
            <w:r>
              <w:rPr>
                <w:w w:val="105"/>
                <w:sz w:val="16"/>
              </w:rPr>
              <w:t>Для</w:t>
              <w:tab/>
              <w:t>выявления</w:t>
              <w:tab/>
            </w:r>
            <w:r>
              <w:rPr>
                <w:spacing w:val="-2"/>
                <w:w w:val="105"/>
                <w:sz w:val="16"/>
              </w:rPr>
              <w:t>гипертонической </w:t>
            </w:r>
            <w:r>
              <w:rPr>
                <w:w w:val="105"/>
                <w:sz w:val="16"/>
              </w:rPr>
              <w:t>ретинопатии,</w:t>
            </w:r>
            <w:r>
              <w:rPr>
                <w:spacing w:val="-12"/>
                <w:w w:val="105"/>
                <w:sz w:val="16"/>
              </w:rPr>
              <w:t> </w:t>
            </w:r>
            <w:r>
              <w:rPr>
                <w:w w:val="105"/>
                <w:sz w:val="16"/>
              </w:rPr>
              <w:t>особенно</w:t>
            </w:r>
            <w:r>
              <w:rPr>
                <w:spacing w:val="-12"/>
                <w:w w:val="105"/>
                <w:sz w:val="16"/>
              </w:rPr>
              <w:t> </w:t>
            </w:r>
            <w:r>
              <w:rPr>
                <w:w w:val="105"/>
                <w:sz w:val="16"/>
              </w:rPr>
              <w:t>у</w:t>
            </w:r>
            <w:r>
              <w:rPr>
                <w:spacing w:val="-12"/>
                <w:w w:val="105"/>
                <w:sz w:val="16"/>
              </w:rPr>
              <w:t> </w:t>
            </w:r>
            <w:r>
              <w:rPr>
                <w:w w:val="105"/>
                <w:sz w:val="16"/>
              </w:rPr>
              <w:t>больных</w:t>
            </w:r>
            <w:r>
              <w:rPr>
                <w:spacing w:val="-12"/>
                <w:w w:val="105"/>
                <w:sz w:val="16"/>
              </w:rPr>
              <w:t> </w:t>
            </w:r>
            <w:r>
              <w:rPr>
                <w:w w:val="105"/>
                <w:sz w:val="16"/>
              </w:rPr>
              <w:t>АГ</w:t>
            </w:r>
            <w:r>
              <w:rPr>
                <w:spacing w:val="-12"/>
                <w:w w:val="105"/>
                <w:sz w:val="16"/>
              </w:rPr>
              <w:t> </w:t>
            </w:r>
            <w:r>
              <w:rPr>
                <w:w w:val="105"/>
                <w:sz w:val="16"/>
              </w:rPr>
              <w:t>2-й</w:t>
            </w:r>
            <w:r>
              <w:rPr>
                <w:spacing w:val="-12"/>
                <w:w w:val="105"/>
                <w:sz w:val="16"/>
              </w:rPr>
              <w:t> </w:t>
            </w:r>
            <w:r>
              <w:rPr>
                <w:w w:val="105"/>
                <w:sz w:val="16"/>
              </w:rPr>
              <w:t>или 3-й</w:t>
            </w:r>
            <w:r>
              <w:rPr>
                <w:spacing w:val="-3"/>
                <w:w w:val="105"/>
                <w:sz w:val="16"/>
              </w:rPr>
              <w:t> </w:t>
            </w:r>
            <w:r>
              <w:rPr>
                <w:w w:val="105"/>
                <w:sz w:val="16"/>
              </w:rPr>
              <w:t>степеней</w:t>
            </w:r>
          </w:p>
        </w:tc>
      </w:tr>
      <w:tr>
        <w:trPr>
          <w:trHeight w:val="460" w:hRule="atLeast"/>
        </w:trPr>
        <w:tc>
          <w:tcPr>
            <w:tcW w:w="8434" w:type="dxa"/>
            <w:gridSpan w:val="2"/>
          </w:tcPr>
          <w:p>
            <w:pPr>
              <w:pStyle w:val="TableParagraph"/>
              <w:rPr>
                <w:b/>
                <w:sz w:val="16"/>
              </w:rPr>
            </w:pPr>
            <w:r>
              <w:rPr>
                <w:b/>
                <w:w w:val="105"/>
                <w:sz w:val="16"/>
              </w:rPr>
              <w:t>Детальное обследование для выявления ПОМ</w:t>
            </w:r>
          </w:p>
        </w:tc>
      </w:tr>
      <w:tr>
        <w:trPr>
          <w:trHeight w:val="790" w:hRule="atLeast"/>
        </w:trPr>
        <w:tc>
          <w:tcPr>
            <w:tcW w:w="4172" w:type="dxa"/>
          </w:tcPr>
          <w:p>
            <w:pPr>
              <w:pStyle w:val="TableParagraph"/>
              <w:rPr>
                <w:sz w:val="16"/>
              </w:rPr>
            </w:pPr>
            <w:r>
              <w:rPr>
                <w:w w:val="105"/>
                <w:sz w:val="16"/>
              </w:rPr>
              <w:t>Эхокардиография</w:t>
            </w:r>
          </w:p>
        </w:tc>
        <w:tc>
          <w:tcPr>
            <w:tcW w:w="4262" w:type="dxa"/>
          </w:tcPr>
          <w:p>
            <w:pPr>
              <w:pStyle w:val="TableParagraph"/>
              <w:spacing w:line="204" w:lineRule="auto" w:before="161"/>
              <w:ind w:left="154" w:right="139"/>
              <w:jc w:val="both"/>
              <w:rPr>
                <w:sz w:val="16"/>
              </w:rPr>
            </w:pPr>
            <w:r>
              <w:rPr>
                <w:w w:val="105"/>
                <w:sz w:val="16"/>
              </w:rPr>
              <w:t>Для оценки структуры и функции сердца, если эта информация может повлиять на выбор тактики лечения</w:t>
            </w:r>
          </w:p>
        </w:tc>
      </w:tr>
      <w:tr>
        <w:trPr>
          <w:trHeight w:val="1120" w:hRule="atLeast"/>
        </w:trPr>
        <w:tc>
          <w:tcPr>
            <w:tcW w:w="4172" w:type="dxa"/>
          </w:tcPr>
          <w:p>
            <w:pPr>
              <w:pStyle w:val="TableParagraph"/>
              <w:rPr>
                <w:sz w:val="16"/>
              </w:rPr>
            </w:pPr>
            <w:r>
              <w:rPr>
                <w:w w:val="105"/>
                <w:sz w:val="16"/>
              </w:rPr>
              <w:t>УЗИ сонных артерий</w:t>
            </w:r>
          </w:p>
        </w:tc>
        <w:tc>
          <w:tcPr>
            <w:tcW w:w="4262" w:type="dxa"/>
          </w:tcPr>
          <w:p>
            <w:pPr>
              <w:pStyle w:val="TableParagraph"/>
              <w:tabs>
                <w:tab w:pos="1460" w:val="left" w:leader="none"/>
                <w:tab w:pos="3378" w:val="left" w:leader="none"/>
              </w:tabs>
              <w:spacing w:line="204" w:lineRule="auto" w:before="161"/>
              <w:ind w:left="154" w:right="144"/>
              <w:jc w:val="both"/>
              <w:rPr>
                <w:sz w:val="16"/>
              </w:rPr>
            </w:pPr>
            <w:r>
              <w:rPr>
                <w:w w:val="105"/>
                <w:sz w:val="16"/>
              </w:rPr>
              <w:t>Для</w:t>
              <w:tab/>
              <w:t>выявления</w:t>
              <w:tab/>
            </w:r>
            <w:r>
              <w:rPr>
                <w:spacing w:val="-3"/>
                <w:w w:val="105"/>
                <w:sz w:val="16"/>
              </w:rPr>
              <w:t>наличия </w:t>
            </w:r>
            <w:r>
              <w:rPr>
                <w:w w:val="105"/>
                <w:sz w:val="16"/>
              </w:rPr>
              <w:t>атеросклеротических бляшек или стенозов сонных артерий, особенно у пациентов с ЦВБ или признаками поражения сосудов других</w:t>
            </w:r>
            <w:r>
              <w:rPr>
                <w:spacing w:val="-3"/>
                <w:w w:val="105"/>
                <w:sz w:val="16"/>
              </w:rPr>
              <w:t> </w:t>
            </w:r>
            <w:r>
              <w:rPr>
                <w:w w:val="105"/>
                <w:sz w:val="16"/>
              </w:rPr>
              <w:t>локализаций</w:t>
            </w:r>
          </w:p>
        </w:tc>
      </w:tr>
    </w:tbl>
    <w:p>
      <w:pPr>
        <w:spacing w:after="0" w:line="204" w:lineRule="auto"/>
        <w:jc w:val="both"/>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72"/>
        <w:gridCol w:w="4262"/>
      </w:tblGrid>
      <w:tr>
        <w:trPr>
          <w:trHeight w:val="2606" w:hRule="atLeast"/>
        </w:trPr>
        <w:tc>
          <w:tcPr>
            <w:tcW w:w="4172" w:type="dxa"/>
          </w:tcPr>
          <w:p>
            <w:pPr>
              <w:pStyle w:val="TableParagraph"/>
              <w:tabs>
                <w:tab w:pos="2059" w:val="left" w:leader="none"/>
                <w:tab w:pos="2711" w:val="left" w:leader="none"/>
              </w:tabs>
              <w:spacing w:line="204" w:lineRule="auto" w:before="161"/>
              <w:ind w:right="139"/>
              <w:rPr>
                <w:sz w:val="16"/>
              </w:rPr>
            </w:pPr>
            <w:r>
              <w:rPr>
                <w:w w:val="105"/>
                <w:sz w:val="16"/>
              </w:rPr>
              <w:t>Ультразвуковое</w:t>
              <w:tab/>
              <w:t>и</w:t>
              <w:tab/>
            </w:r>
            <w:r>
              <w:rPr>
                <w:spacing w:val="-2"/>
                <w:sz w:val="16"/>
              </w:rPr>
              <w:t>допплеровское </w:t>
            </w:r>
            <w:r>
              <w:rPr>
                <w:w w:val="105"/>
                <w:sz w:val="16"/>
              </w:rPr>
              <w:t>исследование брюшной</w:t>
            </w:r>
            <w:r>
              <w:rPr>
                <w:spacing w:val="-9"/>
                <w:w w:val="105"/>
                <w:sz w:val="16"/>
              </w:rPr>
              <w:t> </w:t>
            </w:r>
            <w:r>
              <w:rPr>
                <w:w w:val="105"/>
                <w:sz w:val="16"/>
              </w:rPr>
              <w:t>полости</w:t>
            </w:r>
          </w:p>
        </w:tc>
        <w:tc>
          <w:tcPr>
            <w:tcW w:w="4262" w:type="dxa"/>
          </w:tcPr>
          <w:p>
            <w:pPr>
              <w:pStyle w:val="TableParagraph"/>
              <w:numPr>
                <w:ilvl w:val="0"/>
                <w:numId w:val="15"/>
              </w:numPr>
              <w:tabs>
                <w:tab w:pos="361" w:val="left" w:leader="none"/>
              </w:tabs>
              <w:spacing w:line="204" w:lineRule="auto" w:before="161" w:after="0"/>
              <w:ind w:left="154" w:right="143" w:firstLine="0"/>
              <w:jc w:val="both"/>
              <w:rPr>
                <w:sz w:val="16"/>
              </w:rPr>
            </w:pPr>
            <w:r>
              <w:rPr>
                <w:w w:val="105"/>
                <w:sz w:val="16"/>
              </w:rPr>
              <w:t>Для оценки размеров и структуры </w:t>
            </w:r>
            <w:r>
              <w:rPr>
                <w:spacing w:val="-3"/>
                <w:w w:val="105"/>
                <w:sz w:val="16"/>
              </w:rPr>
              <w:t>почек </w:t>
            </w:r>
            <w:r>
              <w:rPr>
                <w:w w:val="105"/>
                <w:sz w:val="16"/>
              </w:rPr>
              <w:t>(например, рубцовые изменения) и исключения обструктивного поражения мочевыводящих</w:t>
            </w:r>
            <w:r>
              <w:rPr>
                <w:spacing w:val="-12"/>
                <w:w w:val="105"/>
                <w:sz w:val="16"/>
              </w:rPr>
              <w:t> </w:t>
            </w:r>
            <w:r>
              <w:rPr>
                <w:w w:val="105"/>
                <w:sz w:val="16"/>
              </w:rPr>
              <w:t>путей</w:t>
            </w:r>
            <w:r>
              <w:rPr>
                <w:spacing w:val="-12"/>
                <w:w w:val="105"/>
                <w:sz w:val="16"/>
              </w:rPr>
              <w:t> </w:t>
            </w:r>
            <w:r>
              <w:rPr>
                <w:w w:val="105"/>
                <w:sz w:val="16"/>
              </w:rPr>
              <w:t>как</w:t>
            </w:r>
            <w:r>
              <w:rPr>
                <w:spacing w:val="-11"/>
                <w:w w:val="105"/>
                <w:sz w:val="16"/>
              </w:rPr>
              <w:t> </w:t>
            </w:r>
            <w:r>
              <w:rPr>
                <w:w w:val="105"/>
                <w:sz w:val="16"/>
              </w:rPr>
              <w:t>причины</w:t>
            </w:r>
            <w:r>
              <w:rPr>
                <w:spacing w:val="-12"/>
                <w:w w:val="105"/>
                <w:sz w:val="16"/>
              </w:rPr>
              <w:t> </w:t>
            </w:r>
            <w:r>
              <w:rPr>
                <w:w w:val="105"/>
                <w:sz w:val="16"/>
              </w:rPr>
              <w:t>ХБП</w:t>
            </w:r>
            <w:r>
              <w:rPr>
                <w:spacing w:val="-11"/>
                <w:w w:val="105"/>
                <w:sz w:val="16"/>
              </w:rPr>
              <w:t> </w:t>
            </w:r>
            <w:r>
              <w:rPr>
                <w:w w:val="105"/>
                <w:sz w:val="16"/>
              </w:rPr>
              <w:t>и</w:t>
            </w:r>
            <w:r>
              <w:rPr>
                <w:spacing w:val="-12"/>
                <w:w w:val="105"/>
                <w:sz w:val="16"/>
              </w:rPr>
              <w:t> </w:t>
            </w:r>
            <w:r>
              <w:rPr>
                <w:spacing w:val="-7"/>
                <w:w w:val="105"/>
                <w:sz w:val="16"/>
              </w:rPr>
              <w:t>АГ</w:t>
            </w:r>
          </w:p>
          <w:p>
            <w:pPr>
              <w:pStyle w:val="TableParagraph"/>
              <w:numPr>
                <w:ilvl w:val="0"/>
                <w:numId w:val="15"/>
              </w:numPr>
              <w:tabs>
                <w:tab w:pos="480" w:val="left" w:leader="none"/>
              </w:tabs>
              <w:spacing w:line="204" w:lineRule="auto" w:before="0" w:after="0"/>
              <w:ind w:left="154" w:right="140" w:firstLine="0"/>
              <w:jc w:val="both"/>
              <w:rPr>
                <w:sz w:val="16"/>
              </w:rPr>
            </w:pPr>
            <w:r>
              <w:rPr>
                <w:w w:val="105"/>
                <w:sz w:val="16"/>
              </w:rPr>
              <w:t>Оценить состояние брюшной </w:t>
            </w:r>
            <w:r>
              <w:rPr>
                <w:spacing w:val="-3"/>
                <w:w w:val="105"/>
                <w:sz w:val="16"/>
              </w:rPr>
              <w:t>аорты, </w:t>
            </w:r>
            <w:r>
              <w:rPr>
                <w:w w:val="105"/>
                <w:sz w:val="16"/>
              </w:rPr>
              <w:t>исключить аневризму и поражение</w:t>
            </w:r>
            <w:r>
              <w:rPr>
                <w:spacing w:val="-44"/>
                <w:w w:val="105"/>
                <w:sz w:val="16"/>
              </w:rPr>
              <w:t> </w:t>
            </w:r>
            <w:r>
              <w:rPr>
                <w:w w:val="105"/>
                <w:sz w:val="16"/>
              </w:rPr>
              <w:t>сосудов</w:t>
            </w:r>
          </w:p>
          <w:p>
            <w:pPr>
              <w:pStyle w:val="TableParagraph"/>
              <w:numPr>
                <w:ilvl w:val="0"/>
                <w:numId w:val="15"/>
              </w:numPr>
              <w:tabs>
                <w:tab w:pos="663" w:val="left" w:leader="none"/>
                <w:tab w:pos="1169" w:val="left" w:leader="none"/>
                <w:tab w:pos="2893" w:val="left" w:leader="none"/>
              </w:tabs>
              <w:spacing w:line="204" w:lineRule="auto" w:before="0" w:after="0"/>
              <w:ind w:left="154" w:right="145" w:firstLine="0"/>
              <w:jc w:val="both"/>
              <w:rPr>
                <w:sz w:val="16"/>
              </w:rPr>
            </w:pPr>
            <w:r>
              <w:rPr>
                <w:w w:val="105"/>
                <w:sz w:val="16"/>
              </w:rPr>
              <w:t>Обследовать надпочечники </w:t>
            </w:r>
            <w:r>
              <w:rPr>
                <w:spacing w:val="-6"/>
                <w:w w:val="105"/>
                <w:sz w:val="16"/>
              </w:rPr>
              <w:t>для </w:t>
            </w:r>
            <w:r>
              <w:rPr>
                <w:w w:val="105"/>
                <w:sz w:val="16"/>
              </w:rPr>
              <w:t>исключения аденомы или феохромоцитомы (для</w:t>
              <w:tab/>
              <w:t>тщательного</w:t>
              <w:tab/>
            </w:r>
            <w:r>
              <w:rPr>
                <w:spacing w:val="-2"/>
                <w:sz w:val="16"/>
              </w:rPr>
              <w:t>обследования </w:t>
            </w:r>
            <w:r>
              <w:rPr>
                <w:w w:val="105"/>
                <w:sz w:val="16"/>
              </w:rPr>
              <w:t>предпочтительно выполнить КТ или</w:t>
            </w:r>
            <w:r>
              <w:rPr>
                <w:spacing w:val="-35"/>
                <w:w w:val="105"/>
                <w:sz w:val="16"/>
              </w:rPr>
              <w:t> </w:t>
            </w:r>
            <w:r>
              <w:rPr>
                <w:w w:val="105"/>
                <w:sz w:val="16"/>
              </w:rPr>
              <w:t>МРТ);</w:t>
            </w:r>
          </w:p>
          <w:p>
            <w:pPr>
              <w:pStyle w:val="TableParagraph"/>
              <w:numPr>
                <w:ilvl w:val="0"/>
                <w:numId w:val="15"/>
              </w:numPr>
              <w:tabs>
                <w:tab w:pos="423" w:val="left" w:leader="none"/>
              </w:tabs>
              <w:spacing w:line="204" w:lineRule="auto" w:before="0" w:after="0"/>
              <w:ind w:left="154" w:right="141" w:firstLine="0"/>
              <w:jc w:val="both"/>
              <w:rPr>
                <w:sz w:val="16"/>
              </w:rPr>
            </w:pPr>
            <w:r>
              <w:rPr>
                <w:w w:val="105"/>
                <w:sz w:val="16"/>
              </w:rPr>
              <w:t>Допплеровское исследование почечных артерий для исключения реноваскулярных заболеваний, особенно при выявлении асимметрии размеров</w:t>
            </w:r>
            <w:r>
              <w:rPr>
                <w:spacing w:val="-7"/>
                <w:w w:val="105"/>
                <w:sz w:val="16"/>
              </w:rPr>
              <w:t> </w:t>
            </w:r>
            <w:r>
              <w:rPr>
                <w:w w:val="105"/>
                <w:sz w:val="16"/>
              </w:rPr>
              <w:t>почек</w:t>
            </w:r>
          </w:p>
        </w:tc>
      </w:tr>
      <w:tr>
        <w:trPr>
          <w:trHeight w:val="625" w:hRule="atLeast"/>
        </w:trPr>
        <w:tc>
          <w:tcPr>
            <w:tcW w:w="4172" w:type="dxa"/>
          </w:tcPr>
          <w:p>
            <w:pPr>
              <w:pStyle w:val="TableParagraph"/>
              <w:rPr>
                <w:sz w:val="16"/>
              </w:rPr>
            </w:pPr>
            <w:r>
              <w:rPr>
                <w:w w:val="105"/>
                <w:sz w:val="16"/>
              </w:rPr>
              <w:t>СПВ</w:t>
            </w:r>
          </w:p>
        </w:tc>
        <w:tc>
          <w:tcPr>
            <w:tcW w:w="4262" w:type="dxa"/>
          </w:tcPr>
          <w:p>
            <w:pPr>
              <w:pStyle w:val="TableParagraph"/>
              <w:tabs>
                <w:tab w:pos="1466" w:val="left" w:leader="none"/>
                <w:tab w:pos="2785" w:val="left" w:leader="none"/>
                <w:tab w:pos="3987" w:val="left" w:leader="none"/>
              </w:tabs>
              <w:spacing w:line="204" w:lineRule="auto" w:before="161"/>
              <w:ind w:left="154" w:right="146"/>
              <w:rPr>
                <w:sz w:val="16"/>
              </w:rPr>
            </w:pPr>
            <w:r>
              <w:rPr>
                <w:w w:val="105"/>
                <w:sz w:val="16"/>
              </w:rPr>
              <w:t>Показатель</w:t>
              <w:tab/>
              <w:t>аортальной</w:t>
              <w:tab/>
              <w:t>жесткости</w:t>
              <w:tab/>
            </w:r>
            <w:r>
              <w:rPr>
                <w:spacing w:val="-17"/>
                <w:w w:val="105"/>
                <w:sz w:val="16"/>
              </w:rPr>
              <w:t>и </w:t>
            </w:r>
            <w:r>
              <w:rPr>
                <w:w w:val="105"/>
                <w:sz w:val="16"/>
              </w:rPr>
              <w:t>артериосклероза</w:t>
            </w:r>
          </w:p>
        </w:tc>
      </w:tr>
      <w:tr>
        <w:trPr>
          <w:trHeight w:val="625" w:hRule="atLeast"/>
        </w:trPr>
        <w:tc>
          <w:tcPr>
            <w:tcW w:w="4172" w:type="dxa"/>
          </w:tcPr>
          <w:p>
            <w:pPr>
              <w:pStyle w:val="TableParagraph"/>
              <w:rPr>
                <w:sz w:val="16"/>
              </w:rPr>
            </w:pPr>
            <w:r>
              <w:rPr>
                <w:w w:val="105"/>
                <w:sz w:val="16"/>
              </w:rPr>
              <w:t>ЛПИ</w:t>
            </w:r>
          </w:p>
        </w:tc>
        <w:tc>
          <w:tcPr>
            <w:tcW w:w="4262" w:type="dxa"/>
          </w:tcPr>
          <w:p>
            <w:pPr>
              <w:pStyle w:val="TableParagraph"/>
              <w:tabs>
                <w:tab w:pos="1178" w:val="left" w:leader="none"/>
                <w:tab w:pos="1690" w:val="left" w:leader="none"/>
                <w:tab w:pos="2835" w:val="left" w:leader="none"/>
              </w:tabs>
              <w:spacing w:line="204" w:lineRule="auto" w:before="161"/>
              <w:ind w:left="154" w:right="146"/>
              <w:rPr>
                <w:sz w:val="16"/>
              </w:rPr>
            </w:pPr>
            <w:r>
              <w:rPr>
                <w:w w:val="105"/>
                <w:sz w:val="16"/>
              </w:rPr>
              <w:t>Скрининг</w:t>
              <w:tab/>
              <w:t>для</w:t>
              <w:tab/>
              <w:t>выявления</w:t>
              <w:tab/>
            </w:r>
            <w:r>
              <w:rPr>
                <w:spacing w:val="-2"/>
                <w:w w:val="105"/>
                <w:sz w:val="16"/>
              </w:rPr>
              <w:t>атеросклероза </w:t>
            </w:r>
            <w:r>
              <w:rPr>
                <w:w w:val="105"/>
                <w:sz w:val="16"/>
              </w:rPr>
              <w:t>нижних</w:t>
            </w:r>
            <w:r>
              <w:rPr>
                <w:spacing w:val="-3"/>
                <w:w w:val="105"/>
                <w:sz w:val="16"/>
              </w:rPr>
              <w:t> </w:t>
            </w:r>
            <w:r>
              <w:rPr>
                <w:w w:val="105"/>
                <w:sz w:val="16"/>
              </w:rPr>
              <w:t>конечностей</w:t>
            </w:r>
          </w:p>
        </w:tc>
      </w:tr>
      <w:tr>
        <w:trPr>
          <w:trHeight w:val="625" w:hRule="atLeast"/>
        </w:trPr>
        <w:tc>
          <w:tcPr>
            <w:tcW w:w="4172" w:type="dxa"/>
          </w:tcPr>
          <w:p>
            <w:pPr>
              <w:pStyle w:val="TableParagraph"/>
              <w:rPr>
                <w:sz w:val="16"/>
              </w:rPr>
            </w:pPr>
            <w:r>
              <w:rPr>
                <w:w w:val="105"/>
                <w:sz w:val="16"/>
              </w:rPr>
              <w:t>Оценка когнитивных функций</w:t>
            </w:r>
          </w:p>
        </w:tc>
        <w:tc>
          <w:tcPr>
            <w:tcW w:w="4262" w:type="dxa"/>
          </w:tcPr>
          <w:p>
            <w:pPr>
              <w:pStyle w:val="TableParagraph"/>
              <w:spacing w:line="204" w:lineRule="auto" w:before="161"/>
              <w:ind w:left="154" w:right="77"/>
              <w:rPr>
                <w:sz w:val="16"/>
              </w:rPr>
            </w:pPr>
            <w:r>
              <w:rPr>
                <w:w w:val="105"/>
                <w:sz w:val="16"/>
              </w:rPr>
              <w:t>Для оценки когнитивных функций у больных с признаками их нарушений</w:t>
            </w:r>
          </w:p>
        </w:tc>
      </w:tr>
      <w:tr>
        <w:trPr>
          <w:trHeight w:val="1120" w:hRule="atLeast"/>
        </w:trPr>
        <w:tc>
          <w:tcPr>
            <w:tcW w:w="4172" w:type="dxa"/>
          </w:tcPr>
          <w:p>
            <w:pPr>
              <w:pStyle w:val="TableParagraph"/>
              <w:rPr>
                <w:sz w:val="16"/>
              </w:rPr>
            </w:pPr>
            <w:r>
              <w:rPr>
                <w:w w:val="105"/>
                <w:sz w:val="16"/>
              </w:rPr>
              <w:t>Визуализация головного мозга</w:t>
            </w:r>
          </w:p>
        </w:tc>
        <w:tc>
          <w:tcPr>
            <w:tcW w:w="4262" w:type="dxa"/>
          </w:tcPr>
          <w:p>
            <w:pPr>
              <w:pStyle w:val="TableParagraph"/>
              <w:spacing w:line="204" w:lineRule="auto" w:before="161"/>
              <w:ind w:left="154" w:right="142"/>
              <w:jc w:val="both"/>
              <w:rPr>
                <w:sz w:val="16"/>
              </w:rPr>
            </w:pPr>
            <w:r>
              <w:rPr>
                <w:w w:val="105"/>
                <w:sz w:val="16"/>
              </w:rPr>
              <w:t>Для оценки наличия ишемического или геморрагического повреждения головного мозга, особенно у пациентов с ЦВБ в анамнезе или признаками ухудшения когнитивных функций</w:t>
            </w:r>
          </w:p>
        </w:tc>
      </w:tr>
    </w:tbl>
    <w:p>
      <w:pPr>
        <w:pStyle w:val="BodyText"/>
        <w:spacing w:line="256" w:lineRule="auto" w:before="16"/>
        <w:ind w:left="380" w:right="128"/>
      </w:pPr>
      <w:r>
        <w:rPr/>
        <w:t>Сокращения: АГ — артериальная гипертензия, </w:t>
      </w:r>
      <w:r>
        <w:rPr>
          <w:spacing w:val="-3"/>
        </w:rPr>
        <w:t>ГЛЖ </w:t>
      </w:r>
      <w:r>
        <w:rPr/>
        <w:t>— гипертрофия левого </w:t>
      </w:r>
      <w:r>
        <w:rPr>
          <w:spacing w:val="-3"/>
        </w:rPr>
        <w:t>желудочка, </w:t>
      </w:r>
      <w:r>
        <w:rPr/>
        <w:t>КТ — компьютерная</w:t>
      </w:r>
      <w:r>
        <w:rPr>
          <w:spacing w:val="-25"/>
        </w:rPr>
        <w:t> </w:t>
      </w:r>
      <w:r>
        <w:rPr/>
        <w:t>томография, ЛПИ — лодыжечно-плечевой индекс, МВП — мочевыводящие пути, МРТ — магнитно-резонансная томография, ПООГ — поражение органов-мишеней, опосредованное гипертензией, </w:t>
      </w:r>
      <w:r>
        <w:rPr>
          <w:spacing w:val="-3"/>
        </w:rPr>
        <w:t>СКФ </w:t>
      </w:r>
      <w:r>
        <w:rPr/>
        <w:t>— скорость клубочковой фильтрации, СПВ — скорость пульсовой волны, ХБП — хроническая болезнь почек, ЦВБ — цереброваскулярная болезнь, ЭКГ —</w:t>
      </w:r>
      <w:r>
        <w:rPr>
          <w:spacing w:val="-31"/>
        </w:rPr>
        <w:t> </w:t>
      </w:r>
      <w:r>
        <w:rPr/>
        <w:t>электрокардиограмма.</w:t>
      </w:r>
    </w:p>
    <w:p>
      <w:pPr>
        <w:pStyle w:val="BodyText"/>
        <w:spacing w:before="0"/>
        <w:ind w:left="0"/>
        <w:jc w:val="left"/>
        <w:rPr>
          <w:sz w:val="36"/>
        </w:rPr>
      </w:pPr>
    </w:p>
    <w:p>
      <w:pPr>
        <w:pStyle w:val="BodyText"/>
        <w:spacing w:before="3"/>
        <w:ind w:left="0"/>
        <w:jc w:val="left"/>
        <w:rPr>
          <w:sz w:val="33"/>
        </w:rPr>
      </w:pPr>
    </w:p>
    <w:p>
      <w:pPr>
        <w:pStyle w:val="Heading3"/>
        <w:spacing w:line="256" w:lineRule="auto" w:before="0"/>
        <w:ind w:left="380" w:right="128"/>
        <w:jc w:val="both"/>
      </w:pPr>
      <w:r>
        <w:rPr/>
        <w:t>Таблица П6/Г2. Эхокардиографические критерии гипертрофии левого желудочка, концентрического ремоделирования, размеров полости левого желудочка и дилатации левого предсердия</w:t>
      </w:r>
    </w:p>
    <w:p>
      <w:pPr>
        <w:pStyle w:val="BodyText"/>
        <w:spacing w:before="12"/>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46"/>
        <w:gridCol w:w="3001"/>
        <w:gridCol w:w="2386"/>
      </w:tblGrid>
      <w:tr>
        <w:trPr>
          <w:trHeight w:val="460" w:hRule="atLeast"/>
        </w:trPr>
        <w:tc>
          <w:tcPr>
            <w:tcW w:w="3046" w:type="dxa"/>
          </w:tcPr>
          <w:p>
            <w:pPr>
              <w:pStyle w:val="TableParagraph"/>
              <w:rPr>
                <w:sz w:val="16"/>
              </w:rPr>
            </w:pPr>
            <w:r>
              <w:rPr>
                <w:w w:val="105"/>
                <w:sz w:val="16"/>
              </w:rPr>
              <w:t>Параметр</w:t>
            </w:r>
          </w:p>
        </w:tc>
        <w:tc>
          <w:tcPr>
            <w:tcW w:w="3001" w:type="dxa"/>
          </w:tcPr>
          <w:p>
            <w:pPr>
              <w:pStyle w:val="TableParagraph"/>
              <w:rPr>
                <w:sz w:val="16"/>
              </w:rPr>
            </w:pPr>
            <w:r>
              <w:rPr>
                <w:w w:val="105"/>
                <w:sz w:val="16"/>
              </w:rPr>
              <w:t>Расчет</w:t>
            </w:r>
          </w:p>
        </w:tc>
        <w:tc>
          <w:tcPr>
            <w:tcW w:w="2386" w:type="dxa"/>
          </w:tcPr>
          <w:p>
            <w:pPr>
              <w:pStyle w:val="TableParagraph"/>
              <w:rPr>
                <w:sz w:val="16"/>
              </w:rPr>
            </w:pPr>
            <w:r>
              <w:rPr>
                <w:w w:val="105"/>
                <w:sz w:val="16"/>
              </w:rPr>
              <w:t>Пороговое значение</w:t>
            </w:r>
          </w:p>
        </w:tc>
      </w:tr>
      <w:tr>
        <w:trPr>
          <w:trHeight w:val="625" w:hRule="atLeast"/>
        </w:trPr>
        <w:tc>
          <w:tcPr>
            <w:tcW w:w="3046" w:type="dxa"/>
          </w:tcPr>
          <w:p>
            <w:pPr>
              <w:pStyle w:val="TableParagraph"/>
              <w:rPr>
                <w:sz w:val="16"/>
              </w:rPr>
            </w:pPr>
            <w:r>
              <w:rPr>
                <w:w w:val="105"/>
                <w:sz w:val="16"/>
              </w:rPr>
              <w:t>ГЛЖ</w:t>
            </w:r>
          </w:p>
        </w:tc>
        <w:tc>
          <w:tcPr>
            <w:tcW w:w="3001" w:type="dxa"/>
          </w:tcPr>
          <w:p>
            <w:pPr>
              <w:pStyle w:val="TableParagraph"/>
              <w:spacing w:before="56"/>
              <w:rPr>
                <w:sz w:val="16"/>
              </w:rPr>
            </w:pPr>
            <w:r>
              <w:rPr>
                <w:w w:val="105"/>
                <w:sz w:val="16"/>
              </w:rPr>
              <w:t>Масса ЛЖ/рост</w:t>
            </w:r>
            <w:r>
              <w:rPr>
                <w:w w:val="105"/>
                <w:position w:val="8"/>
                <w:sz w:val="16"/>
              </w:rPr>
              <w:t>2,7 </w:t>
            </w:r>
            <w:r>
              <w:rPr>
                <w:w w:val="105"/>
                <w:sz w:val="16"/>
              </w:rPr>
              <w:t>(г/м</w:t>
            </w:r>
            <w:r>
              <w:rPr>
                <w:w w:val="105"/>
                <w:position w:val="8"/>
                <w:sz w:val="16"/>
              </w:rPr>
              <w:t>2,7</w:t>
            </w:r>
            <w:r>
              <w:rPr>
                <w:w w:val="105"/>
                <w:sz w:val="16"/>
              </w:rPr>
              <w:t>)</w:t>
            </w:r>
          </w:p>
        </w:tc>
        <w:tc>
          <w:tcPr>
            <w:tcW w:w="2386" w:type="dxa"/>
          </w:tcPr>
          <w:p>
            <w:pPr>
              <w:pStyle w:val="TableParagraph"/>
              <w:spacing w:line="180" w:lineRule="exact"/>
              <w:rPr>
                <w:sz w:val="16"/>
              </w:rPr>
            </w:pPr>
            <w:r>
              <w:rPr>
                <w:w w:val="105"/>
                <w:sz w:val="16"/>
              </w:rPr>
              <w:t>&gt;50</w:t>
            </w:r>
            <w:r>
              <w:rPr>
                <w:spacing w:val="-25"/>
                <w:w w:val="105"/>
                <w:sz w:val="16"/>
              </w:rPr>
              <w:t> </w:t>
            </w:r>
            <w:r>
              <w:rPr>
                <w:w w:val="105"/>
                <w:sz w:val="16"/>
              </w:rPr>
              <w:t>(мужчины)</w:t>
            </w:r>
          </w:p>
          <w:p>
            <w:pPr>
              <w:pStyle w:val="TableParagraph"/>
              <w:spacing w:line="180" w:lineRule="exact" w:before="0"/>
              <w:rPr>
                <w:sz w:val="16"/>
              </w:rPr>
            </w:pPr>
            <w:r>
              <w:rPr>
                <w:w w:val="105"/>
                <w:sz w:val="16"/>
              </w:rPr>
              <w:t>&gt;47</w:t>
            </w:r>
            <w:r>
              <w:rPr>
                <w:spacing w:val="-26"/>
                <w:w w:val="105"/>
                <w:sz w:val="16"/>
              </w:rPr>
              <w:t> </w:t>
            </w:r>
            <w:r>
              <w:rPr>
                <w:w w:val="105"/>
                <w:sz w:val="16"/>
              </w:rPr>
              <w:t>(женщины)</w:t>
            </w:r>
          </w:p>
        </w:tc>
      </w:tr>
      <w:tr>
        <w:trPr>
          <w:trHeight w:val="625" w:hRule="atLeast"/>
        </w:trPr>
        <w:tc>
          <w:tcPr>
            <w:tcW w:w="3046" w:type="dxa"/>
          </w:tcPr>
          <w:p>
            <w:pPr>
              <w:pStyle w:val="TableParagraph"/>
              <w:rPr>
                <w:sz w:val="16"/>
              </w:rPr>
            </w:pPr>
            <w:r>
              <w:rPr>
                <w:w w:val="105"/>
                <w:sz w:val="16"/>
              </w:rPr>
              <w:t>ГЛЖ</w:t>
            </w:r>
          </w:p>
        </w:tc>
        <w:tc>
          <w:tcPr>
            <w:tcW w:w="3001" w:type="dxa"/>
          </w:tcPr>
          <w:p>
            <w:pPr>
              <w:pStyle w:val="TableParagraph"/>
              <w:spacing w:before="56"/>
              <w:rPr>
                <w:sz w:val="16"/>
              </w:rPr>
            </w:pPr>
            <w:r>
              <w:rPr>
                <w:w w:val="105"/>
                <w:sz w:val="16"/>
              </w:rPr>
              <w:t>Масса ЛЖ/ППТ (г/м</w:t>
            </w:r>
            <w:r>
              <w:rPr>
                <w:w w:val="105"/>
                <w:position w:val="8"/>
                <w:sz w:val="16"/>
              </w:rPr>
              <w:t>2</w:t>
            </w:r>
            <w:r>
              <w:rPr>
                <w:w w:val="105"/>
                <w:sz w:val="16"/>
              </w:rPr>
              <w:t>)</w:t>
            </w:r>
          </w:p>
        </w:tc>
        <w:tc>
          <w:tcPr>
            <w:tcW w:w="2386" w:type="dxa"/>
          </w:tcPr>
          <w:p>
            <w:pPr>
              <w:pStyle w:val="TableParagraph"/>
              <w:spacing w:line="180" w:lineRule="exact"/>
              <w:rPr>
                <w:sz w:val="16"/>
              </w:rPr>
            </w:pPr>
            <w:r>
              <w:rPr>
                <w:w w:val="105"/>
                <w:sz w:val="16"/>
              </w:rPr>
              <w:t>&gt;115 (мужчины)</w:t>
            </w:r>
          </w:p>
          <w:p>
            <w:pPr>
              <w:pStyle w:val="TableParagraph"/>
              <w:spacing w:line="180" w:lineRule="exact" w:before="0"/>
              <w:rPr>
                <w:sz w:val="16"/>
              </w:rPr>
            </w:pPr>
            <w:r>
              <w:rPr>
                <w:w w:val="105"/>
                <w:sz w:val="16"/>
              </w:rPr>
              <w:t>&gt;95 (женщины)</w:t>
            </w:r>
          </w:p>
        </w:tc>
      </w:tr>
      <w:tr>
        <w:trPr>
          <w:trHeight w:val="625" w:hRule="atLeast"/>
        </w:trPr>
        <w:tc>
          <w:tcPr>
            <w:tcW w:w="3046" w:type="dxa"/>
          </w:tcPr>
          <w:p>
            <w:pPr>
              <w:pStyle w:val="TableParagraph"/>
              <w:spacing w:line="204" w:lineRule="auto" w:before="161"/>
              <w:rPr>
                <w:sz w:val="16"/>
              </w:rPr>
            </w:pPr>
            <w:r>
              <w:rPr>
                <w:w w:val="105"/>
                <w:sz w:val="16"/>
              </w:rPr>
              <w:t>Концентрическое ремоделирование ЛЖ</w:t>
            </w:r>
          </w:p>
        </w:tc>
        <w:tc>
          <w:tcPr>
            <w:tcW w:w="3001" w:type="dxa"/>
          </w:tcPr>
          <w:p>
            <w:pPr>
              <w:pStyle w:val="TableParagraph"/>
              <w:rPr>
                <w:sz w:val="16"/>
              </w:rPr>
            </w:pPr>
            <w:r>
              <w:rPr>
                <w:w w:val="105"/>
                <w:sz w:val="16"/>
              </w:rPr>
              <w:t>ОТС</w:t>
            </w:r>
          </w:p>
        </w:tc>
        <w:tc>
          <w:tcPr>
            <w:tcW w:w="2386" w:type="dxa"/>
          </w:tcPr>
          <w:p>
            <w:pPr>
              <w:pStyle w:val="TableParagraph"/>
              <w:rPr>
                <w:sz w:val="16"/>
              </w:rPr>
            </w:pPr>
            <w:r>
              <w:rPr>
                <w:w w:val="105"/>
                <w:sz w:val="16"/>
              </w:rPr>
              <w:t>≥0,43</w:t>
            </w:r>
          </w:p>
        </w:tc>
      </w:tr>
      <w:tr>
        <w:trPr>
          <w:trHeight w:val="625" w:hRule="atLeast"/>
        </w:trPr>
        <w:tc>
          <w:tcPr>
            <w:tcW w:w="3046" w:type="dxa"/>
          </w:tcPr>
          <w:p>
            <w:pPr>
              <w:pStyle w:val="TableParagraph"/>
              <w:rPr>
                <w:sz w:val="16"/>
              </w:rPr>
            </w:pPr>
            <w:r>
              <w:rPr>
                <w:w w:val="105"/>
                <w:sz w:val="16"/>
              </w:rPr>
              <w:t>Размер полости ЛЖ</w:t>
            </w:r>
          </w:p>
        </w:tc>
        <w:tc>
          <w:tcPr>
            <w:tcW w:w="3001" w:type="dxa"/>
          </w:tcPr>
          <w:p>
            <w:pPr>
              <w:pStyle w:val="TableParagraph"/>
              <w:rPr>
                <w:sz w:val="16"/>
              </w:rPr>
            </w:pPr>
            <w:r>
              <w:rPr>
                <w:w w:val="105"/>
                <w:sz w:val="16"/>
              </w:rPr>
              <w:t>КДД ЛЖ/рост (см/м)</w:t>
            </w:r>
          </w:p>
        </w:tc>
        <w:tc>
          <w:tcPr>
            <w:tcW w:w="2386" w:type="dxa"/>
          </w:tcPr>
          <w:p>
            <w:pPr>
              <w:pStyle w:val="TableParagraph"/>
              <w:spacing w:line="180" w:lineRule="exact"/>
              <w:rPr>
                <w:sz w:val="16"/>
              </w:rPr>
            </w:pPr>
            <w:r>
              <w:rPr>
                <w:w w:val="105"/>
                <w:sz w:val="16"/>
              </w:rPr>
              <w:t>&gt;3,4</w:t>
            </w:r>
            <w:r>
              <w:rPr>
                <w:spacing w:val="-26"/>
                <w:w w:val="105"/>
                <w:sz w:val="16"/>
              </w:rPr>
              <w:t> </w:t>
            </w:r>
            <w:r>
              <w:rPr>
                <w:w w:val="105"/>
                <w:sz w:val="16"/>
              </w:rPr>
              <w:t>(мужчины)</w:t>
            </w:r>
          </w:p>
          <w:p>
            <w:pPr>
              <w:pStyle w:val="TableParagraph"/>
              <w:spacing w:line="180" w:lineRule="exact" w:before="0"/>
              <w:rPr>
                <w:sz w:val="16"/>
              </w:rPr>
            </w:pPr>
            <w:r>
              <w:rPr>
                <w:w w:val="105"/>
                <w:sz w:val="16"/>
              </w:rPr>
              <w:t>&gt;3,3</w:t>
            </w:r>
            <w:r>
              <w:rPr>
                <w:spacing w:val="-27"/>
                <w:w w:val="105"/>
                <w:sz w:val="16"/>
              </w:rPr>
              <w:t> </w:t>
            </w:r>
            <w:r>
              <w:rPr>
                <w:w w:val="105"/>
                <w:sz w:val="16"/>
              </w:rPr>
              <w:t>(женщины)</w:t>
            </w:r>
          </w:p>
        </w:tc>
      </w:tr>
      <w:tr>
        <w:trPr>
          <w:trHeight w:val="625" w:hRule="atLeast"/>
        </w:trPr>
        <w:tc>
          <w:tcPr>
            <w:tcW w:w="3046" w:type="dxa"/>
          </w:tcPr>
          <w:p>
            <w:pPr>
              <w:pStyle w:val="TableParagraph"/>
              <w:rPr>
                <w:sz w:val="16"/>
              </w:rPr>
            </w:pPr>
            <w:r>
              <w:rPr>
                <w:w w:val="105"/>
                <w:sz w:val="16"/>
              </w:rPr>
              <w:t>Размер левого предсердия</w:t>
            </w:r>
          </w:p>
        </w:tc>
        <w:tc>
          <w:tcPr>
            <w:tcW w:w="3001" w:type="dxa"/>
          </w:tcPr>
          <w:p>
            <w:pPr>
              <w:pStyle w:val="TableParagraph"/>
              <w:spacing w:before="56"/>
              <w:rPr>
                <w:sz w:val="16"/>
              </w:rPr>
            </w:pPr>
            <w:r>
              <w:rPr>
                <w:w w:val="105"/>
                <w:sz w:val="16"/>
              </w:rPr>
              <w:t>Объем ЛП/рост</w:t>
            </w:r>
            <w:r>
              <w:rPr>
                <w:w w:val="105"/>
                <w:position w:val="8"/>
                <w:sz w:val="16"/>
              </w:rPr>
              <w:t>2 </w:t>
            </w:r>
            <w:r>
              <w:rPr>
                <w:w w:val="105"/>
                <w:sz w:val="16"/>
              </w:rPr>
              <w:t>(мл/м</w:t>
            </w:r>
            <w:r>
              <w:rPr>
                <w:w w:val="105"/>
                <w:position w:val="8"/>
                <w:sz w:val="16"/>
              </w:rPr>
              <w:t>2</w:t>
            </w:r>
            <w:r>
              <w:rPr>
                <w:w w:val="105"/>
                <w:sz w:val="16"/>
              </w:rPr>
              <w:t>)</w:t>
            </w:r>
          </w:p>
        </w:tc>
        <w:tc>
          <w:tcPr>
            <w:tcW w:w="2386" w:type="dxa"/>
          </w:tcPr>
          <w:p>
            <w:pPr>
              <w:pStyle w:val="TableParagraph"/>
              <w:spacing w:line="180" w:lineRule="exact"/>
              <w:rPr>
                <w:sz w:val="16"/>
              </w:rPr>
            </w:pPr>
            <w:r>
              <w:rPr>
                <w:w w:val="105"/>
                <w:sz w:val="16"/>
              </w:rPr>
              <w:t>&gt;18,5</w:t>
            </w:r>
            <w:r>
              <w:rPr>
                <w:spacing w:val="-28"/>
                <w:w w:val="105"/>
                <w:sz w:val="16"/>
              </w:rPr>
              <w:t> </w:t>
            </w:r>
            <w:r>
              <w:rPr>
                <w:w w:val="105"/>
                <w:sz w:val="16"/>
              </w:rPr>
              <w:t>(мужчины)</w:t>
            </w:r>
          </w:p>
          <w:p>
            <w:pPr>
              <w:pStyle w:val="TableParagraph"/>
              <w:spacing w:line="180" w:lineRule="exact" w:before="0"/>
              <w:rPr>
                <w:sz w:val="16"/>
              </w:rPr>
            </w:pPr>
            <w:r>
              <w:rPr>
                <w:w w:val="105"/>
                <w:sz w:val="16"/>
              </w:rPr>
              <w:t>&gt;16,5</w:t>
            </w:r>
            <w:r>
              <w:rPr>
                <w:spacing w:val="-29"/>
                <w:w w:val="105"/>
                <w:sz w:val="16"/>
              </w:rPr>
              <w:t> </w:t>
            </w:r>
            <w:r>
              <w:rPr>
                <w:w w:val="105"/>
                <w:sz w:val="16"/>
              </w:rPr>
              <w:t>(женщины)</w:t>
            </w:r>
          </w:p>
        </w:tc>
      </w:tr>
    </w:tbl>
    <w:p>
      <w:pPr>
        <w:pStyle w:val="BodyText"/>
        <w:spacing w:line="256" w:lineRule="auto" w:before="16"/>
        <w:ind w:left="380" w:right="129"/>
      </w:pPr>
      <w:r>
        <w:rPr/>
        <w:t>ГЛЖ — гипертрофия левого желудочка, ЛЖ — левый желудочек, ЛП — левое предсердие, ОТС — относительная толщина стенок, ПТТ — площадь поверхности тела.</w:t>
      </w:r>
    </w:p>
    <w:p>
      <w:pPr>
        <w:spacing w:after="0" w:line="256" w:lineRule="auto"/>
        <w:sectPr>
          <w:pgSz w:w="11900" w:h="16840"/>
          <w:pgMar w:top="0" w:bottom="0" w:left="1420" w:right="1520"/>
        </w:sectPr>
      </w:pPr>
    </w:p>
    <w:p>
      <w:pPr>
        <w:pStyle w:val="Heading3"/>
        <w:tabs>
          <w:tab w:pos="1757" w:val="left" w:leader="none"/>
          <w:tab w:pos="2819" w:val="left" w:leader="none"/>
          <w:tab w:pos="4871" w:val="left" w:leader="none"/>
          <w:tab w:pos="6555" w:val="left" w:leader="none"/>
          <w:tab w:pos="7273" w:val="left" w:leader="none"/>
        </w:tabs>
        <w:spacing w:line="256" w:lineRule="auto" w:before="16"/>
        <w:ind w:left="380" w:right="140"/>
      </w:pPr>
      <w:r>
        <w:rPr/>
        <w:pict>
          <v:shape style="position:absolute;margin-left:90.037003pt;margin-top:841.854004pt;width:422.45pt;height:.1pt;mso-position-horizontal-relative:page;mso-position-vertical-relative:page;z-index:15933440" coordorigin="1801,16837" coordsize="8449,1" path="m10249,16837l10249,16837,1801,16837,1801,16837,10249,16837xe" filled="true" fillcolor="#000000" stroked="false">
            <v:path arrowok="t"/>
            <v:fill type="solid"/>
            <w10:wrap type="none"/>
          </v:shape>
        </w:pict>
      </w:r>
      <w:r>
        <w:rPr/>
        <w:pict>
          <v:shape style="position:absolute;margin-left:103.543495pt;margin-top:86.252159pt;width:3.05pt;height:3.05pt;mso-position-horizontal-relative:page;mso-position-vertical-relative:paragraph;z-index:-18174976" coordorigin="2071,1725" coordsize="61,61" path="m2101,1785l2093,1785,2086,1782,2074,1770,2071,1763,2071,1747,2074,1740,2086,1728,2093,1725,2109,1725,2116,1728,2128,1740,2131,1747,2131,1755,2131,1763,2128,1770,2116,1782,2109,1785,2101,1785xe" filled="true" fillcolor="#000000" stroked="false">
            <v:path arrowok="t"/>
            <v:fill type="solid"/>
            <w10:wrap type="none"/>
          </v:shape>
        </w:pict>
      </w:r>
      <w:r>
        <w:rPr/>
        <w:pict>
          <v:shape style="position:absolute;margin-left:103.543495pt;margin-top:125.268555pt;width:3.05pt;height:3.05pt;mso-position-horizontal-relative:page;mso-position-vertical-relative:paragraph;z-index:-18174464" coordorigin="2071,2505" coordsize="61,61" path="m2101,2565l2093,2565,2086,2562,2074,2551,2071,2544,2071,2527,2074,2520,2086,2508,2093,2505,2109,2505,2116,2508,2128,2520,2131,2527,2131,2535,2131,2544,2128,2551,2116,2562,2109,2565,2101,2565xe" filled="true" fillcolor="#000000" stroked="false">
            <v:path arrowok="t"/>
            <v:fill type="solid"/>
            <w10:wrap type="none"/>
          </v:shape>
        </w:pict>
      </w:r>
      <w:r>
        <w:rPr/>
        <w:pict>
          <v:shape style="position:absolute;margin-left:103.543495pt;margin-top:196.548508pt;width:3.05pt;height:3.05pt;mso-position-horizontal-relative:page;mso-position-vertical-relative:paragraph;z-index:-18173952" coordorigin="2071,3931" coordsize="61,61" path="m2109,3991l2093,3991,2086,3988,2074,3976,2071,3969,2071,3953,2074,3946,2086,3934,2093,3931,2109,3931,2116,3934,2128,3946,2131,3953,2131,3961,2131,3969,2128,3976,2116,3988,2109,3991xe" filled="true" fillcolor="#000000" stroked="false">
            <v:path arrowok="t"/>
            <v:fill type="solid"/>
            <w10:wrap type="none"/>
          </v:shape>
        </w:pict>
      </w:r>
      <w:r>
        <w:rPr/>
        <w:pict>
          <v:shape style="position:absolute;margin-left:103.543495pt;margin-top:216.056702pt;width:3.05pt;height:3.05pt;mso-position-horizontal-relative:page;mso-position-vertical-relative:paragraph;z-index:-18173440" coordorigin="2071,4321" coordsize="61,61" path="m2109,4381l2093,4381,2086,4378,2074,4366,2071,4359,2071,4343,2074,4335,2080,4330,2086,4324,2093,4321,2109,4321,2131,4351,2131,4359,2128,4366,2116,4378,2109,4381xe" filled="true" fillcolor="#000000" stroked="false">
            <v:path arrowok="t"/>
            <v:fill type="solid"/>
            <w10:wrap type="none"/>
          </v:shape>
        </w:pict>
      </w:r>
      <w:r>
        <w:rPr>
          <w:spacing w:val="-3"/>
        </w:rPr>
        <w:t>Таблица</w:t>
        <w:tab/>
      </w:r>
      <w:r>
        <w:rPr/>
        <w:t>П7/Г2.</w:t>
        <w:tab/>
        <w:t>Клинические</w:t>
        <w:tab/>
        <w:t>показания</w:t>
        <w:tab/>
        <w:t>для</w:t>
        <w:tab/>
      </w:r>
      <w:r>
        <w:rPr>
          <w:spacing w:val="-3"/>
        </w:rPr>
        <w:t>домашнего </w:t>
      </w:r>
      <w:r>
        <w:rPr/>
        <w:t>(ДМАД) и суточного мониторирования АД</w:t>
      </w:r>
      <w:r>
        <w:rPr>
          <w:spacing w:val="-10"/>
        </w:rPr>
        <w:t> </w:t>
      </w:r>
      <w:r>
        <w:rPr/>
        <w:t>(СМАД)</w:t>
      </w:r>
    </w:p>
    <w:p>
      <w:pPr>
        <w:pStyle w:val="BodyText"/>
        <w:spacing w:before="12"/>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549"/>
        <w:gridCol w:w="1164"/>
        <w:gridCol w:w="296"/>
        <w:gridCol w:w="2450"/>
        <w:gridCol w:w="512"/>
        <w:gridCol w:w="460"/>
      </w:tblGrid>
      <w:tr>
        <w:trPr>
          <w:trHeight w:val="2185" w:hRule="atLeast"/>
        </w:trPr>
        <w:tc>
          <w:tcPr>
            <w:tcW w:w="8431" w:type="dxa"/>
            <w:gridSpan w:val="6"/>
          </w:tcPr>
          <w:p>
            <w:pPr>
              <w:pStyle w:val="TableParagraph"/>
              <w:spacing w:line="204" w:lineRule="auto" w:before="161"/>
              <w:rPr>
                <w:sz w:val="16"/>
              </w:rPr>
            </w:pPr>
            <w:r>
              <w:rPr>
                <w:w w:val="105"/>
                <w:sz w:val="16"/>
              </w:rPr>
              <w:t>Состояния, при которых наиболее часто встречается гипертензия «белого халата», в том числе:</w:t>
            </w:r>
          </w:p>
          <w:p>
            <w:pPr>
              <w:pStyle w:val="TableParagraph"/>
              <w:spacing w:line="482" w:lineRule="auto" w:before="80"/>
              <w:ind w:left="470"/>
              <w:rPr>
                <w:sz w:val="16"/>
              </w:rPr>
            </w:pPr>
            <w:r>
              <w:rPr>
                <w:w w:val="105"/>
                <w:sz w:val="16"/>
              </w:rPr>
              <w:t>Артериальная гипертензия 1-й степени по данным АД, измеренного в медицинском учреждении</w:t>
            </w:r>
          </w:p>
          <w:p>
            <w:pPr>
              <w:pStyle w:val="TableParagraph"/>
              <w:spacing w:line="482" w:lineRule="auto" w:before="0"/>
              <w:ind w:left="470"/>
              <w:rPr>
                <w:sz w:val="16"/>
              </w:rPr>
            </w:pPr>
            <w:r>
              <w:rPr>
                <w:w w:val="105"/>
                <w:sz w:val="16"/>
              </w:rPr>
              <w:t>Выраженное повышение АД, измеренного в медицинском учреждении, без признаков ПОМ</w:t>
            </w:r>
          </w:p>
        </w:tc>
      </w:tr>
      <w:tr>
        <w:trPr>
          <w:trHeight w:val="1795" w:hRule="atLeast"/>
        </w:trPr>
        <w:tc>
          <w:tcPr>
            <w:tcW w:w="8431" w:type="dxa"/>
            <w:gridSpan w:val="6"/>
          </w:tcPr>
          <w:p>
            <w:pPr>
              <w:pStyle w:val="TableParagraph"/>
              <w:spacing w:line="204" w:lineRule="auto" w:before="161"/>
              <w:rPr>
                <w:sz w:val="16"/>
              </w:rPr>
            </w:pPr>
            <w:r>
              <w:rPr>
                <w:w w:val="105"/>
                <w:sz w:val="16"/>
              </w:rPr>
              <w:t>Состояния, при которых наиболее часто встречается маскированная гипертензия, в том числе:</w:t>
            </w:r>
          </w:p>
          <w:p>
            <w:pPr>
              <w:pStyle w:val="TableParagraph"/>
              <w:spacing w:before="80"/>
              <w:ind w:left="470"/>
              <w:rPr>
                <w:sz w:val="16"/>
              </w:rPr>
            </w:pPr>
            <w:r>
              <w:rPr>
                <w:w w:val="105"/>
                <w:sz w:val="16"/>
              </w:rPr>
              <w:t>Высокое нормальное АД, измеренное в медицинском учреждении</w:t>
            </w:r>
          </w:p>
          <w:p>
            <w:pPr>
              <w:pStyle w:val="TableParagraph"/>
              <w:spacing w:before="7"/>
              <w:ind w:left="0"/>
              <w:rPr>
                <w:rFonts w:ascii="Palatino Linotype"/>
                <w:b/>
                <w:sz w:val="14"/>
              </w:rPr>
            </w:pPr>
          </w:p>
          <w:p>
            <w:pPr>
              <w:pStyle w:val="TableParagraph"/>
              <w:spacing w:line="482" w:lineRule="auto" w:before="0"/>
              <w:ind w:left="470" w:right="126"/>
              <w:rPr>
                <w:sz w:val="16"/>
              </w:rPr>
            </w:pPr>
            <w:r>
              <w:rPr>
                <w:w w:val="105"/>
                <w:sz w:val="16"/>
              </w:rPr>
              <w:t>Нормальное АД, измеренное в медицинском учреждении, у пациентов с ПОМ и высоким общим сердечно-сосудистым риском</w:t>
            </w:r>
          </w:p>
        </w:tc>
      </w:tr>
      <w:tr>
        <w:trPr>
          <w:trHeight w:val="625" w:hRule="atLeast"/>
        </w:trPr>
        <w:tc>
          <w:tcPr>
            <w:tcW w:w="3549" w:type="dxa"/>
            <w:tcBorders>
              <w:right w:val="nil"/>
            </w:tcBorders>
          </w:tcPr>
          <w:p>
            <w:pPr>
              <w:pStyle w:val="TableParagraph"/>
              <w:spacing w:line="204" w:lineRule="auto" w:before="161"/>
              <w:rPr>
                <w:sz w:val="16"/>
              </w:rPr>
            </w:pPr>
            <w:r>
              <w:rPr>
                <w:w w:val="105"/>
                <w:sz w:val="16"/>
              </w:rPr>
              <w:t>Постуральная и постпрандиальная получающих лечение</w:t>
            </w:r>
          </w:p>
        </w:tc>
        <w:tc>
          <w:tcPr>
            <w:tcW w:w="1164" w:type="dxa"/>
            <w:tcBorders>
              <w:left w:val="nil"/>
              <w:right w:val="nil"/>
            </w:tcBorders>
          </w:tcPr>
          <w:p>
            <w:pPr>
              <w:pStyle w:val="TableParagraph"/>
              <w:ind w:left="106"/>
              <w:rPr>
                <w:sz w:val="16"/>
              </w:rPr>
            </w:pPr>
            <w:r>
              <w:rPr>
                <w:w w:val="105"/>
                <w:sz w:val="16"/>
              </w:rPr>
              <w:t>гипотензия</w:t>
            </w:r>
          </w:p>
        </w:tc>
        <w:tc>
          <w:tcPr>
            <w:tcW w:w="296" w:type="dxa"/>
            <w:tcBorders>
              <w:left w:val="nil"/>
              <w:right w:val="nil"/>
            </w:tcBorders>
          </w:tcPr>
          <w:p>
            <w:pPr>
              <w:pStyle w:val="TableParagraph"/>
              <w:ind w:left="107"/>
              <w:rPr>
                <w:sz w:val="16"/>
              </w:rPr>
            </w:pPr>
            <w:r>
              <w:rPr>
                <w:w w:val="103"/>
                <w:sz w:val="16"/>
              </w:rPr>
              <w:t>у</w:t>
            </w:r>
          </w:p>
        </w:tc>
        <w:tc>
          <w:tcPr>
            <w:tcW w:w="2450" w:type="dxa"/>
            <w:tcBorders>
              <w:left w:val="nil"/>
              <w:right w:val="nil"/>
            </w:tcBorders>
          </w:tcPr>
          <w:p>
            <w:pPr>
              <w:pStyle w:val="TableParagraph"/>
              <w:ind w:left="107"/>
              <w:rPr>
                <w:sz w:val="16"/>
              </w:rPr>
            </w:pPr>
            <w:r>
              <w:rPr>
                <w:w w:val="105"/>
                <w:sz w:val="16"/>
              </w:rPr>
              <w:t>пациентов,</w:t>
            </w:r>
            <w:r>
              <w:rPr>
                <w:spacing w:val="54"/>
                <w:w w:val="105"/>
                <w:sz w:val="16"/>
              </w:rPr>
              <w:t> </w:t>
            </w:r>
            <w:r>
              <w:rPr>
                <w:w w:val="105"/>
                <w:sz w:val="16"/>
              </w:rPr>
              <w:t>получающих</w:t>
            </w:r>
          </w:p>
        </w:tc>
        <w:tc>
          <w:tcPr>
            <w:tcW w:w="512" w:type="dxa"/>
            <w:tcBorders>
              <w:left w:val="nil"/>
              <w:right w:val="nil"/>
            </w:tcBorders>
          </w:tcPr>
          <w:p>
            <w:pPr>
              <w:pStyle w:val="TableParagraph"/>
              <w:ind w:left="108"/>
              <w:rPr>
                <w:sz w:val="16"/>
              </w:rPr>
            </w:pPr>
            <w:r>
              <w:rPr>
                <w:w w:val="105"/>
                <w:sz w:val="16"/>
              </w:rPr>
              <w:t>или</w:t>
            </w:r>
          </w:p>
        </w:tc>
        <w:tc>
          <w:tcPr>
            <w:tcW w:w="460" w:type="dxa"/>
            <w:tcBorders>
              <w:left w:val="nil"/>
            </w:tcBorders>
          </w:tcPr>
          <w:p>
            <w:pPr>
              <w:pStyle w:val="TableParagraph"/>
              <w:ind w:left="108"/>
              <w:rPr>
                <w:sz w:val="16"/>
              </w:rPr>
            </w:pPr>
            <w:r>
              <w:rPr>
                <w:w w:val="105"/>
                <w:sz w:val="16"/>
              </w:rPr>
              <w:t>не</w:t>
            </w:r>
          </w:p>
        </w:tc>
      </w:tr>
      <w:tr>
        <w:trPr>
          <w:trHeight w:val="790" w:hRule="atLeast"/>
        </w:trPr>
        <w:tc>
          <w:tcPr>
            <w:tcW w:w="8431" w:type="dxa"/>
            <w:gridSpan w:val="6"/>
          </w:tcPr>
          <w:p>
            <w:pPr>
              <w:pStyle w:val="TableParagraph"/>
              <w:spacing w:line="180" w:lineRule="exact"/>
              <w:rPr>
                <w:sz w:val="16"/>
              </w:rPr>
            </w:pPr>
            <w:r>
              <w:rPr>
                <w:w w:val="105"/>
                <w:sz w:val="16"/>
              </w:rPr>
              <w:t>Обследование по поводу резистентной АГ</w:t>
            </w:r>
          </w:p>
          <w:p>
            <w:pPr>
              <w:pStyle w:val="TableParagraph"/>
              <w:spacing w:line="204" w:lineRule="auto" w:before="10"/>
              <w:ind w:right="2048"/>
              <w:rPr>
                <w:sz w:val="16"/>
              </w:rPr>
            </w:pPr>
            <w:r>
              <w:rPr>
                <w:w w:val="105"/>
                <w:sz w:val="16"/>
              </w:rPr>
              <w:t>Оценка</w:t>
            </w:r>
            <w:r>
              <w:rPr>
                <w:spacing w:val="-14"/>
                <w:w w:val="105"/>
                <w:sz w:val="16"/>
              </w:rPr>
              <w:t> </w:t>
            </w:r>
            <w:r>
              <w:rPr>
                <w:w w:val="105"/>
                <w:sz w:val="16"/>
              </w:rPr>
              <w:t>контроля</w:t>
            </w:r>
            <w:r>
              <w:rPr>
                <w:spacing w:val="-14"/>
                <w:w w:val="105"/>
                <w:sz w:val="16"/>
              </w:rPr>
              <w:t> </w:t>
            </w:r>
            <w:r>
              <w:rPr>
                <w:w w:val="105"/>
                <w:sz w:val="16"/>
              </w:rPr>
              <w:t>АД,</w:t>
            </w:r>
            <w:r>
              <w:rPr>
                <w:spacing w:val="-13"/>
                <w:w w:val="105"/>
                <w:sz w:val="16"/>
              </w:rPr>
              <w:t> </w:t>
            </w:r>
            <w:r>
              <w:rPr>
                <w:w w:val="105"/>
                <w:sz w:val="16"/>
              </w:rPr>
              <w:t>особенно</w:t>
            </w:r>
            <w:r>
              <w:rPr>
                <w:spacing w:val="-14"/>
                <w:w w:val="105"/>
                <w:sz w:val="16"/>
              </w:rPr>
              <w:t> </w:t>
            </w:r>
            <w:r>
              <w:rPr>
                <w:w w:val="105"/>
                <w:sz w:val="16"/>
              </w:rPr>
              <w:t>при</w:t>
            </w:r>
            <w:r>
              <w:rPr>
                <w:spacing w:val="-13"/>
                <w:w w:val="105"/>
                <w:sz w:val="16"/>
              </w:rPr>
              <w:t> </w:t>
            </w:r>
            <w:r>
              <w:rPr>
                <w:w w:val="105"/>
                <w:sz w:val="16"/>
              </w:rPr>
              <w:t>лечении</w:t>
            </w:r>
            <w:r>
              <w:rPr>
                <w:spacing w:val="-14"/>
                <w:w w:val="105"/>
                <w:sz w:val="16"/>
              </w:rPr>
              <w:t> </w:t>
            </w:r>
            <w:r>
              <w:rPr>
                <w:w w:val="105"/>
                <w:sz w:val="16"/>
              </w:rPr>
              <w:t>пациентов</w:t>
            </w:r>
            <w:r>
              <w:rPr>
                <w:spacing w:val="-13"/>
                <w:w w:val="105"/>
                <w:sz w:val="16"/>
              </w:rPr>
              <w:t> </w:t>
            </w:r>
            <w:r>
              <w:rPr>
                <w:w w:val="105"/>
                <w:sz w:val="16"/>
              </w:rPr>
              <w:t>высокого</w:t>
            </w:r>
            <w:r>
              <w:rPr>
                <w:spacing w:val="-14"/>
                <w:w w:val="105"/>
                <w:sz w:val="16"/>
              </w:rPr>
              <w:t> </w:t>
            </w:r>
            <w:r>
              <w:rPr>
                <w:spacing w:val="-3"/>
                <w:w w:val="105"/>
                <w:sz w:val="16"/>
              </w:rPr>
              <w:t>риска </w:t>
            </w:r>
            <w:r>
              <w:rPr>
                <w:w w:val="105"/>
                <w:sz w:val="16"/>
              </w:rPr>
              <w:t>Чрезмерное повышение АД при физической</w:t>
            </w:r>
            <w:r>
              <w:rPr>
                <w:spacing w:val="-22"/>
                <w:w w:val="105"/>
                <w:sz w:val="16"/>
              </w:rPr>
              <w:t> </w:t>
            </w:r>
            <w:r>
              <w:rPr>
                <w:w w:val="105"/>
                <w:sz w:val="16"/>
              </w:rPr>
              <w:t>нагрузке</w:t>
            </w:r>
          </w:p>
        </w:tc>
      </w:tr>
      <w:tr>
        <w:trPr>
          <w:trHeight w:val="460" w:hRule="atLeast"/>
        </w:trPr>
        <w:tc>
          <w:tcPr>
            <w:tcW w:w="8431" w:type="dxa"/>
            <w:gridSpan w:val="6"/>
          </w:tcPr>
          <w:p>
            <w:pPr>
              <w:pStyle w:val="TableParagraph"/>
              <w:rPr>
                <w:sz w:val="16"/>
              </w:rPr>
            </w:pPr>
            <w:r>
              <w:rPr>
                <w:w w:val="105"/>
                <w:sz w:val="16"/>
              </w:rPr>
              <w:t>При наличии значимой вариабельности АД, измеренного в медицинском учреждении</w:t>
            </w:r>
          </w:p>
        </w:tc>
      </w:tr>
      <w:tr>
        <w:trPr>
          <w:trHeight w:val="460" w:hRule="atLeast"/>
        </w:trPr>
        <w:tc>
          <w:tcPr>
            <w:tcW w:w="8431" w:type="dxa"/>
            <w:gridSpan w:val="6"/>
          </w:tcPr>
          <w:p>
            <w:pPr>
              <w:pStyle w:val="TableParagraph"/>
              <w:rPr>
                <w:sz w:val="16"/>
              </w:rPr>
            </w:pPr>
            <w:r>
              <w:rPr>
                <w:w w:val="105"/>
                <w:sz w:val="16"/>
              </w:rPr>
              <w:t>Для оценки симптомов возможной гипотензии на фоне лечения</w:t>
            </w:r>
          </w:p>
        </w:tc>
      </w:tr>
      <w:tr>
        <w:trPr>
          <w:trHeight w:val="955" w:hRule="atLeast"/>
        </w:trPr>
        <w:tc>
          <w:tcPr>
            <w:tcW w:w="8431" w:type="dxa"/>
            <w:gridSpan w:val="6"/>
          </w:tcPr>
          <w:p>
            <w:pPr>
              <w:pStyle w:val="TableParagraph"/>
              <w:spacing w:line="180" w:lineRule="exact"/>
              <w:jc w:val="both"/>
              <w:rPr>
                <w:sz w:val="16"/>
              </w:rPr>
            </w:pPr>
            <w:r>
              <w:rPr>
                <w:w w:val="105"/>
                <w:sz w:val="16"/>
              </w:rPr>
              <w:t>Специфические показания для СМАД:</w:t>
            </w:r>
          </w:p>
          <w:p>
            <w:pPr>
              <w:pStyle w:val="TableParagraph"/>
              <w:spacing w:line="204" w:lineRule="auto" w:before="10"/>
              <w:ind w:right="138"/>
              <w:jc w:val="both"/>
              <w:rPr>
                <w:sz w:val="16"/>
              </w:rPr>
            </w:pPr>
            <w:r>
              <w:rPr>
                <w:w w:val="105"/>
                <w:sz w:val="16"/>
              </w:rPr>
              <w:t>оценка ночного АД и суточного индекса (например, при подозрении на ночную гипертензию, в том числе, при синдроме ночного апноэ, ХБП, гипертензии эндокринной этиологии или автономной дисфункции)</w:t>
            </w:r>
          </w:p>
        </w:tc>
      </w:tr>
    </w:tbl>
    <w:p>
      <w:pPr>
        <w:pStyle w:val="BodyText"/>
        <w:spacing w:line="256" w:lineRule="auto" w:before="16"/>
        <w:ind w:left="380"/>
        <w:jc w:val="left"/>
      </w:pPr>
      <w:r>
        <w:rPr/>
        <w:t>СМАД — суточное мониторирование АД; ДМАД — домашнее мониторирование АД</w:t>
      </w:r>
    </w:p>
    <w:p>
      <w:pPr>
        <w:pStyle w:val="Heading3"/>
        <w:spacing w:line="256" w:lineRule="auto"/>
        <w:ind w:left="380"/>
      </w:pPr>
      <w:r>
        <w:rPr/>
        <w:t>Таблица П8/Г2. Сравнение методов суточного и домашнего мониторирования артериального давления</w:t>
      </w:r>
    </w:p>
    <w:p>
      <w:pPr>
        <w:pStyle w:val="BodyText"/>
        <w:spacing w:before="12"/>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7"/>
        <w:gridCol w:w="4217"/>
      </w:tblGrid>
      <w:tr>
        <w:trPr>
          <w:trHeight w:val="460" w:hRule="atLeast"/>
        </w:trPr>
        <w:tc>
          <w:tcPr>
            <w:tcW w:w="4217" w:type="dxa"/>
          </w:tcPr>
          <w:p>
            <w:pPr>
              <w:pStyle w:val="TableParagraph"/>
              <w:rPr>
                <w:sz w:val="16"/>
              </w:rPr>
            </w:pPr>
            <w:r>
              <w:rPr>
                <w:w w:val="105"/>
                <w:sz w:val="16"/>
              </w:rPr>
              <w:t>СМАД</w:t>
            </w:r>
          </w:p>
        </w:tc>
        <w:tc>
          <w:tcPr>
            <w:tcW w:w="4217" w:type="dxa"/>
          </w:tcPr>
          <w:p>
            <w:pPr>
              <w:pStyle w:val="TableParagraph"/>
              <w:ind w:left="154"/>
              <w:rPr>
                <w:sz w:val="16"/>
              </w:rPr>
            </w:pPr>
            <w:r>
              <w:rPr>
                <w:w w:val="105"/>
                <w:sz w:val="16"/>
              </w:rPr>
              <w:t>ДМАД</w:t>
            </w:r>
          </w:p>
        </w:tc>
      </w:tr>
    </w:tbl>
    <w:p>
      <w:pPr>
        <w:spacing w:after="0"/>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217"/>
        <w:gridCol w:w="4217"/>
      </w:tblGrid>
      <w:tr>
        <w:trPr>
          <w:trHeight w:val="5922" w:hRule="atLeast"/>
        </w:trPr>
        <w:tc>
          <w:tcPr>
            <w:tcW w:w="4217" w:type="dxa"/>
          </w:tcPr>
          <w:p>
            <w:pPr>
              <w:pStyle w:val="TableParagraph"/>
              <w:rPr>
                <w:sz w:val="16"/>
              </w:rPr>
            </w:pPr>
            <w:r>
              <w:rPr>
                <w:w w:val="105"/>
                <w:sz w:val="16"/>
              </w:rPr>
              <w:t>Преимущества:</w:t>
            </w:r>
          </w:p>
          <w:p>
            <w:pPr>
              <w:pStyle w:val="TableParagraph"/>
              <w:tabs>
                <w:tab w:pos="2424" w:val="left" w:leader="none"/>
              </w:tabs>
              <w:spacing w:line="482" w:lineRule="auto" w:before="76"/>
              <w:ind w:left="470" w:right="138"/>
              <w:jc w:val="both"/>
              <w:rPr>
                <w:sz w:val="16"/>
              </w:rPr>
            </w:pPr>
            <w:r>
              <w:rPr>
                <w:w w:val="105"/>
                <w:sz w:val="16"/>
              </w:rPr>
              <w:t>Позволяет</w:t>
              <w:tab/>
            </w:r>
            <w:r>
              <w:rPr>
                <w:spacing w:val="-1"/>
                <w:sz w:val="16"/>
              </w:rPr>
              <w:t>идентифицировать </w:t>
            </w:r>
            <w:r>
              <w:rPr>
                <w:w w:val="105"/>
                <w:sz w:val="16"/>
              </w:rPr>
              <w:t>гипертензию «белого халата» </w:t>
            </w:r>
            <w:r>
              <w:rPr>
                <w:spacing w:val="-13"/>
                <w:w w:val="105"/>
                <w:sz w:val="16"/>
              </w:rPr>
              <w:t>и </w:t>
            </w:r>
            <w:r>
              <w:rPr>
                <w:w w:val="105"/>
                <w:sz w:val="16"/>
              </w:rPr>
              <w:t>маскированную</w:t>
            </w:r>
            <w:r>
              <w:rPr>
                <w:spacing w:val="-5"/>
                <w:w w:val="105"/>
                <w:sz w:val="16"/>
              </w:rPr>
              <w:t> </w:t>
            </w:r>
            <w:r>
              <w:rPr>
                <w:w w:val="105"/>
                <w:sz w:val="16"/>
              </w:rPr>
              <w:t>гипертензию</w:t>
            </w:r>
          </w:p>
          <w:p>
            <w:pPr>
              <w:pStyle w:val="TableParagraph"/>
              <w:spacing w:line="482" w:lineRule="auto" w:before="0"/>
              <w:ind w:left="470" w:right="141"/>
              <w:jc w:val="both"/>
              <w:rPr>
                <w:sz w:val="16"/>
              </w:rPr>
            </w:pPr>
            <w:r>
              <w:rPr>
                <w:w w:val="105"/>
                <w:sz w:val="16"/>
              </w:rPr>
              <w:t>Более существенная прогностическая значимость</w:t>
            </w:r>
          </w:p>
          <w:p>
            <w:pPr>
              <w:pStyle w:val="TableParagraph"/>
              <w:spacing w:line="193" w:lineRule="exact" w:before="0"/>
              <w:ind w:left="470"/>
              <w:jc w:val="both"/>
              <w:rPr>
                <w:sz w:val="16"/>
              </w:rPr>
            </w:pPr>
            <w:r>
              <w:rPr>
                <w:w w:val="105"/>
                <w:sz w:val="16"/>
              </w:rPr>
              <w:t>Ночные измерения</w:t>
            </w:r>
          </w:p>
          <w:p>
            <w:pPr>
              <w:pStyle w:val="TableParagraph"/>
              <w:spacing w:before="5"/>
              <w:ind w:left="0"/>
              <w:rPr>
                <w:rFonts w:ascii="Palatino Linotype"/>
                <w:b/>
                <w:sz w:val="14"/>
              </w:rPr>
            </w:pPr>
          </w:p>
          <w:p>
            <w:pPr>
              <w:pStyle w:val="TableParagraph"/>
              <w:spacing w:line="482" w:lineRule="auto" w:before="0"/>
              <w:ind w:left="470" w:right="151"/>
              <w:jc w:val="both"/>
              <w:rPr>
                <w:sz w:val="16"/>
              </w:rPr>
            </w:pPr>
            <w:r>
              <w:rPr>
                <w:w w:val="105"/>
                <w:sz w:val="16"/>
              </w:rPr>
              <w:t>Измерения проводятся в условиях реальной жизни</w:t>
            </w:r>
          </w:p>
          <w:p>
            <w:pPr>
              <w:pStyle w:val="TableParagraph"/>
              <w:tabs>
                <w:tab w:pos="2595" w:val="left" w:leader="none"/>
              </w:tabs>
              <w:spacing w:line="482" w:lineRule="auto" w:before="0"/>
              <w:ind w:left="470" w:right="149"/>
              <w:jc w:val="both"/>
              <w:rPr>
                <w:sz w:val="16"/>
              </w:rPr>
            </w:pPr>
            <w:r>
              <w:rPr>
                <w:w w:val="105"/>
                <w:sz w:val="16"/>
              </w:rPr>
              <w:t>Дополнительное</w:t>
              <w:tab/>
            </w:r>
            <w:r>
              <w:rPr>
                <w:spacing w:val="-2"/>
                <w:w w:val="105"/>
                <w:sz w:val="16"/>
              </w:rPr>
              <w:t>прогностическое </w:t>
            </w:r>
            <w:r>
              <w:rPr>
                <w:w w:val="105"/>
                <w:sz w:val="16"/>
              </w:rPr>
              <w:t>значение разных фенотипов</w:t>
            </w:r>
            <w:r>
              <w:rPr>
                <w:spacing w:val="-14"/>
                <w:w w:val="105"/>
                <w:sz w:val="16"/>
              </w:rPr>
              <w:t> </w:t>
            </w:r>
            <w:r>
              <w:rPr>
                <w:w w:val="105"/>
                <w:sz w:val="16"/>
              </w:rPr>
              <w:t>АД</w:t>
            </w:r>
          </w:p>
          <w:p>
            <w:pPr>
              <w:pStyle w:val="TableParagraph"/>
              <w:spacing w:line="482" w:lineRule="auto" w:before="0"/>
              <w:ind w:left="470" w:right="140"/>
              <w:jc w:val="both"/>
              <w:rPr>
                <w:sz w:val="16"/>
              </w:rPr>
            </w:pPr>
            <w:r>
              <w:rPr>
                <w:w w:val="105"/>
                <w:sz w:val="16"/>
              </w:rPr>
              <w:t>Большой объем информации </w:t>
            </w:r>
            <w:r>
              <w:rPr>
                <w:spacing w:val="-8"/>
                <w:w w:val="105"/>
                <w:sz w:val="16"/>
              </w:rPr>
              <w:t>на </w:t>
            </w:r>
            <w:r>
              <w:rPr>
                <w:w w:val="105"/>
                <w:sz w:val="16"/>
              </w:rPr>
              <w:t>основании одного </w:t>
            </w:r>
            <w:r>
              <w:rPr>
                <w:spacing w:val="-2"/>
                <w:w w:val="105"/>
                <w:sz w:val="16"/>
              </w:rPr>
              <w:t>исследования, </w:t>
            </w:r>
            <w:r>
              <w:rPr>
                <w:w w:val="105"/>
                <w:sz w:val="16"/>
              </w:rPr>
              <w:t>включая краткосрочную</w:t>
            </w:r>
            <w:r>
              <w:rPr>
                <w:spacing w:val="-22"/>
                <w:w w:val="105"/>
                <w:sz w:val="16"/>
              </w:rPr>
              <w:t> </w:t>
            </w:r>
            <w:r>
              <w:rPr>
                <w:w w:val="105"/>
                <w:sz w:val="16"/>
              </w:rPr>
              <w:t>вариабельность АД</w:t>
            </w:r>
          </w:p>
        </w:tc>
        <w:tc>
          <w:tcPr>
            <w:tcW w:w="4217" w:type="dxa"/>
          </w:tcPr>
          <w:p>
            <w:pPr>
              <w:pStyle w:val="TableParagraph"/>
              <w:ind w:left="154"/>
              <w:rPr>
                <w:sz w:val="16"/>
              </w:rPr>
            </w:pPr>
            <w:r>
              <w:rPr>
                <w:w w:val="105"/>
                <w:sz w:val="16"/>
              </w:rPr>
              <w:t>Преимущества:</w:t>
            </w:r>
          </w:p>
          <w:p>
            <w:pPr>
              <w:pStyle w:val="TableParagraph"/>
              <w:tabs>
                <w:tab w:pos="2424" w:val="left" w:leader="none"/>
              </w:tabs>
              <w:spacing w:line="482" w:lineRule="auto" w:before="76"/>
              <w:ind w:left="469" w:right="138"/>
              <w:jc w:val="both"/>
              <w:rPr>
                <w:sz w:val="16"/>
              </w:rPr>
            </w:pPr>
            <w:r>
              <w:rPr>
                <w:w w:val="105"/>
                <w:sz w:val="16"/>
              </w:rPr>
              <w:t>Позволяет</w:t>
              <w:tab/>
            </w:r>
            <w:r>
              <w:rPr>
                <w:spacing w:val="-1"/>
                <w:sz w:val="16"/>
              </w:rPr>
              <w:t>идентифицировать </w:t>
            </w:r>
            <w:r>
              <w:rPr>
                <w:w w:val="105"/>
                <w:sz w:val="16"/>
              </w:rPr>
              <w:t>гипертензию «белого халата» </w:t>
            </w:r>
            <w:r>
              <w:rPr>
                <w:spacing w:val="-12"/>
                <w:w w:val="105"/>
                <w:sz w:val="16"/>
              </w:rPr>
              <w:t>и </w:t>
            </w:r>
            <w:r>
              <w:rPr>
                <w:w w:val="105"/>
                <w:sz w:val="16"/>
              </w:rPr>
              <w:t>маскированную</w:t>
            </w:r>
            <w:r>
              <w:rPr>
                <w:spacing w:val="-5"/>
                <w:w w:val="105"/>
                <w:sz w:val="16"/>
              </w:rPr>
              <w:t> </w:t>
            </w:r>
            <w:r>
              <w:rPr>
                <w:w w:val="105"/>
                <w:sz w:val="16"/>
              </w:rPr>
              <w:t>гипертензию</w:t>
            </w:r>
          </w:p>
          <w:p>
            <w:pPr>
              <w:pStyle w:val="TableParagraph"/>
              <w:tabs>
                <w:tab w:pos="1592" w:val="left" w:leader="none"/>
                <w:tab w:pos="1682" w:val="left" w:leader="none"/>
                <w:tab w:pos="2059" w:val="left" w:leader="none"/>
                <w:tab w:pos="3207" w:val="left" w:leader="none"/>
                <w:tab w:pos="3301" w:val="left" w:leader="none"/>
              </w:tabs>
              <w:spacing w:line="482" w:lineRule="auto" w:before="0"/>
              <w:ind w:left="469" w:right="138"/>
              <w:rPr>
                <w:sz w:val="16"/>
              </w:rPr>
            </w:pPr>
            <w:r>
              <w:rPr>
                <w:w w:val="105"/>
                <w:sz w:val="16"/>
              </w:rPr>
              <w:t>Дешевизна и широкая доступность Измерения</w:t>
              <w:tab/>
              <w:tab/>
              <w:t>в</w:t>
              <w:tab/>
              <w:t>домашних</w:t>
              <w:tab/>
            </w:r>
            <w:r>
              <w:rPr>
                <w:spacing w:val="-1"/>
                <w:sz w:val="16"/>
              </w:rPr>
              <w:t>условиях, </w:t>
            </w:r>
            <w:r>
              <w:rPr>
                <w:w w:val="105"/>
                <w:sz w:val="16"/>
              </w:rPr>
              <w:t>которые</w:t>
              <w:tab/>
              <w:t>предоставляют</w:t>
              <w:tab/>
              <w:tab/>
            </w:r>
            <w:r>
              <w:rPr>
                <w:spacing w:val="-3"/>
                <w:w w:val="105"/>
                <w:sz w:val="16"/>
              </w:rPr>
              <w:t>больший </w:t>
            </w:r>
            <w:r>
              <w:rPr>
                <w:w w:val="105"/>
                <w:sz w:val="16"/>
              </w:rPr>
              <w:t>комфорт, чем кабинет</w:t>
            </w:r>
            <w:r>
              <w:rPr>
                <w:spacing w:val="-11"/>
                <w:w w:val="105"/>
                <w:sz w:val="16"/>
              </w:rPr>
              <w:t> </w:t>
            </w:r>
            <w:r>
              <w:rPr>
                <w:w w:val="105"/>
                <w:sz w:val="16"/>
              </w:rPr>
              <w:t>врача</w:t>
            </w:r>
          </w:p>
          <w:p>
            <w:pPr>
              <w:pStyle w:val="TableParagraph"/>
              <w:tabs>
                <w:tab w:pos="1812" w:val="left" w:leader="none"/>
                <w:tab w:pos="2936" w:val="left" w:leader="none"/>
                <w:tab w:pos="3358" w:val="left" w:leader="none"/>
              </w:tabs>
              <w:spacing w:line="482" w:lineRule="auto" w:before="0"/>
              <w:ind w:left="469" w:right="147"/>
              <w:rPr>
                <w:sz w:val="16"/>
              </w:rPr>
            </w:pPr>
            <w:r>
              <w:rPr>
                <w:w w:val="105"/>
                <w:sz w:val="16"/>
              </w:rPr>
              <w:t>Вовлечение</w:t>
              <w:tab/>
              <w:t>пациента</w:t>
              <w:tab/>
              <w:t>в</w:t>
              <w:tab/>
            </w:r>
            <w:r>
              <w:rPr>
                <w:spacing w:val="-3"/>
                <w:w w:val="105"/>
                <w:sz w:val="16"/>
              </w:rPr>
              <w:t>процесс </w:t>
            </w:r>
            <w:r>
              <w:rPr>
                <w:w w:val="105"/>
                <w:sz w:val="16"/>
              </w:rPr>
              <w:t>измерения</w:t>
            </w:r>
            <w:r>
              <w:rPr>
                <w:spacing w:val="-3"/>
                <w:w w:val="105"/>
                <w:sz w:val="16"/>
              </w:rPr>
              <w:t> </w:t>
            </w:r>
            <w:r>
              <w:rPr>
                <w:w w:val="105"/>
                <w:sz w:val="16"/>
              </w:rPr>
              <w:t>АД</w:t>
            </w:r>
          </w:p>
          <w:p>
            <w:pPr>
              <w:pStyle w:val="TableParagraph"/>
              <w:spacing w:line="482" w:lineRule="auto" w:before="0"/>
              <w:ind w:left="469" w:right="145"/>
              <w:jc w:val="both"/>
              <w:rPr>
                <w:sz w:val="16"/>
              </w:rPr>
            </w:pPr>
            <w:r>
              <w:rPr>
                <w:w w:val="105"/>
                <w:sz w:val="16"/>
              </w:rPr>
              <w:t>Легко выполнимо, может быть использовано в течение длительного периода времени для оценки вариабельности АД от дня ко дню</w:t>
            </w:r>
          </w:p>
        </w:tc>
      </w:tr>
      <w:tr>
        <w:trPr>
          <w:trHeight w:val="2020" w:hRule="atLeast"/>
        </w:trPr>
        <w:tc>
          <w:tcPr>
            <w:tcW w:w="4217" w:type="dxa"/>
          </w:tcPr>
          <w:p>
            <w:pPr>
              <w:pStyle w:val="TableParagraph"/>
              <w:rPr>
                <w:sz w:val="16"/>
              </w:rPr>
            </w:pPr>
            <w:r>
              <w:rPr>
                <w:w w:val="105"/>
                <w:sz w:val="16"/>
              </w:rPr>
              <w:t>Недостатки:</w:t>
            </w:r>
          </w:p>
          <w:p>
            <w:pPr>
              <w:pStyle w:val="TableParagraph"/>
              <w:spacing w:line="482" w:lineRule="auto" w:before="76"/>
              <w:ind w:left="470"/>
              <w:rPr>
                <w:sz w:val="16"/>
              </w:rPr>
            </w:pPr>
            <w:r>
              <w:rPr>
                <w:w w:val="105"/>
                <w:sz w:val="16"/>
              </w:rPr>
              <w:t>Дороговизна и иногда ограниченная доступность</w:t>
            </w:r>
          </w:p>
          <w:p>
            <w:pPr>
              <w:pStyle w:val="TableParagraph"/>
              <w:spacing w:line="193" w:lineRule="exact" w:before="0"/>
              <w:ind w:left="470"/>
              <w:rPr>
                <w:sz w:val="16"/>
              </w:rPr>
            </w:pPr>
            <w:r>
              <w:rPr>
                <w:w w:val="105"/>
                <w:sz w:val="16"/>
              </w:rPr>
              <w:t>Может доставлять дискомфорт</w:t>
            </w:r>
          </w:p>
        </w:tc>
        <w:tc>
          <w:tcPr>
            <w:tcW w:w="4217" w:type="dxa"/>
          </w:tcPr>
          <w:p>
            <w:pPr>
              <w:pStyle w:val="TableParagraph"/>
              <w:ind w:left="154"/>
              <w:rPr>
                <w:sz w:val="16"/>
              </w:rPr>
            </w:pPr>
            <w:r>
              <w:rPr>
                <w:w w:val="105"/>
                <w:sz w:val="16"/>
              </w:rPr>
              <w:t>Недостатки:</w:t>
            </w:r>
          </w:p>
          <w:p>
            <w:pPr>
              <w:pStyle w:val="TableParagraph"/>
              <w:spacing w:line="482" w:lineRule="auto" w:before="76"/>
              <w:ind w:left="469" w:right="147"/>
              <w:rPr>
                <w:sz w:val="16"/>
              </w:rPr>
            </w:pPr>
            <w:r>
              <w:rPr>
                <w:w w:val="105"/>
                <w:sz w:val="16"/>
              </w:rPr>
              <w:t>Возможно только статичное измерение АД</w:t>
            </w:r>
          </w:p>
          <w:p>
            <w:pPr>
              <w:pStyle w:val="TableParagraph"/>
              <w:spacing w:line="482" w:lineRule="auto" w:before="0"/>
              <w:ind w:left="469" w:right="1030"/>
              <w:rPr>
                <w:sz w:val="16"/>
              </w:rPr>
            </w:pPr>
            <w:r>
              <w:rPr>
                <w:w w:val="105"/>
                <w:sz w:val="16"/>
              </w:rPr>
              <w:t>Возможны ошибки измерений Отсутствие ночных измерений</w:t>
            </w:r>
          </w:p>
        </w:tc>
      </w:tr>
    </w:tbl>
    <w:p>
      <w:pPr>
        <w:pStyle w:val="BodyText"/>
        <w:spacing w:line="256" w:lineRule="auto" w:before="16"/>
        <w:ind w:left="380" w:right="132"/>
      </w:pPr>
      <w:r>
        <w:rPr/>
        <w:pict>
          <v:shape style="position:absolute;margin-left:103.543495pt;margin-top:25.508736pt;width:3.05pt;height:3.05pt;mso-position-horizontal-relative:page;mso-position-vertical-relative:page;z-index:-18170880" coordorigin="2071,510" coordsize="61,61" path="m2101,570l2093,570,2086,567,2074,555,2071,548,2071,532,2074,525,2086,513,2093,510,2109,510,2116,513,2128,525,2131,532,2131,540,2131,548,2128,555,2116,567,2109,570,2101,570xe" filled="true" fillcolor="#000000" stroked="false">
            <v:path arrowok="t"/>
            <v:fill type="solid"/>
            <w10:wrap type="none"/>
          </v:shape>
        </w:pict>
      </w:r>
      <w:r>
        <w:rPr/>
        <w:pict>
          <v:shape style="position:absolute;margin-left:103.543495pt;margin-top:84.033325pt;width:3.05pt;height:3.05pt;mso-position-horizontal-relative:page;mso-position-vertical-relative:page;z-index:-18170368" coordorigin="2071,1681" coordsize="61,61" path="m2101,1741l2093,1740,2086,1737,2074,1726,2071,1719,2071,1702,2074,1695,2086,1683,2093,1681,2109,1681,2116,1683,2128,1695,2131,1702,2131,1711,2131,1719,2128,1726,2116,1737,2109,1740,2101,1741xe" filled="true" fillcolor="#000000" stroked="false">
            <v:path arrowok="t"/>
            <v:fill type="solid"/>
            <w10:wrap type="none"/>
          </v:shape>
        </w:pict>
      </w:r>
      <w:r>
        <w:rPr/>
        <w:pict>
          <v:shape style="position:absolute;margin-left:103.543495pt;margin-top:123.049721pt;width:3.05pt;height:3.05pt;mso-position-horizontal-relative:page;mso-position-vertical-relative:page;z-index:-18169856" coordorigin="2071,2461" coordsize="61,61" path="m2101,2521l2093,2521,2086,2518,2074,2506,2071,2499,2071,2483,2074,2476,2086,2464,2093,2461,2109,2461,2116,2464,2128,2476,2131,2483,2131,2491,2131,2499,2128,2506,2116,2518,2109,2521,2101,2521xe" filled="true" fillcolor="#000000" stroked="false">
            <v:path arrowok="t"/>
            <v:fill type="solid"/>
            <w10:wrap type="none"/>
          </v:shape>
        </w:pict>
      </w:r>
      <w:r>
        <w:rPr/>
        <w:pict>
          <v:shape style="position:absolute;margin-left:103.543495pt;margin-top:142.557907pt;width:3.05pt;height:3.05pt;mso-position-horizontal-relative:page;mso-position-vertical-relative:page;z-index:-18169344" coordorigin="2071,2851" coordsize="61,61" path="m2101,2911l2093,2911,2086,2908,2074,2896,2071,2889,2071,2873,2074,2866,2086,2854,2093,2851,2109,2851,2116,2854,2128,2866,2131,2873,2131,2881,2131,2889,2128,2896,2116,2908,2109,2911,2101,2911xe" filled="true" fillcolor="#000000" stroked="false">
            <v:path arrowok="t"/>
            <v:fill type="solid"/>
            <w10:wrap type="none"/>
          </v:shape>
        </w:pict>
      </w:r>
      <w:r>
        <w:rPr/>
        <w:pict>
          <v:shape style="position:absolute;margin-left:103.543495pt;margin-top:181.57431pt;width:3.05pt;height:3.05pt;mso-position-horizontal-relative:page;mso-position-vertical-relative:page;z-index:-18168832" coordorigin="2071,3631" coordsize="61,61" path="m2101,3692l2093,3691,2086,3688,2074,3677,2071,3670,2071,3653,2074,3646,2080,3640,2086,3634,2093,3631,2109,3631,2131,3661,2131,3670,2128,3677,2116,3688,2109,3691,2101,3692xe" filled="true" fillcolor="#000000" stroked="false">
            <v:path arrowok="t"/>
            <v:fill type="solid"/>
            <w10:wrap type="none"/>
          </v:shape>
        </w:pict>
      </w:r>
      <w:r>
        <w:rPr/>
        <w:pict>
          <v:shape style="position:absolute;margin-left:103.543495pt;margin-top:220.590698pt;width:3.05pt;height:3.05pt;mso-position-horizontal-relative:page;mso-position-vertical-relative:page;z-index:-18168320" coordorigin="2071,4412" coordsize="61,61" path="m2109,4472l2093,4472,2086,4469,2074,4457,2071,4450,2071,4433,2074,4426,2086,4415,2093,4412,2109,4412,2116,4415,2128,4426,2131,4433,2131,4442,2131,4450,2128,4457,2116,4469,2109,4472xe" filled="true" fillcolor="#000000" stroked="false">
            <v:path arrowok="t"/>
            <v:fill type="solid"/>
            <w10:wrap type="none"/>
          </v:shape>
        </w:pict>
      </w:r>
      <w:r>
        <w:rPr/>
        <w:pict>
          <v:shape style="position:absolute;margin-left:314.382080pt;margin-top:25.508736pt;width:3.05pt;height:3.05pt;mso-position-horizontal-relative:page;mso-position-vertical-relative:page;z-index:-18167808" coordorigin="6288,510" coordsize="61,61" path="m6318,570l6309,570,6302,567,6291,555,6288,548,6288,532,6291,525,6302,513,6309,510,6326,510,6333,513,6345,525,6348,532,6348,540,6348,548,6345,555,6333,567,6326,570,6318,570xe" filled="true" fillcolor="#000000" stroked="false">
            <v:path arrowok="t"/>
            <v:fill type="solid"/>
            <w10:wrap type="none"/>
          </v:shape>
        </w:pict>
      </w:r>
      <w:r>
        <w:rPr/>
        <w:pict>
          <v:shape style="position:absolute;margin-left:314.382080pt;margin-top:84.033325pt;width:3.05pt;height:3.05pt;mso-position-horizontal-relative:page;mso-position-vertical-relative:page;z-index:-18167296" coordorigin="6288,1681" coordsize="61,61" path="m6318,1741l6309,1740,6302,1737,6291,1726,6288,1719,6288,1702,6291,1695,6302,1683,6309,1681,6326,1681,6333,1683,6345,1695,6348,1702,6348,1711,6348,1719,6345,1726,6333,1737,6326,1740,6318,1741xe" filled="true" fillcolor="#000000" stroked="false">
            <v:path arrowok="t"/>
            <v:fill type="solid"/>
            <w10:wrap type="none"/>
          </v:shape>
        </w:pict>
      </w:r>
      <w:r>
        <w:rPr/>
        <w:pict>
          <v:shape style="position:absolute;margin-left:314.382080pt;margin-top:103.541519pt;width:3.05pt;height:3.05pt;mso-position-horizontal-relative:page;mso-position-vertical-relative:page;z-index:-18166784" coordorigin="6288,2071" coordsize="61,61" path="m6326,2131l6309,2131,6302,2128,6291,2116,6288,2109,6288,2092,6291,2085,6302,2074,6309,2071,6326,2071,6333,2074,6345,2085,6348,2092,6348,2101,6348,2109,6345,2116,6333,2128,6326,2131xe" filled="true" fillcolor="#000000" stroked="false">
            <v:path arrowok="t"/>
            <v:fill type="solid"/>
            <w10:wrap type="none"/>
          </v:shape>
        </w:pict>
      </w:r>
      <w:r>
        <w:rPr/>
        <w:pict>
          <v:shape style="position:absolute;margin-left:314.382080pt;margin-top:162.066116pt;width:3.05pt;height:3.05pt;mso-position-horizontal-relative:page;mso-position-vertical-relative:page;z-index:-18166272" coordorigin="6288,3241" coordsize="61,61" path="m6318,3301l6309,3301,6302,3298,6291,3286,6288,3280,6288,3263,6291,3256,6302,3244,6309,3241,6326,3241,6333,3244,6345,3256,6348,3263,6348,3271,6348,3280,6345,3286,6333,3298,6326,3301,6318,3301xe" filled="true" fillcolor="#000000" stroked="false">
            <v:path arrowok="t"/>
            <v:fill type="solid"/>
            <w10:wrap type="none"/>
          </v:shape>
        </w:pict>
      </w:r>
      <w:r>
        <w:rPr/>
        <w:pict>
          <v:shape style="position:absolute;margin-left:314.382080pt;margin-top:201.082504pt;width:3.05pt;height:3.05pt;mso-position-horizontal-relative:page;mso-position-vertical-relative:page;z-index:-18165760" coordorigin="6288,4022" coordsize="61,61" path="m6318,4082l6309,4081,6302,4079,6291,4067,6288,4060,6288,4043,6291,4036,6302,4024,6309,4022,6326,4022,6333,4024,6345,4036,6348,4043,6348,4052,6348,4060,6345,4067,6333,4079,6326,4081,6318,4082xe" filled="true" fillcolor="#000000" stroked="false">
            <v:path arrowok="t"/>
            <v:fill type="solid"/>
            <w10:wrap type="none"/>
          </v:shape>
        </w:pict>
      </w:r>
      <w:r>
        <w:rPr/>
        <w:pict>
          <v:shape style="position:absolute;margin-left:103.543495pt;margin-top:-77.316582pt;width:3.05pt;height:3.05pt;mso-position-horizontal-relative:page;mso-position-vertical-relative:paragraph;z-index:-18165248" coordorigin="2071,-1546" coordsize="61,61" path="m2101,-1486l2093,-1487,2086,-1489,2074,-1501,2071,-1508,2071,-1525,2074,-1532,2080,-1538,2086,-1544,2093,-1546,2109,-1546,2131,-1516,2131,-1508,2128,-1501,2116,-1489,2109,-1487,2101,-1486xe" filled="true" fillcolor="#000000" stroked="false">
            <v:path arrowok="t"/>
            <v:fill type="solid"/>
            <w10:wrap type="none"/>
          </v:shape>
        </w:pict>
      </w:r>
      <w:r>
        <w:rPr/>
        <w:pict>
          <v:shape style="position:absolute;margin-left:103.543495pt;margin-top:-38.300186pt;width:3.05pt;height:3.05pt;mso-position-horizontal-relative:page;mso-position-vertical-relative:paragraph;z-index:-18164736" coordorigin="2071,-766" coordsize="61,61" path="m2109,-706l2093,-706,2086,-709,2074,-721,2071,-728,2071,-744,2074,-751,2086,-763,2093,-766,2109,-766,2116,-763,2128,-751,2131,-744,2131,-736,2131,-728,2128,-721,2116,-709,2109,-706xe" filled="true" fillcolor="#000000" stroked="false">
            <v:path arrowok="t"/>
            <v:fill type="solid"/>
            <w10:wrap type="none"/>
          </v:shape>
        </w:pict>
      </w:r>
      <w:r>
        <w:rPr/>
        <w:pict>
          <v:shape style="position:absolute;margin-left:314.382080pt;margin-top:-77.316582pt;width:3.05pt;height:3.05pt;mso-position-horizontal-relative:page;mso-position-vertical-relative:paragraph;z-index:-18164224" coordorigin="6288,-1546" coordsize="61,61" path="m6318,-1486l6309,-1487,6302,-1489,6291,-1501,6288,-1508,6288,-1525,6291,-1532,6296,-1538,6302,-1544,6309,-1546,6326,-1546,6333,-1544,6339,-1538,6345,-1532,6348,-1525,6348,-1516,6348,-1508,6345,-1501,6333,-1489,6326,-1487,6318,-1486xe" filled="true" fillcolor="#000000" stroked="false">
            <v:path arrowok="t"/>
            <v:fill type="solid"/>
            <w10:wrap type="none"/>
          </v:shape>
        </w:pict>
      </w:r>
      <w:r>
        <w:rPr/>
        <w:pict>
          <v:shape style="position:absolute;margin-left:314.382080pt;margin-top:-38.300186pt;width:3.05pt;height:3.05pt;mso-position-horizontal-relative:page;mso-position-vertical-relative:paragraph;z-index:-18163712" coordorigin="6288,-766" coordsize="61,61" path="m6326,-706l6309,-706,6302,-709,6291,-721,6288,-728,6288,-744,6291,-751,6302,-763,6309,-766,6326,-766,6333,-763,6345,-751,6348,-744,6348,-736,6348,-728,6345,-721,6333,-709,6326,-706xe" filled="true" fillcolor="#000000" stroked="false">
            <v:path arrowok="t"/>
            <v:fill type="solid"/>
            <w10:wrap type="none"/>
          </v:shape>
        </w:pict>
      </w:r>
      <w:r>
        <w:rPr/>
        <w:pict>
          <v:shape style="position:absolute;margin-left:314.382080pt;margin-top:-18.791988pt;width:3.05pt;height:3.05pt;mso-position-horizontal-relative:page;mso-position-vertical-relative:paragraph;z-index:-18163200" coordorigin="6288,-376" coordsize="61,61" path="m6326,-316l6309,-316,6302,-319,6291,-331,6288,-338,6288,-354,6291,-362,6296,-367,6302,-373,6309,-376,6326,-376,6333,-373,6339,-367,6345,-362,6348,-354,6348,-346,6348,-338,6345,-331,6333,-319,6326,-316xe" filled="true" fillcolor="#000000" stroked="false">
            <v:path arrowok="t"/>
            <v:fill type="solid"/>
            <w10:wrap type="none"/>
          </v:shape>
        </w:pict>
      </w:r>
      <w:r>
        <w:rPr/>
        <w:t>АД — артериальное давление, СМАД — суточное мониторирование артериального давления, ДМАД — домашнее мониторирование артериального давления.</w:t>
      </w:r>
    </w:p>
    <w:p>
      <w:pPr>
        <w:pStyle w:val="Heading3"/>
        <w:spacing w:line="256" w:lineRule="auto" w:before="272"/>
        <w:ind w:left="380" w:right="135"/>
        <w:jc w:val="both"/>
      </w:pPr>
      <w:r>
        <w:rPr/>
        <w:t>Таблица П9/Г2. Определение артериальной гипертензии в зависимости от метода измерения АД: измеренного в медицинском учреждении, СМАД или ДМАД</w:t>
      </w:r>
    </w:p>
    <w:p>
      <w:pPr>
        <w:pStyle w:val="BodyText"/>
        <w:spacing w:before="1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97"/>
        <w:gridCol w:w="1666"/>
        <w:gridCol w:w="1126"/>
        <w:gridCol w:w="1846"/>
      </w:tblGrid>
      <w:tr>
        <w:trPr>
          <w:trHeight w:val="625" w:hRule="atLeast"/>
        </w:trPr>
        <w:tc>
          <w:tcPr>
            <w:tcW w:w="3797" w:type="dxa"/>
          </w:tcPr>
          <w:p>
            <w:pPr>
              <w:pStyle w:val="TableParagraph"/>
              <w:rPr>
                <w:sz w:val="16"/>
              </w:rPr>
            </w:pPr>
            <w:r>
              <w:rPr>
                <w:w w:val="105"/>
                <w:sz w:val="16"/>
              </w:rPr>
              <w:t>Категория</w:t>
            </w:r>
          </w:p>
        </w:tc>
        <w:tc>
          <w:tcPr>
            <w:tcW w:w="1666" w:type="dxa"/>
          </w:tcPr>
          <w:p>
            <w:pPr>
              <w:pStyle w:val="TableParagraph"/>
              <w:tabs>
                <w:tab w:pos="728" w:val="left" w:leader="none"/>
                <w:tab w:pos="1256" w:val="left" w:leader="none"/>
              </w:tabs>
              <w:spacing w:line="204" w:lineRule="auto" w:before="161"/>
              <w:ind w:left="154" w:right="142"/>
              <w:rPr>
                <w:sz w:val="16"/>
              </w:rPr>
            </w:pPr>
            <w:r>
              <w:rPr>
                <w:w w:val="105"/>
                <w:sz w:val="16"/>
              </w:rPr>
              <w:t>САД</w:t>
              <w:tab/>
              <w:t>(мм</w:t>
              <w:tab/>
            </w:r>
            <w:r>
              <w:rPr>
                <w:spacing w:val="-6"/>
                <w:w w:val="105"/>
                <w:sz w:val="16"/>
              </w:rPr>
              <w:t>рт. </w:t>
            </w:r>
            <w:r>
              <w:rPr>
                <w:w w:val="105"/>
                <w:sz w:val="16"/>
              </w:rPr>
              <w:t>ст.)</w:t>
            </w:r>
          </w:p>
        </w:tc>
        <w:tc>
          <w:tcPr>
            <w:tcW w:w="1126" w:type="dxa"/>
          </w:tcPr>
          <w:p>
            <w:pPr>
              <w:pStyle w:val="TableParagraph"/>
              <w:spacing w:before="0"/>
              <w:ind w:left="0"/>
              <w:rPr>
                <w:rFonts w:ascii="Times New Roman"/>
                <w:sz w:val="18"/>
              </w:rPr>
            </w:pPr>
          </w:p>
        </w:tc>
        <w:tc>
          <w:tcPr>
            <w:tcW w:w="1846" w:type="dxa"/>
          </w:tcPr>
          <w:p>
            <w:pPr>
              <w:pStyle w:val="TableParagraph"/>
              <w:ind w:left="153"/>
              <w:rPr>
                <w:sz w:val="16"/>
              </w:rPr>
            </w:pPr>
            <w:r>
              <w:rPr>
                <w:w w:val="105"/>
                <w:sz w:val="16"/>
              </w:rPr>
              <w:t>ДАД (мм рт. ст.)</w:t>
            </w:r>
          </w:p>
        </w:tc>
      </w:tr>
      <w:tr>
        <w:trPr>
          <w:trHeight w:val="625" w:hRule="atLeast"/>
        </w:trPr>
        <w:tc>
          <w:tcPr>
            <w:tcW w:w="3797" w:type="dxa"/>
          </w:tcPr>
          <w:p>
            <w:pPr>
              <w:pStyle w:val="TableParagraph"/>
              <w:tabs>
                <w:tab w:pos="759" w:val="left" w:leader="none"/>
                <w:tab w:pos="2082" w:val="left" w:leader="none"/>
                <w:tab w:pos="2489" w:val="left" w:leader="none"/>
              </w:tabs>
              <w:spacing w:line="139" w:lineRule="auto" w:before="166"/>
              <w:ind w:right="146"/>
              <w:rPr>
                <w:sz w:val="16"/>
              </w:rPr>
            </w:pPr>
            <w:r>
              <w:rPr>
                <w:w w:val="103"/>
                <w:sz w:val="16"/>
              </w:rPr>
              <w:t>АД,</w:t>
            </w:r>
            <w:r>
              <w:rPr>
                <w:sz w:val="16"/>
              </w:rPr>
              <w:tab/>
            </w:r>
            <w:r>
              <w:rPr>
                <w:w w:val="103"/>
                <w:sz w:val="16"/>
              </w:rPr>
              <w:t>изме</w:t>
            </w:r>
            <w:r>
              <w:rPr>
                <w:spacing w:val="-7"/>
                <w:w w:val="103"/>
                <w:sz w:val="16"/>
              </w:rPr>
              <w:t>р</w:t>
            </w:r>
            <w:r>
              <w:rPr>
                <w:spacing w:val="-93"/>
                <w:w w:val="103"/>
                <w:position w:val="-8"/>
                <w:sz w:val="16"/>
              </w:rPr>
              <w:t>а</w:t>
            </w:r>
            <w:r>
              <w:rPr>
                <w:w w:val="103"/>
                <w:sz w:val="16"/>
              </w:rPr>
              <w:t>енное</w:t>
            </w:r>
            <w:r>
              <w:rPr>
                <w:sz w:val="16"/>
              </w:rPr>
              <w:tab/>
            </w:r>
            <w:r>
              <w:rPr>
                <w:w w:val="103"/>
                <w:sz w:val="16"/>
              </w:rPr>
              <w:t>в</w:t>
            </w:r>
            <w:r>
              <w:rPr>
                <w:sz w:val="16"/>
              </w:rPr>
              <w:tab/>
            </w:r>
            <w:r>
              <w:rPr>
                <w:spacing w:val="-2"/>
                <w:w w:val="103"/>
                <w:sz w:val="16"/>
              </w:rPr>
              <w:t>медицинском</w:t>
            </w:r>
            <w:r>
              <w:rPr>
                <w:w w:val="103"/>
                <w:sz w:val="16"/>
              </w:rPr>
              <w:t> </w:t>
            </w:r>
            <w:r>
              <w:rPr>
                <w:w w:val="105"/>
                <w:sz w:val="16"/>
              </w:rPr>
              <w:t>учреждении</w:t>
            </w:r>
          </w:p>
        </w:tc>
        <w:tc>
          <w:tcPr>
            <w:tcW w:w="1666" w:type="dxa"/>
          </w:tcPr>
          <w:p>
            <w:pPr>
              <w:pStyle w:val="TableParagraph"/>
              <w:ind w:left="154"/>
              <w:rPr>
                <w:sz w:val="16"/>
              </w:rPr>
            </w:pPr>
            <w:r>
              <w:rPr>
                <w:w w:val="105"/>
                <w:sz w:val="16"/>
              </w:rPr>
              <w:t>≥140</w:t>
            </w:r>
          </w:p>
        </w:tc>
        <w:tc>
          <w:tcPr>
            <w:tcW w:w="1126" w:type="dxa"/>
          </w:tcPr>
          <w:p>
            <w:pPr>
              <w:pStyle w:val="TableParagraph"/>
              <w:ind w:left="154"/>
              <w:rPr>
                <w:sz w:val="16"/>
              </w:rPr>
            </w:pPr>
            <w:r>
              <w:rPr>
                <w:w w:val="105"/>
                <w:sz w:val="16"/>
              </w:rPr>
              <w:t>и/или</w:t>
            </w:r>
          </w:p>
        </w:tc>
        <w:tc>
          <w:tcPr>
            <w:tcW w:w="1846" w:type="dxa"/>
          </w:tcPr>
          <w:p>
            <w:pPr>
              <w:pStyle w:val="TableParagraph"/>
              <w:ind w:left="153"/>
              <w:rPr>
                <w:sz w:val="16"/>
              </w:rPr>
            </w:pPr>
            <w:r>
              <w:rPr>
                <w:w w:val="105"/>
                <w:sz w:val="16"/>
              </w:rPr>
              <w:t>≥90</w:t>
            </w:r>
          </w:p>
        </w:tc>
      </w:tr>
      <w:tr>
        <w:trPr>
          <w:trHeight w:val="460" w:hRule="atLeast"/>
        </w:trPr>
        <w:tc>
          <w:tcPr>
            <w:tcW w:w="3797" w:type="dxa"/>
          </w:tcPr>
          <w:p>
            <w:pPr>
              <w:pStyle w:val="TableParagraph"/>
              <w:rPr>
                <w:sz w:val="16"/>
              </w:rPr>
            </w:pPr>
            <w:r>
              <w:rPr>
                <w:w w:val="105"/>
                <w:sz w:val="16"/>
              </w:rPr>
              <w:t>Амбулаторное АД</w:t>
            </w:r>
          </w:p>
        </w:tc>
        <w:tc>
          <w:tcPr>
            <w:tcW w:w="1666" w:type="dxa"/>
          </w:tcPr>
          <w:p>
            <w:pPr>
              <w:pStyle w:val="TableParagraph"/>
              <w:spacing w:before="0"/>
              <w:ind w:left="0"/>
              <w:rPr>
                <w:rFonts w:ascii="Times New Roman"/>
                <w:sz w:val="18"/>
              </w:rPr>
            </w:pPr>
          </w:p>
        </w:tc>
        <w:tc>
          <w:tcPr>
            <w:tcW w:w="1126" w:type="dxa"/>
          </w:tcPr>
          <w:p>
            <w:pPr>
              <w:pStyle w:val="TableParagraph"/>
              <w:spacing w:before="0"/>
              <w:ind w:left="0"/>
              <w:rPr>
                <w:rFonts w:ascii="Times New Roman"/>
                <w:sz w:val="18"/>
              </w:rPr>
            </w:pPr>
          </w:p>
        </w:tc>
        <w:tc>
          <w:tcPr>
            <w:tcW w:w="1846" w:type="dxa"/>
          </w:tcPr>
          <w:p>
            <w:pPr>
              <w:pStyle w:val="TableParagraph"/>
              <w:spacing w:before="0"/>
              <w:ind w:left="0"/>
              <w:rPr>
                <w:rFonts w:ascii="Times New Roman"/>
                <w:sz w:val="18"/>
              </w:rPr>
            </w:pPr>
          </w:p>
        </w:tc>
      </w:tr>
      <w:tr>
        <w:trPr>
          <w:trHeight w:val="625" w:hRule="atLeast"/>
        </w:trPr>
        <w:tc>
          <w:tcPr>
            <w:tcW w:w="3797" w:type="dxa"/>
          </w:tcPr>
          <w:p>
            <w:pPr>
              <w:pStyle w:val="TableParagraph"/>
              <w:spacing w:line="204" w:lineRule="auto" w:before="161"/>
              <w:ind w:right="60"/>
              <w:rPr>
                <w:sz w:val="16"/>
              </w:rPr>
            </w:pPr>
            <w:r>
              <w:rPr>
                <w:w w:val="105"/>
                <w:sz w:val="16"/>
              </w:rPr>
              <w:t>Дневное (или в период бодрствования), среднее</w:t>
            </w:r>
          </w:p>
        </w:tc>
        <w:tc>
          <w:tcPr>
            <w:tcW w:w="1666" w:type="dxa"/>
          </w:tcPr>
          <w:p>
            <w:pPr>
              <w:pStyle w:val="TableParagraph"/>
              <w:ind w:left="154"/>
              <w:rPr>
                <w:sz w:val="16"/>
              </w:rPr>
            </w:pPr>
            <w:r>
              <w:rPr>
                <w:w w:val="105"/>
                <w:sz w:val="16"/>
              </w:rPr>
              <w:t>≥135</w:t>
            </w:r>
          </w:p>
        </w:tc>
        <w:tc>
          <w:tcPr>
            <w:tcW w:w="1126" w:type="dxa"/>
          </w:tcPr>
          <w:p>
            <w:pPr>
              <w:pStyle w:val="TableParagraph"/>
              <w:ind w:left="154"/>
              <w:rPr>
                <w:sz w:val="16"/>
              </w:rPr>
            </w:pPr>
            <w:r>
              <w:rPr>
                <w:w w:val="105"/>
                <w:sz w:val="16"/>
              </w:rPr>
              <w:t>и/или</w:t>
            </w:r>
          </w:p>
        </w:tc>
        <w:tc>
          <w:tcPr>
            <w:tcW w:w="1846" w:type="dxa"/>
          </w:tcPr>
          <w:p>
            <w:pPr>
              <w:pStyle w:val="TableParagraph"/>
              <w:ind w:left="153"/>
              <w:rPr>
                <w:sz w:val="16"/>
              </w:rPr>
            </w:pPr>
            <w:r>
              <w:rPr>
                <w:w w:val="105"/>
                <w:sz w:val="16"/>
              </w:rPr>
              <w:t>≥85</w:t>
            </w:r>
          </w:p>
        </w:tc>
      </w:tr>
      <w:tr>
        <w:trPr>
          <w:trHeight w:val="460" w:hRule="atLeast"/>
        </w:trPr>
        <w:tc>
          <w:tcPr>
            <w:tcW w:w="3797" w:type="dxa"/>
          </w:tcPr>
          <w:p>
            <w:pPr>
              <w:pStyle w:val="TableParagraph"/>
              <w:rPr>
                <w:sz w:val="16"/>
              </w:rPr>
            </w:pPr>
            <w:r>
              <w:rPr>
                <w:w w:val="105"/>
                <w:sz w:val="16"/>
              </w:rPr>
              <w:t>Ночное (или во время сна), среднее</w:t>
            </w:r>
          </w:p>
        </w:tc>
        <w:tc>
          <w:tcPr>
            <w:tcW w:w="1666" w:type="dxa"/>
          </w:tcPr>
          <w:p>
            <w:pPr>
              <w:pStyle w:val="TableParagraph"/>
              <w:ind w:left="154"/>
              <w:rPr>
                <w:sz w:val="16"/>
              </w:rPr>
            </w:pPr>
            <w:r>
              <w:rPr>
                <w:w w:val="105"/>
                <w:sz w:val="16"/>
              </w:rPr>
              <w:t>≥120</w:t>
            </w:r>
          </w:p>
        </w:tc>
        <w:tc>
          <w:tcPr>
            <w:tcW w:w="1126" w:type="dxa"/>
          </w:tcPr>
          <w:p>
            <w:pPr>
              <w:pStyle w:val="TableParagraph"/>
              <w:ind w:left="154"/>
              <w:rPr>
                <w:sz w:val="16"/>
              </w:rPr>
            </w:pPr>
            <w:r>
              <w:rPr>
                <w:w w:val="105"/>
                <w:sz w:val="16"/>
              </w:rPr>
              <w:t>и/или</w:t>
            </w:r>
          </w:p>
        </w:tc>
        <w:tc>
          <w:tcPr>
            <w:tcW w:w="1846" w:type="dxa"/>
          </w:tcPr>
          <w:p>
            <w:pPr>
              <w:pStyle w:val="TableParagraph"/>
              <w:ind w:left="153"/>
              <w:rPr>
                <w:sz w:val="16"/>
              </w:rPr>
            </w:pPr>
            <w:r>
              <w:rPr>
                <w:w w:val="105"/>
                <w:sz w:val="16"/>
              </w:rPr>
              <w:t>≥70</w:t>
            </w:r>
          </w:p>
        </w:tc>
      </w:tr>
      <w:tr>
        <w:trPr>
          <w:trHeight w:val="460" w:hRule="atLeast"/>
        </w:trPr>
        <w:tc>
          <w:tcPr>
            <w:tcW w:w="3797" w:type="dxa"/>
          </w:tcPr>
          <w:p>
            <w:pPr>
              <w:pStyle w:val="TableParagraph"/>
              <w:rPr>
                <w:sz w:val="16"/>
              </w:rPr>
            </w:pPr>
            <w:r>
              <w:rPr>
                <w:w w:val="105"/>
                <w:sz w:val="16"/>
              </w:rPr>
              <w:t>Среднее за 24 часа</w:t>
            </w:r>
          </w:p>
        </w:tc>
        <w:tc>
          <w:tcPr>
            <w:tcW w:w="1666" w:type="dxa"/>
          </w:tcPr>
          <w:p>
            <w:pPr>
              <w:pStyle w:val="TableParagraph"/>
              <w:ind w:left="154"/>
              <w:rPr>
                <w:sz w:val="16"/>
              </w:rPr>
            </w:pPr>
            <w:r>
              <w:rPr>
                <w:w w:val="105"/>
                <w:sz w:val="16"/>
              </w:rPr>
              <w:t>≥130</w:t>
            </w:r>
          </w:p>
        </w:tc>
        <w:tc>
          <w:tcPr>
            <w:tcW w:w="1126" w:type="dxa"/>
          </w:tcPr>
          <w:p>
            <w:pPr>
              <w:pStyle w:val="TableParagraph"/>
              <w:ind w:left="154"/>
              <w:rPr>
                <w:sz w:val="16"/>
              </w:rPr>
            </w:pPr>
            <w:r>
              <w:rPr>
                <w:w w:val="105"/>
                <w:sz w:val="16"/>
              </w:rPr>
              <w:t>и/или</w:t>
            </w:r>
          </w:p>
        </w:tc>
        <w:tc>
          <w:tcPr>
            <w:tcW w:w="1846" w:type="dxa"/>
          </w:tcPr>
          <w:p>
            <w:pPr>
              <w:pStyle w:val="TableParagraph"/>
              <w:ind w:left="153"/>
              <w:rPr>
                <w:sz w:val="16"/>
              </w:rPr>
            </w:pPr>
            <w:r>
              <w:rPr>
                <w:w w:val="105"/>
                <w:sz w:val="16"/>
              </w:rPr>
              <w:t>≥80</w:t>
            </w:r>
          </w:p>
        </w:tc>
      </w:tr>
      <w:tr>
        <w:trPr>
          <w:trHeight w:val="460" w:hRule="atLeast"/>
        </w:trPr>
        <w:tc>
          <w:tcPr>
            <w:tcW w:w="3797" w:type="dxa"/>
          </w:tcPr>
          <w:p>
            <w:pPr>
              <w:pStyle w:val="TableParagraph"/>
              <w:rPr>
                <w:sz w:val="16"/>
              </w:rPr>
            </w:pPr>
            <w:r>
              <w:rPr>
                <w:w w:val="105"/>
                <w:sz w:val="16"/>
              </w:rPr>
              <w:t>Среднее при домашних измерениях</w:t>
            </w:r>
          </w:p>
        </w:tc>
        <w:tc>
          <w:tcPr>
            <w:tcW w:w="1666" w:type="dxa"/>
          </w:tcPr>
          <w:p>
            <w:pPr>
              <w:pStyle w:val="TableParagraph"/>
              <w:ind w:left="154"/>
              <w:rPr>
                <w:sz w:val="16"/>
              </w:rPr>
            </w:pPr>
            <w:r>
              <w:rPr>
                <w:w w:val="105"/>
                <w:sz w:val="16"/>
              </w:rPr>
              <w:t>≥135</w:t>
            </w:r>
          </w:p>
        </w:tc>
        <w:tc>
          <w:tcPr>
            <w:tcW w:w="1126" w:type="dxa"/>
          </w:tcPr>
          <w:p>
            <w:pPr>
              <w:pStyle w:val="TableParagraph"/>
              <w:ind w:left="154"/>
              <w:rPr>
                <w:sz w:val="16"/>
              </w:rPr>
            </w:pPr>
            <w:r>
              <w:rPr>
                <w:w w:val="105"/>
                <w:sz w:val="16"/>
              </w:rPr>
              <w:t>и/или</w:t>
            </w:r>
          </w:p>
        </w:tc>
        <w:tc>
          <w:tcPr>
            <w:tcW w:w="1846" w:type="dxa"/>
          </w:tcPr>
          <w:p>
            <w:pPr>
              <w:pStyle w:val="TableParagraph"/>
              <w:ind w:left="153"/>
              <w:rPr>
                <w:sz w:val="16"/>
              </w:rPr>
            </w:pPr>
            <w:r>
              <w:rPr>
                <w:w w:val="105"/>
                <w:sz w:val="16"/>
              </w:rPr>
              <w:t>≥85</w:t>
            </w:r>
          </w:p>
        </w:tc>
      </w:tr>
    </w:tbl>
    <w:p>
      <w:pPr>
        <w:pStyle w:val="BodyText"/>
        <w:spacing w:before="2"/>
        <w:ind w:left="0"/>
        <w:jc w:val="left"/>
        <w:rPr>
          <w:b/>
          <w:sz w:val="50"/>
        </w:rPr>
      </w:pPr>
    </w:p>
    <w:p>
      <w:pPr>
        <w:spacing w:before="0"/>
        <w:ind w:left="380" w:right="0" w:firstLine="0"/>
        <w:jc w:val="both"/>
        <w:rPr>
          <w:b/>
          <w:sz w:val="27"/>
        </w:rPr>
      </w:pPr>
      <w:r>
        <w:rPr/>
        <w:pict>
          <v:shape style="position:absolute;margin-left:90.037003pt;margin-top:70.443115pt;width:422.45pt;height:.1pt;mso-position-horizontal-relative:page;mso-position-vertical-relative:paragraph;z-index:15937536" coordorigin="1801,1409" coordsize="8449,1" path="m10249,1409l10249,1409,1801,1409,1801,1409,10249,1409xe" filled="true" fillcolor="#000000" stroked="false">
            <v:path arrowok="t"/>
            <v:fill type="solid"/>
            <w10:wrap type="none"/>
          </v:shape>
        </w:pict>
      </w:r>
      <w:r>
        <w:rPr>
          <w:b/>
          <w:sz w:val="27"/>
        </w:rPr>
        <w:t>Таблица П10/Г2. Этапы оценки сердечно-сосудистого риска</w:t>
      </w:r>
    </w:p>
    <w:p>
      <w:pPr>
        <w:pStyle w:val="BodyText"/>
        <w:spacing w:before="10"/>
        <w:ind w:left="0"/>
        <w:jc w:val="left"/>
        <w:rPr>
          <w:b/>
          <w:sz w:val="17"/>
        </w:rPr>
      </w:pPr>
      <w:r>
        <w:rPr/>
        <w:pict>
          <v:group style="position:absolute;margin-left:90.037827pt;margin-top:13.98658pt;width:422.45pt;height:24.8pt;mso-position-horizontal-relative:page;mso-position-vertical-relative:paragraph;z-index:-15520256;mso-wrap-distance-left:0;mso-wrap-distance-right:0" coordorigin="1801,280" coordsize="8449,496">
            <v:shapetype id="_x0000_t202" o:spt="202" coordsize="21600,21600" path="m,l,21600r21600,l21600,xe">
              <v:stroke joinstyle="miter"/>
              <v:path gradientshapeok="t" o:connecttype="rect"/>
            </v:shapetype>
            <v:shape style="position:absolute;left:4269;top:287;width:5973;height:481" type="#_x0000_t202" filled="false" stroked="true" strokeweight=".750315pt" strokecolor="#000000">
              <v:textbox inset="0,0,0,0">
                <w:txbxContent>
                  <w:p>
                    <w:pPr>
                      <w:spacing w:before="139"/>
                      <w:ind w:left="150" w:right="0" w:firstLine="0"/>
                      <w:jc w:val="left"/>
                      <w:rPr>
                        <w:rFonts w:ascii="Verdana" w:hAnsi="Verdana"/>
                        <w:sz w:val="16"/>
                      </w:rPr>
                    </w:pPr>
                    <w:r>
                      <w:rPr>
                        <w:rFonts w:ascii="Verdana" w:hAnsi="Verdana"/>
                        <w:w w:val="105"/>
                        <w:sz w:val="16"/>
                      </w:rPr>
                      <w:t>Необходимые процедуры</w:t>
                    </w:r>
                  </w:p>
                </w:txbxContent>
              </v:textbox>
              <v:stroke dashstyle="solid"/>
              <w10:wrap type="none"/>
            </v:shape>
            <v:shape style="position:absolute;left:1808;top:287;width:2462;height:481" type="#_x0000_t202" filled="false" stroked="true" strokeweight=".750315pt" strokecolor="#000000">
              <v:textbox inset="0,0,0,0">
                <w:txbxContent>
                  <w:p>
                    <w:pPr>
                      <w:spacing w:before="139"/>
                      <w:ind w:left="150" w:right="0" w:firstLine="0"/>
                      <w:jc w:val="left"/>
                      <w:rPr>
                        <w:rFonts w:ascii="Verdana" w:hAnsi="Verdana"/>
                        <w:sz w:val="16"/>
                      </w:rPr>
                    </w:pPr>
                    <w:r>
                      <w:rPr>
                        <w:rFonts w:ascii="Verdana" w:hAnsi="Verdana"/>
                        <w:w w:val="105"/>
                        <w:sz w:val="16"/>
                      </w:rPr>
                      <w:t>Этапы обследования</w:t>
                    </w:r>
                  </w:p>
                </w:txbxContent>
              </v:textbox>
              <v:stroke dashstyle="solid"/>
              <w10:wrap type="none"/>
            </v:shape>
            <w10:wrap type="topAndBottom"/>
          </v:group>
        </w:pict>
      </w:r>
    </w:p>
    <w:p>
      <w:pPr>
        <w:spacing w:after="0"/>
        <w:jc w:val="left"/>
        <w:rPr>
          <w:sz w:val="17"/>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61"/>
        <w:gridCol w:w="5972"/>
      </w:tblGrid>
      <w:tr>
        <w:trPr>
          <w:trHeight w:val="955" w:hRule="atLeast"/>
        </w:trPr>
        <w:tc>
          <w:tcPr>
            <w:tcW w:w="2461" w:type="dxa"/>
          </w:tcPr>
          <w:p>
            <w:pPr>
              <w:pStyle w:val="TableParagraph"/>
              <w:rPr>
                <w:sz w:val="16"/>
              </w:rPr>
            </w:pPr>
            <w:r>
              <w:rPr>
                <w:w w:val="105"/>
                <w:sz w:val="16"/>
              </w:rPr>
              <w:t>Клиническая оценка</w:t>
            </w:r>
          </w:p>
        </w:tc>
        <w:tc>
          <w:tcPr>
            <w:tcW w:w="5972" w:type="dxa"/>
          </w:tcPr>
          <w:p>
            <w:pPr>
              <w:pStyle w:val="TableParagraph"/>
              <w:spacing w:line="204" w:lineRule="auto" w:before="161"/>
              <w:ind w:right="138"/>
              <w:jc w:val="both"/>
              <w:rPr>
                <w:sz w:val="16"/>
              </w:rPr>
            </w:pPr>
            <w:r>
              <w:rPr>
                <w:w w:val="105"/>
                <w:sz w:val="16"/>
              </w:rPr>
              <w:t>Выявление пациентов высокого и очень высокого риска на основании документированных ССЗ, СД, ХБП 3–5-й стадий, чрезмерного повышения отдельных факторов риска, семейной гиперхолестеринемии или высокого риска по SCORE</w:t>
            </w:r>
          </w:p>
        </w:tc>
      </w:tr>
      <w:tr>
        <w:trPr>
          <w:trHeight w:val="955" w:hRule="atLeast"/>
        </w:trPr>
        <w:tc>
          <w:tcPr>
            <w:tcW w:w="2461" w:type="dxa"/>
          </w:tcPr>
          <w:p>
            <w:pPr>
              <w:pStyle w:val="TableParagraph"/>
              <w:tabs>
                <w:tab w:pos="1344" w:val="left" w:leader="none"/>
              </w:tabs>
              <w:spacing w:line="204" w:lineRule="auto" w:before="161"/>
              <w:ind w:right="145"/>
              <w:rPr>
                <w:sz w:val="16"/>
              </w:rPr>
            </w:pPr>
            <w:r>
              <w:rPr>
                <w:w w:val="105"/>
                <w:sz w:val="16"/>
              </w:rPr>
              <w:t>Оценка</w:t>
              <w:tab/>
            </w:r>
            <w:r>
              <w:rPr>
                <w:spacing w:val="-1"/>
                <w:sz w:val="16"/>
              </w:rPr>
              <w:t>10-летнего </w:t>
            </w:r>
            <w:r>
              <w:rPr>
                <w:w w:val="105"/>
                <w:sz w:val="16"/>
              </w:rPr>
              <w:t>риска по шкале</w:t>
            </w:r>
            <w:r>
              <w:rPr>
                <w:spacing w:val="-23"/>
                <w:w w:val="105"/>
                <w:sz w:val="16"/>
              </w:rPr>
              <w:t> </w:t>
            </w:r>
            <w:r>
              <w:rPr>
                <w:w w:val="105"/>
                <w:sz w:val="16"/>
              </w:rPr>
              <w:t>SCORE</w:t>
            </w:r>
          </w:p>
        </w:tc>
        <w:tc>
          <w:tcPr>
            <w:tcW w:w="5972" w:type="dxa"/>
          </w:tcPr>
          <w:p>
            <w:pPr>
              <w:pStyle w:val="TableParagraph"/>
              <w:spacing w:line="204" w:lineRule="auto" w:before="161"/>
              <w:ind w:right="137"/>
              <w:jc w:val="both"/>
              <w:rPr>
                <w:sz w:val="16"/>
              </w:rPr>
            </w:pPr>
            <w:r>
              <w:rPr>
                <w:w w:val="105"/>
                <w:sz w:val="16"/>
              </w:rPr>
              <w:t>Проводить оценку риска по SCORE рекомендовано у бессимптомных лиц старше 40 лет, без анамнеза ССЗ, СД, ХБП, семейной гиперхолестирнемии или повышения ХС-ЛНП &gt;4,9 ммоль/л (&gt;190 мг/дл)</w:t>
            </w:r>
          </w:p>
        </w:tc>
      </w:tr>
      <w:tr>
        <w:trPr>
          <w:trHeight w:val="1450" w:hRule="atLeast"/>
        </w:trPr>
        <w:tc>
          <w:tcPr>
            <w:tcW w:w="2461" w:type="dxa"/>
          </w:tcPr>
          <w:p>
            <w:pPr>
              <w:pStyle w:val="TableParagraph"/>
              <w:tabs>
                <w:tab w:pos="1419" w:val="left" w:leader="none"/>
              </w:tabs>
              <w:spacing w:line="204" w:lineRule="auto" w:before="161"/>
              <w:ind w:right="140"/>
              <w:rPr>
                <w:sz w:val="16"/>
              </w:rPr>
            </w:pPr>
            <w:r>
              <w:rPr>
                <w:w w:val="105"/>
                <w:sz w:val="16"/>
              </w:rPr>
              <w:t>Оценка</w:t>
              <w:tab/>
            </w:r>
            <w:r>
              <w:rPr>
                <w:spacing w:val="-1"/>
                <w:sz w:val="16"/>
              </w:rPr>
              <w:t>факторов, </w:t>
            </w:r>
            <w:r>
              <w:rPr>
                <w:w w:val="105"/>
                <w:sz w:val="16"/>
              </w:rPr>
              <w:t>изменяющих</w:t>
            </w:r>
            <w:r>
              <w:rPr>
                <w:spacing w:val="-5"/>
                <w:w w:val="105"/>
                <w:sz w:val="16"/>
              </w:rPr>
              <w:t> </w:t>
            </w:r>
            <w:r>
              <w:rPr>
                <w:w w:val="105"/>
                <w:sz w:val="16"/>
              </w:rPr>
              <w:t>риск</w:t>
            </w:r>
          </w:p>
        </w:tc>
        <w:tc>
          <w:tcPr>
            <w:tcW w:w="5972" w:type="dxa"/>
          </w:tcPr>
          <w:p>
            <w:pPr>
              <w:pStyle w:val="TableParagraph"/>
              <w:spacing w:line="204" w:lineRule="auto" w:before="161"/>
              <w:ind w:right="142"/>
              <w:jc w:val="both"/>
              <w:rPr>
                <w:sz w:val="16"/>
              </w:rPr>
            </w:pPr>
            <w:r>
              <w:rPr>
                <w:w w:val="105"/>
                <w:sz w:val="16"/>
              </w:rPr>
              <w:t>У отдельных пациентов низкого или умеренного риска целесообразно оценвать дополнительные факторы, которые могут повлиять на стратификацию по риску и выбор тактики лечения: повышение аполипопротеина В, липопротеина (а)</w:t>
            </w:r>
            <w:r>
              <w:rPr>
                <w:spacing w:val="-41"/>
                <w:w w:val="105"/>
                <w:sz w:val="16"/>
              </w:rPr>
              <w:t> </w:t>
            </w:r>
            <w:r>
              <w:rPr>
                <w:w w:val="105"/>
                <w:sz w:val="16"/>
              </w:rPr>
              <w:t>или С-реактивного белка, семейный анамнез ранних атеросклеротических ССЗ, выявление атеросклеротической бляшки</w:t>
            </w:r>
          </w:p>
        </w:tc>
      </w:tr>
      <w:tr>
        <w:trPr>
          <w:trHeight w:val="955" w:hRule="atLeast"/>
        </w:trPr>
        <w:tc>
          <w:tcPr>
            <w:tcW w:w="2461" w:type="dxa"/>
          </w:tcPr>
          <w:p>
            <w:pPr>
              <w:pStyle w:val="TableParagraph"/>
              <w:tabs>
                <w:tab w:pos="1807" w:val="left" w:leader="none"/>
                <w:tab w:pos="2201" w:val="left" w:leader="none"/>
              </w:tabs>
              <w:spacing w:line="204" w:lineRule="auto" w:before="161"/>
              <w:ind w:right="138"/>
              <w:rPr>
                <w:sz w:val="16"/>
              </w:rPr>
            </w:pPr>
            <w:r>
              <w:rPr>
                <w:w w:val="105"/>
                <w:sz w:val="16"/>
              </w:rPr>
              <w:t>Стратификация</w:t>
              <w:tab/>
            </w:r>
            <w:r>
              <w:rPr>
                <w:spacing w:val="-4"/>
                <w:w w:val="105"/>
                <w:sz w:val="16"/>
              </w:rPr>
              <w:t>риска </w:t>
            </w:r>
            <w:r>
              <w:rPr>
                <w:w w:val="105"/>
                <w:sz w:val="16"/>
              </w:rPr>
              <w:t>сердечно-сосудистых осложнений</w:t>
              <w:tab/>
              <w:tab/>
            </w:r>
            <w:r>
              <w:rPr>
                <w:spacing w:val="-16"/>
                <w:w w:val="105"/>
                <w:sz w:val="16"/>
              </w:rPr>
              <w:t>у </w:t>
            </w:r>
            <w:r>
              <w:rPr>
                <w:w w:val="105"/>
                <w:sz w:val="16"/>
              </w:rPr>
              <w:t>пациентов с</w:t>
            </w:r>
            <w:r>
              <w:rPr>
                <w:spacing w:val="-7"/>
                <w:w w:val="105"/>
                <w:sz w:val="16"/>
              </w:rPr>
              <w:t> </w:t>
            </w:r>
            <w:r>
              <w:rPr>
                <w:w w:val="105"/>
                <w:sz w:val="16"/>
              </w:rPr>
              <w:t>АГ</w:t>
            </w:r>
          </w:p>
        </w:tc>
        <w:tc>
          <w:tcPr>
            <w:tcW w:w="5972" w:type="dxa"/>
          </w:tcPr>
          <w:p>
            <w:pPr>
              <w:pStyle w:val="TableParagraph"/>
              <w:spacing w:line="204" w:lineRule="auto" w:before="161"/>
              <w:rPr>
                <w:sz w:val="16"/>
              </w:rPr>
            </w:pPr>
            <w:r>
              <w:rPr>
                <w:w w:val="105"/>
                <w:sz w:val="16"/>
              </w:rPr>
              <w:t>На основании уровня АД, наличия ФР, ПОМ, АКС, ХБП 3–5-й стадий, СД</w:t>
            </w:r>
          </w:p>
        </w:tc>
      </w:tr>
    </w:tbl>
    <w:p>
      <w:pPr>
        <w:pStyle w:val="BodyText"/>
        <w:spacing w:line="256" w:lineRule="auto" w:before="16"/>
        <w:ind w:left="380" w:right="135"/>
      </w:pPr>
      <w:r>
        <w:rPr/>
        <w:t>АГ — артериальная гипертензия, АД — артериальное давление, </w:t>
      </w:r>
      <w:r>
        <w:rPr>
          <w:spacing w:val="-3"/>
        </w:rPr>
        <w:t>АКС </w:t>
      </w:r>
      <w:r>
        <w:rPr/>
        <w:t>— ассоциированное клиническое состояние, ПОМ — поражение органов-мишеней, </w:t>
      </w:r>
      <w:r>
        <w:rPr>
          <w:spacing w:val="-4"/>
        </w:rPr>
        <w:t>СД</w:t>
      </w:r>
      <w:r>
        <w:rPr>
          <w:spacing w:val="59"/>
        </w:rPr>
        <w:t> </w:t>
      </w:r>
      <w:r>
        <w:rPr/>
        <w:t>— сахарный диабет, </w:t>
      </w:r>
      <w:r>
        <w:rPr>
          <w:spacing w:val="-3"/>
        </w:rPr>
        <w:t>ССЗ </w:t>
      </w:r>
      <w:r>
        <w:rPr/>
        <w:t>— сердечно-сосудистое заболевание, ХБП — хроническая болезнь почек, ХС-ЛНП — холестерин липопротеинов низкой плотности, ФР — факторы риска.</w:t>
      </w:r>
    </w:p>
    <w:p>
      <w:pPr>
        <w:pStyle w:val="BodyText"/>
        <w:spacing w:before="273"/>
        <w:ind w:left="380"/>
      </w:pPr>
      <w:r>
        <w:rPr/>
        <w:t>Приложение Г3. Шкала SCORE</w:t>
      </w:r>
    </w:p>
    <w:p>
      <w:pPr>
        <w:pStyle w:val="BodyText"/>
        <w:spacing w:before="0"/>
        <w:ind w:left="0"/>
        <w:jc w:val="left"/>
        <w:rPr>
          <w:sz w:val="36"/>
        </w:rPr>
      </w:pPr>
    </w:p>
    <w:p>
      <w:pPr>
        <w:pStyle w:val="BodyText"/>
        <w:spacing w:before="12"/>
        <w:ind w:left="0"/>
        <w:jc w:val="left"/>
        <w:rPr>
          <w:sz w:val="34"/>
        </w:rPr>
      </w:pPr>
    </w:p>
    <w:p>
      <w:pPr>
        <w:spacing w:before="0"/>
        <w:ind w:left="380" w:right="0" w:firstLine="0"/>
        <w:jc w:val="left"/>
        <w:rPr>
          <w:sz w:val="27"/>
        </w:rPr>
      </w:pPr>
      <w:r>
        <w:rPr>
          <w:b/>
          <w:w w:val="105"/>
          <w:sz w:val="27"/>
        </w:rPr>
        <w:t>Название на русском языке: </w:t>
      </w:r>
      <w:r>
        <w:rPr>
          <w:w w:val="105"/>
          <w:sz w:val="27"/>
        </w:rPr>
        <w:t>Шкала SCORE</w:t>
      </w:r>
    </w:p>
    <w:p>
      <w:pPr>
        <w:spacing w:line="256" w:lineRule="auto" w:before="296"/>
        <w:ind w:left="380" w:right="140" w:firstLine="0"/>
        <w:jc w:val="both"/>
        <w:rPr>
          <w:sz w:val="27"/>
        </w:rPr>
      </w:pPr>
      <w:r>
        <w:rPr>
          <w:b/>
          <w:sz w:val="27"/>
        </w:rPr>
        <w:t>Оригинальноеназвание (еслиесть):</w:t>
      </w:r>
      <w:r>
        <w:rPr>
          <w:sz w:val="27"/>
        </w:rPr>
        <w:t>SCORE scale (Systematic COronary Risk Evaluation)</w:t>
      </w:r>
    </w:p>
    <w:p>
      <w:pPr>
        <w:spacing w:line="256" w:lineRule="auto" w:before="271"/>
        <w:ind w:left="380" w:right="136" w:firstLine="0"/>
        <w:jc w:val="both"/>
        <w:rPr>
          <w:sz w:val="27"/>
        </w:rPr>
      </w:pPr>
      <w:r>
        <w:rPr>
          <w:b/>
          <w:sz w:val="27"/>
        </w:rPr>
        <w:t>Источник (официальный сайт разработчиков, публикация с валидацией): </w:t>
      </w:r>
      <w:hyperlink r:id="rId20">
        <w:r>
          <w:rPr>
            <w:sz w:val="27"/>
          </w:rPr>
          <w:t>http://www.heartscore.org/ru_RU</w:t>
        </w:r>
      </w:hyperlink>
    </w:p>
    <w:p>
      <w:pPr>
        <w:pStyle w:val="Heading3"/>
        <w:ind w:left="380"/>
      </w:pPr>
      <w:r>
        <w:rPr/>
        <w:t>Тип (подчеркнуть):</w:t>
      </w:r>
    </w:p>
    <w:p>
      <w:pPr>
        <w:pStyle w:val="ListParagraph"/>
        <w:numPr>
          <w:ilvl w:val="0"/>
          <w:numId w:val="10"/>
        </w:numPr>
        <w:tabs>
          <w:tab w:pos="562" w:val="left" w:leader="none"/>
        </w:tabs>
        <w:spacing w:line="240" w:lineRule="auto" w:before="296" w:after="0"/>
        <w:ind w:left="561" w:right="0" w:hanging="182"/>
        <w:jc w:val="left"/>
        <w:rPr>
          <w:sz w:val="27"/>
        </w:rPr>
      </w:pPr>
      <w:r>
        <w:rPr>
          <w:sz w:val="27"/>
          <w:u w:val="single"/>
        </w:rPr>
        <w:t>шкала</w:t>
      </w:r>
      <w:r>
        <w:rPr>
          <w:spacing w:val="-16"/>
          <w:sz w:val="27"/>
          <w:u w:val="single"/>
        </w:rPr>
        <w:t> </w:t>
      </w:r>
      <w:r>
        <w:rPr>
          <w:sz w:val="27"/>
          <w:u w:val="single"/>
        </w:rPr>
        <w:t>оценки</w:t>
      </w:r>
    </w:p>
    <w:p>
      <w:pPr>
        <w:pStyle w:val="ListParagraph"/>
        <w:numPr>
          <w:ilvl w:val="1"/>
          <w:numId w:val="10"/>
        </w:numPr>
        <w:tabs>
          <w:tab w:pos="938" w:val="left" w:leader="none"/>
        </w:tabs>
        <w:spacing w:line="240" w:lineRule="auto" w:before="296" w:after="0"/>
        <w:ind w:left="937" w:right="0" w:hanging="306"/>
        <w:jc w:val="left"/>
        <w:rPr>
          <w:sz w:val="27"/>
        </w:rPr>
      </w:pPr>
      <w:r>
        <w:rPr>
          <w:w w:val="105"/>
          <w:sz w:val="27"/>
        </w:rPr>
        <w:t>индекс</w:t>
      </w:r>
    </w:p>
    <w:p>
      <w:pPr>
        <w:pStyle w:val="ListParagraph"/>
        <w:numPr>
          <w:ilvl w:val="1"/>
          <w:numId w:val="10"/>
        </w:numPr>
        <w:tabs>
          <w:tab w:pos="938" w:val="left" w:leader="none"/>
        </w:tabs>
        <w:spacing w:line="240" w:lineRule="auto" w:before="296" w:after="0"/>
        <w:ind w:left="937" w:right="0" w:hanging="306"/>
        <w:jc w:val="left"/>
        <w:rPr>
          <w:sz w:val="27"/>
        </w:rPr>
      </w:pPr>
      <w:r>
        <w:rPr>
          <w:sz w:val="27"/>
        </w:rPr>
        <w:t>вопросник</w:t>
      </w:r>
    </w:p>
    <w:p>
      <w:pPr>
        <w:pStyle w:val="ListParagraph"/>
        <w:numPr>
          <w:ilvl w:val="1"/>
          <w:numId w:val="10"/>
        </w:numPr>
        <w:tabs>
          <w:tab w:pos="938" w:val="left" w:leader="none"/>
        </w:tabs>
        <w:spacing w:line="240" w:lineRule="auto" w:before="296" w:after="0"/>
        <w:ind w:left="937" w:right="0" w:hanging="306"/>
        <w:jc w:val="left"/>
        <w:rPr>
          <w:sz w:val="27"/>
        </w:rPr>
      </w:pPr>
      <w:r>
        <w:rPr>
          <w:w w:val="105"/>
          <w:sz w:val="27"/>
        </w:rPr>
        <w:t>другое</w:t>
      </w:r>
      <w:r>
        <w:rPr>
          <w:spacing w:val="-7"/>
          <w:w w:val="105"/>
          <w:sz w:val="27"/>
        </w:rPr>
        <w:t> </w:t>
      </w:r>
      <w:r>
        <w:rPr>
          <w:w w:val="105"/>
          <w:sz w:val="27"/>
        </w:rPr>
        <w:t>(уточнить):</w:t>
      </w:r>
    </w:p>
    <w:p>
      <w:pPr>
        <w:pStyle w:val="BodyText"/>
        <w:spacing w:line="256" w:lineRule="auto" w:before="296"/>
        <w:ind w:left="380" w:right="131"/>
      </w:pPr>
      <w:r>
        <w:rPr>
          <w:b/>
          <w:w w:val="105"/>
        </w:rPr>
        <w:t>Назначение: </w:t>
      </w:r>
      <w:r>
        <w:rPr>
          <w:w w:val="105"/>
        </w:rPr>
        <w:t>клинический инструмент для оценки риска смертельного</w:t>
      </w:r>
      <w:r>
        <w:rPr>
          <w:spacing w:val="-47"/>
          <w:w w:val="105"/>
        </w:rPr>
        <w:t> </w:t>
      </w:r>
      <w:r>
        <w:rPr>
          <w:w w:val="105"/>
        </w:rPr>
        <w:t>сердечно-сосудистого</w:t>
      </w:r>
      <w:r>
        <w:rPr>
          <w:spacing w:val="-47"/>
          <w:w w:val="105"/>
        </w:rPr>
        <w:t> </w:t>
      </w:r>
      <w:r>
        <w:rPr>
          <w:w w:val="105"/>
        </w:rPr>
        <w:t>заболевания</w:t>
      </w:r>
      <w:r>
        <w:rPr>
          <w:spacing w:val="-46"/>
          <w:w w:val="105"/>
        </w:rPr>
        <w:t> </w:t>
      </w:r>
      <w:r>
        <w:rPr>
          <w:w w:val="105"/>
        </w:rPr>
        <w:t>в</w:t>
      </w:r>
      <w:r>
        <w:rPr>
          <w:spacing w:val="-47"/>
          <w:w w:val="105"/>
        </w:rPr>
        <w:t> </w:t>
      </w:r>
      <w:r>
        <w:rPr>
          <w:w w:val="105"/>
        </w:rPr>
        <w:t>течение</w:t>
      </w:r>
      <w:r>
        <w:rPr>
          <w:spacing w:val="-46"/>
          <w:w w:val="105"/>
        </w:rPr>
        <w:t> </w:t>
      </w:r>
      <w:r>
        <w:rPr>
          <w:w w:val="105"/>
        </w:rPr>
        <w:t>10</w:t>
      </w:r>
      <w:r>
        <w:rPr>
          <w:spacing w:val="-47"/>
          <w:w w:val="105"/>
        </w:rPr>
        <w:t> </w:t>
      </w:r>
      <w:r>
        <w:rPr>
          <w:w w:val="105"/>
        </w:rPr>
        <w:t>лет. Настоящая шкала разработана для стран с высоким уровнем смертности </w:t>
      </w:r>
      <w:r>
        <w:rPr>
          <w:spacing w:val="-3"/>
          <w:w w:val="105"/>
        </w:rPr>
        <w:t>от ССЗ </w:t>
      </w:r>
      <w:r>
        <w:rPr>
          <w:w w:val="105"/>
        </w:rPr>
        <w:t>(включая Россию) на основании следующих факторов:</w:t>
      </w:r>
      <w:r>
        <w:rPr>
          <w:spacing w:val="15"/>
          <w:w w:val="105"/>
        </w:rPr>
        <w:t> </w:t>
      </w:r>
      <w:r>
        <w:rPr>
          <w:w w:val="105"/>
        </w:rPr>
        <w:t>возраст,</w:t>
      </w:r>
      <w:r>
        <w:rPr>
          <w:spacing w:val="15"/>
          <w:w w:val="105"/>
        </w:rPr>
        <w:t> </w:t>
      </w:r>
      <w:r>
        <w:rPr>
          <w:w w:val="105"/>
        </w:rPr>
        <w:t>пол,</w:t>
      </w:r>
      <w:r>
        <w:rPr>
          <w:spacing w:val="15"/>
          <w:w w:val="105"/>
        </w:rPr>
        <w:t> </w:t>
      </w:r>
      <w:r>
        <w:rPr>
          <w:w w:val="105"/>
        </w:rPr>
        <w:t>курение,</w:t>
      </w:r>
      <w:r>
        <w:rPr>
          <w:spacing w:val="15"/>
          <w:w w:val="105"/>
        </w:rPr>
        <w:t> </w:t>
      </w:r>
      <w:r>
        <w:rPr>
          <w:w w:val="105"/>
        </w:rPr>
        <w:t>уровень</w:t>
      </w:r>
      <w:r>
        <w:rPr>
          <w:spacing w:val="15"/>
          <w:w w:val="105"/>
        </w:rPr>
        <w:t> </w:t>
      </w:r>
      <w:r>
        <w:rPr>
          <w:w w:val="105"/>
        </w:rPr>
        <w:t>систолического</w:t>
      </w:r>
      <w:r>
        <w:rPr>
          <w:spacing w:val="15"/>
          <w:w w:val="105"/>
        </w:rPr>
        <w:t> </w:t>
      </w:r>
      <w:r>
        <w:rPr>
          <w:w w:val="105"/>
        </w:rPr>
        <w:t>АД</w:t>
      </w:r>
      <w:r>
        <w:rPr>
          <w:spacing w:val="15"/>
          <w:w w:val="105"/>
        </w:rPr>
        <w:t> </w:t>
      </w:r>
      <w:r>
        <w:rPr>
          <w:w w:val="105"/>
        </w:rPr>
        <w:t>и</w:t>
      </w:r>
    </w:p>
    <w:p>
      <w:pPr>
        <w:spacing w:after="0" w:line="256" w:lineRule="auto"/>
        <w:sectPr>
          <w:pgSz w:w="11900" w:h="16840"/>
          <w:pgMar w:top="0" w:bottom="280" w:left="1420" w:right="1520"/>
        </w:sectPr>
      </w:pPr>
    </w:p>
    <w:p>
      <w:pPr>
        <w:pStyle w:val="BodyText"/>
        <w:spacing w:line="256" w:lineRule="auto" w:before="16"/>
        <w:ind w:left="380" w:right="132"/>
      </w:pPr>
      <w:r>
        <w:rPr/>
        <w:t>ОХС. Уровень ХС ЛВП не учитывается. Общая оценка риска с помощью SCORE рекомендуется у бессимптомных взрослых старше 40 лет, без ССЗ, СД, ХБП или СГХС.</w:t>
      </w:r>
    </w:p>
    <w:p>
      <w:pPr>
        <w:pStyle w:val="BodyText"/>
        <w:spacing w:before="0"/>
        <w:ind w:left="0"/>
        <w:jc w:val="left"/>
        <w:rPr>
          <w:sz w:val="20"/>
        </w:rPr>
      </w:pPr>
    </w:p>
    <w:p>
      <w:pPr>
        <w:pStyle w:val="BodyText"/>
        <w:spacing w:before="0"/>
        <w:ind w:left="0"/>
        <w:jc w:val="left"/>
        <w:rPr>
          <w:sz w:val="20"/>
        </w:rPr>
      </w:pPr>
    </w:p>
    <w:p>
      <w:pPr>
        <w:pStyle w:val="BodyText"/>
        <w:ind w:left="0"/>
        <w:jc w:val="left"/>
        <w:rPr>
          <w:sz w:val="10"/>
        </w:rPr>
      </w:pPr>
      <w:r>
        <w:rPr/>
        <w:drawing>
          <wp:anchor distT="0" distB="0" distL="0" distR="0" allowOverlap="1" layoutInCell="1" locked="0" behindDoc="0" simplePos="0" relativeHeight="425">
            <wp:simplePos x="0" y="0"/>
            <wp:positionH relativeFrom="page">
              <wp:posOffset>1320245</wp:posOffset>
            </wp:positionH>
            <wp:positionV relativeFrom="paragraph">
              <wp:posOffset>111409</wp:posOffset>
            </wp:positionV>
            <wp:extent cx="5075372" cy="7600378"/>
            <wp:effectExtent l="0" t="0" r="0" b="0"/>
            <wp:wrapTopAndBottom/>
            <wp:docPr id="37" name="image13.png"/>
            <wp:cNvGraphicFramePr>
              <a:graphicFrameLocks noChangeAspect="1"/>
            </wp:cNvGraphicFramePr>
            <a:graphic>
              <a:graphicData uri="http://schemas.openxmlformats.org/drawingml/2006/picture">
                <pic:pic>
                  <pic:nvPicPr>
                    <pic:cNvPr id="38" name="image13.png"/>
                    <pic:cNvPicPr/>
                  </pic:nvPicPr>
                  <pic:blipFill>
                    <a:blip r:embed="rId21" cstate="print"/>
                    <a:stretch>
                      <a:fillRect/>
                    </a:stretch>
                  </pic:blipFill>
                  <pic:spPr>
                    <a:xfrm>
                      <a:off x="0" y="0"/>
                      <a:ext cx="5075372" cy="7600378"/>
                    </a:xfrm>
                    <a:prstGeom prst="rect">
                      <a:avLst/>
                    </a:prstGeom>
                  </pic:spPr>
                </pic:pic>
              </a:graphicData>
            </a:graphic>
          </wp:anchor>
        </w:drawing>
      </w:r>
    </w:p>
    <w:p>
      <w:pPr>
        <w:pStyle w:val="BodyText"/>
        <w:spacing w:before="0"/>
        <w:ind w:left="0"/>
        <w:jc w:val="left"/>
        <w:rPr>
          <w:sz w:val="20"/>
        </w:rPr>
      </w:pPr>
    </w:p>
    <w:p>
      <w:pPr>
        <w:pStyle w:val="BodyText"/>
        <w:spacing w:before="11"/>
        <w:ind w:left="0"/>
        <w:jc w:val="left"/>
        <w:rPr>
          <w:sz w:val="15"/>
        </w:rPr>
      </w:pPr>
      <w:r>
        <w:rPr/>
        <w:drawing>
          <wp:anchor distT="0" distB="0" distL="0" distR="0" allowOverlap="1" layoutInCell="1" locked="0" behindDoc="0" simplePos="0" relativeHeight="426">
            <wp:simplePos x="0" y="0"/>
            <wp:positionH relativeFrom="page">
              <wp:posOffset>1362647</wp:posOffset>
            </wp:positionH>
            <wp:positionV relativeFrom="paragraph">
              <wp:posOffset>160577</wp:posOffset>
            </wp:positionV>
            <wp:extent cx="3238499" cy="257175"/>
            <wp:effectExtent l="0" t="0" r="0" b="0"/>
            <wp:wrapTopAndBottom/>
            <wp:docPr id="39" name="image14.png"/>
            <wp:cNvGraphicFramePr>
              <a:graphicFrameLocks noChangeAspect="1"/>
            </wp:cNvGraphicFramePr>
            <a:graphic>
              <a:graphicData uri="http://schemas.openxmlformats.org/drawingml/2006/picture">
                <pic:pic>
                  <pic:nvPicPr>
                    <pic:cNvPr id="40" name="image14.png"/>
                    <pic:cNvPicPr/>
                  </pic:nvPicPr>
                  <pic:blipFill>
                    <a:blip r:embed="rId22" cstate="print"/>
                    <a:stretch>
                      <a:fillRect/>
                    </a:stretch>
                  </pic:blipFill>
                  <pic:spPr>
                    <a:xfrm>
                      <a:off x="0" y="0"/>
                      <a:ext cx="3238499" cy="257175"/>
                    </a:xfrm>
                    <a:prstGeom prst="rect">
                      <a:avLst/>
                    </a:prstGeom>
                  </pic:spPr>
                </pic:pic>
              </a:graphicData>
            </a:graphic>
          </wp:anchor>
        </w:drawing>
      </w:r>
    </w:p>
    <w:p>
      <w:pPr>
        <w:pStyle w:val="BodyText"/>
        <w:spacing w:before="12"/>
        <w:ind w:left="0"/>
        <w:jc w:val="left"/>
        <w:rPr>
          <w:sz w:val="21"/>
        </w:rPr>
      </w:pPr>
    </w:p>
    <w:p>
      <w:pPr>
        <w:pStyle w:val="Heading3"/>
        <w:spacing w:before="97"/>
        <w:ind w:left="380"/>
      </w:pPr>
      <w:r>
        <w:rPr/>
        <w:t>Ключ (интерпретация):</w:t>
      </w:r>
    </w:p>
    <w:p>
      <w:pPr>
        <w:pStyle w:val="BodyText"/>
        <w:spacing w:before="296"/>
        <w:ind w:left="380"/>
        <w:jc w:val="left"/>
      </w:pPr>
      <w:r>
        <w:rPr/>
        <w:t>Уровень суммарного СС риск по шкале SCORE:</w:t>
      </w:r>
    </w:p>
    <w:p>
      <w:pPr>
        <w:spacing w:after="0"/>
        <w:jc w:val="left"/>
        <w:sectPr>
          <w:pgSz w:w="11900" w:h="16840"/>
          <w:pgMar w:top="0" w:bottom="280" w:left="1420" w:right="1520"/>
        </w:sectPr>
      </w:pPr>
    </w:p>
    <w:p>
      <w:pPr>
        <w:pStyle w:val="BodyText"/>
        <w:spacing w:before="16"/>
        <w:ind w:left="380"/>
        <w:jc w:val="left"/>
      </w:pPr>
      <w:r>
        <w:rPr/>
        <w:pict>
          <v:shape style="position:absolute;margin-left:90.037003pt;margin-top:841.846985pt;width:422.45pt;height:.1pt;mso-position-horizontal-relative:page;mso-position-vertical-relative:page;z-index:15947264" coordorigin="1801,16837" coordsize="8449,1" path="m10249,16837l10249,16837,1801,16837,1801,16837,10249,16837xe" filled="true" fillcolor="#000000" stroked="false">
            <v:path arrowok="t"/>
            <v:fill type="solid"/>
            <w10:wrap type="none"/>
          </v:shape>
        </w:pict>
      </w:r>
      <w:r>
        <w:rPr/>
        <w:pict>
          <v:shape style="position:absolute;margin-left:204.83606pt;margin-top:395.412292pt;width:3.05pt;height:3.05pt;mso-position-horizontal-relative:page;mso-position-vertical-relative:page;z-index:-18160640" coordorigin="4097,7908" coordsize="61,61" path="m4135,7968l4118,7968,4111,7965,4100,7954,4097,7946,4097,7930,4100,7923,4111,7911,4118,7908,4135,7908,4142,7911,4154,7923,4157,7930,4157,7938,4157,7946,4154,7954,4142,7965,4135,7968xe" filled="true" fillcolor="#000000" stroked="false">
            <v:path arrowok="t"/>
            <v:fill type="solid"/>
            <w10:wrap type="none"/>
          </v:shape>
        </w:pict>
      </w:r>
      <w:r>
        <w:rPr/>
        <w:pict>
          <v:shape style="position:absolute;margin-left:204.83606pt;margin-top:473.445068pt;width:3.05pt;height:3.05pt;mso-position-horizontal-relative:page;mso-position-vertical-relative:page;z-index:-18160128" coordorigin="4097,9469" coordsize="61,61" path="m4127,9529l4118,9529,4111,9526,4100,9514,4097,9507,4097,9490,4100,9483,4106,9477,4111,9472,4118,9469,4135,9469,4142,9472,4148,9477,4154,9483,4157,9490,4157,9499,4157,9507,4154,9514,4142,9526,4135,9529,4127,9529xe" filled="true" fillcolor="#000000" stroked="false">
            <v:path arrowok="t"/>
            <v:fill type="solid"/>
            <w10:wrap type="none"/>
          </v:shape>
        </w:pict>
      </w:r>
      <w:r>
        <w:rPr/>
        <w:pict>
          <v:shape style="position:absolute;margin-left:204.83606pt;margin-top:512.461487pt;width:3.05pt;height:3.05pt;mso-position-horizontal-relative:page;mso-position-vertical-relative:page;z-index:-18159616" coordorigin="4097,10249" coordsize="61,61" path="m4135,10309l4118,10309,4111,10306,4100,10294,4097,10287,4097,10271,4100,10264,4111,10252,4118,10249,4135,10249,4142,10252,4154,10264,4157,10271,4157,10279,4157,10287,4154,10294,4142,10306,4135,10309xe" filled="true" fillcolor="#000000" stroked="false">
            <v:path arrowok="t"/>
            <v:fill type="solid"/>
            <w10:wrap type="none"/>
          </v:shape>
        </w:pict>
      </w:r>
      <w:r>
        <w:rPr/>
        <w:pict>
          <v:shape style="position:absolute;margin-left:204.83606pt;margin-top:551.477844pt;width:3.05pt;height:3.05pt;mso-position-horizontal-relative:page;mso-position-vertical-relative:page;z-index:-18159104" coordorigin="4097,11030" coordsize="61,61" path="m4127,11090l4118,11089,4111,11087,4100,11075,4097,11068,4097,11051,4100,11044,4111,11032,4118,11030,4135,11030,4142,11032,4154,11044,4157,11051,4157,11060,4157,11068,4154,11075,4142,11087,4135,11089,4127,11090xe" filled="true" fillcolor="#000000" stroked="false">
            <v:path arrowok="t"/>
            <v:fill type="solid"/>
            <w10:wrap type="none"/>
          </v:shape>
        </w:pict>
      </w:r>
      <w:r>
        <w:rPr/>
        <w:pict>
          <v:shape style="position:absolute;margin-left:204.83606pt;margin-top:570.986023pt;width:3.05pt;height:3.05pt;mso-position-horizontal-relative:page;mso-position-vertical-relative:page;z-index:-18158592" coordorigin="4097,11420" coordsize="61,61" path="m4127,11480l4118,11480,4111,11476,4100,11465,4097,11458,4097,11441,4100,11434,4111,11423,4118,11420,4135,11420,4142,11423,4154,11434,4157,11441,4157,11450,4157,11458,4154,11465,4142,11476,4135,11480,4127,11480xe" filled="true" fillcolor="#000000" stroked="false">
            <v:path arrowok="t"/>
            <v:fill type="solid"/>
            <w10:wrap type="none"/>
          </v:shape>
        </w:pict>
      </w:r>
      <w:r>
        <w:rPr/>
        <w:pict>
          <v:shape style="position:absolute;margin-left:204.83606pt;margin-top:590.494263pt;width:3.05pt;height:3.05pt;mso-position-horizontal-relative:page;mso-position-vertical-relative:page;z-index:-18158080" coordorigin="4097,11810" coordsize="61,61" path="m4135,11870l4118,11870,4111,11867,4100,11855,4097,11848,4097,11831,4100,11824,4111,11813,4118,11810,4135,11810,4142,11813,4154,11824,4157,11831,4157,11840,4157,11848,4154,11855,4142,11867,4135,11870xe" filled="true" fillcolor="#000000" stroked="false">
            <v:path arrowok="t"/>
            <v:fill type="solid"/>
            <w10:wrap type="none"/>
          </v:shape>
        </w:pict>
      </w:r>
      <w:r>
        <w:rPr/>
        <w:pict>
          <v:shape style="position:absolute;margin-left:204.83606pt;margin-top:625.759033pt;width:3.05pt;height:3.05pt;mso-position-horizontal-relative:page;mso-position-vertical-relative:page;z-index:-18157568" coordorigin="4097,12515" coordsize="61,61" path="m4127,12575l4118,12575,4111,12572,4100,12560,4097,12553,4097,12537,4100,12530,4111,12518,4118,12515,4135,12515,4142,12518,4154,12530,4157,12537,4157,12545,4157,12553,4154,12560,4142,12572,4135,12575,4127,12575xe" filled="true" fillcolor="#000000" stroked="false">
            <v:path arrowok="t"/>
            <v:fill type="solid"/>
            <w10:wrap type="none"/>
          </v:shape>
        </w:pict>
      </w:r>
      <w:r>
        <w:rPr/>
        <w:pict>
          <v:shape style="position:absolute;margin-left:204.83606pt;margin-top:664.775452pt;width:3.05pt;height:3.05pt;mso-position-horizontal-relative:page;mso-position-vertical-relative:page;z-index:-18157056" coordorigin="4097,13296" coordsize="61,61" path="m4127,13356l4118,13355,4111,13352,4100,13341,4097,13334,4097,13317,4100,13310,4106,13304,4111,13298,4118,13296,4135,13296,4142,13298,4148,13304,4154,13310,4157,13317,4157,13326,4157,13334,4154,13341,4142,13352,4135,13355,4127,13356xe" filled="true" fillcolor="#000000" stroked="false">
            <v:path arrowok="t"/>
            <v:fill type="solid"/>
            <w10:wrap type="none"/>
          </v:shape>
        </w:pict>
      </w:r>
      <w:r>
        <w:rPr/>
        <w:pict>
          <v:shape style="position:absolute;margin-left:204.83606pt;margin-top:684.28363pt;width:3.05pt;height:3.05pt;mso-position-horizontal-relative:page;mso-position-vertical-relative:page;z-index:-18156544" coordorigin="4097,13686" coordsize="61,61" path="m4127,13746l4118,13745,4111,13743,4100,13731,4097,13724,4097,13707,4100,13700,4111,13688,4118,13686,4135,13686,4142,13688,4154,13700,4157,13707,4157,13716,4157,13724,4154,13731,4142,13743,4135,13745,4127,13746xe" filled="true" fillcolor="#000000" stroked="false">
            <v:path arrowok="t"/>
            <v:fill type="solid"/>
            <w10:wrap type="none"/>
          </v:shape>
        </w:pict>
      </w:r>
      <w:r>
        <w:rPr/>
        <w:pict>
          <v:shape style="position:absolute;margin-left:204.83606pt;margin-top:703.79187pt;width:3.05pt;height:3.05pt;mso-position-horizontal-relative:page;mso-position-vertical-relative:page;z-index:-18156032" coordorigin="4097,14076" coordsize="61,61" path="m4135,14136l4118,14136,4111,14133,4100,14121,4097,14114,4097,14097,4100,14090,4111,14079,4118,14076,4135,14076,4142,14079,4154,14090,4157,14097,4157,14106,4157,14114,4154,14121,4142,14133,4135,14136xe" filled="true" fillcolor="#000000" stroked="false">
            <v:path arrowok="t"/>
            <v:fill type="solid"/>
            <w10:wrap type="none"/>
          </v:shape>
        </w:pict>
      </w:r>
      <w:r>
        <w:rPr/>
        <w:pict>
          <v:shape style="position:absolute;margin-left:204.83606pt;margin-top:723.300049pt;width:3.05pt;height:3.05pt;mso-position-horizontal-relative:page;mso-position-vertical-relative:page;z-index:-18155520" coordorigin="4097,14466" coordsize="61,61" path="m4135,14526l4118,14526,4111,14523,4100,14511,4097,14504,4097,14488,4100,14480,4106,14474,4111,14469,4118,14466,4135,14466,4142,14469,4148,14474,4154,14480,4157,14488,4157,14496,4157,14504,4154,14511,4142,14523,4135,14526xe" filled="true" fillcolor="#000000" stroked="false">
            <v:path arrowok="t"/>
            <v:fill type="solid"/>
            <w10:wrap type="none"/>
          </v:shape>
        </w:pict>
      </w:r>
      <w:r>
        <w:rPr/>
        <w:pict>
          <v:shape style="position:absolute;margin-left:204.83606pt;margin-top:742.808228pt;width:3.05pt;height:3.05pt;mso-position-horizontal-relative:page;mso-position-vertical-relative:page;z-index:-18155008" coordorigin="4097,14856" coordsize="61,61" path="m4127,14916l4118,14916,4111,14913,4100,14901,4097,14894,4097,14878,4100,14871,4111,14859,4118,14856,4135,14856,4142,14859,4154,14871,4157,14878,4157,14886,4157,14894,4154,14901,4142,14913,4135,14916,4127,14916xe" filled="true" fillcolor="#000000" stroked="false">
            <v:path arrowok="t"/>
            <v:fill type="solid"/>
            <w10:wrap type="none"/>
          </v:shape>
        </w:pict>
      </w:r>
      <w:r>
        <w:rPr/>
        <w:t>менее 1% — низкий.</w:t>
      </w:r>
    </w:p>
    <w:p>
      <w:pPr>
        <w:pStyle w:val="BodyText"/>
        <w:spacing w:line="434" w:lineRule="auto" w:before="296"/>
        <w:ind w:left="380" w:right="1966"/>
        <w:jc w:val="left"/>
      </w:pPr>
      <w:r>
        <w:rPr/>
        <w:t>от 1 до 4% — средний или умеренно повышенный. от 5% до 9% — высокий.</w:t>
      </w:r>
    </w:p>
    <w:p>
      <w:pPr>
        <w:pStyle w:val="BodyText"/>
        <w:spacing w:before="2"/>
        <w:ind w:left="380"/>
        <w:jc w:val="left"/>
      </w:pPr>
      <w:r>
        <w:rPr/>
        <w:t>&gt;10% — очень высокий.</w:t>
      </w:r>
    </w:p>
    <w:p>
      <w:pPr>
        <w:spacing w:before="296"/>
        <w:ind w:left="380" w:right="0" w:firstLine="0"/>
        <w:jc w:val="left"/>
        <w:rPr>
          <w:sz w:val="27"/>
        </w:rPr>
      </w:pPr>
      <w:r>
        <w:rPr>
          <w:b/>
          <w:w w:val="105"/>
          <w:sz w:val="27"/>
        </w:rPr>
        <w:t>Пояснения: </w:t>
      </w:r>
      <w:r>
        <w:rPr>
          <w:w w:val="105"/>
          <w:sz w:val="27"/>
        </w:rPr>
        <w:t>нет</w:t>
      </w:r>
    </w:p>
    <w:p>
      <w:pPr>
        <w:pStyle w:val="Heading3"/>
        <w:tabs>
          <w:tab w:pos="1799" w:val="left" w:leader="none"/>
          <w:tab w:pos="3056" w:val="left" w:leader="none"/>
          <w:tab w:pos="4222" w:val="left" w:leader="none"/>
          <w:tab w:pos="6071" w:val="left" w:leader="none"/>
          <w:tab w:pos="7351" w:val="left" w:leader="none"/>
        </w:tabs>
        <w:spacing w:line="256" w:lineRule="auto" w:before="296"/>
        <w:ind w:left="380" w:right="129"/>
      </w:pPr>
      <w:r>
        <w:rPr/>
        <w:pict>
          <v:shape style="position:absolute;margin-left:204.83606pt;margin-top:83.745224pt;width:3.05pt;height:3.05pt;mso-position-horizontal-relative:page;mso-position-vertical-relative:paragraph;z-index:-18161152" coordorigin="4097,1675" coordsize="61,61" path="m4127,1735l4118,1735,4111,1732,4100,1720,4097,1713,4097,1696,4100,1689,4111,1678,4118,1675,4135,1675,4142,1678,4154,1689,4157,1696,4157,1705,4157,1713,4154,1720,4142,1732,4135,1735,4127,1735xe" filled="true" fillcolor="#000000" stroked="false">
            <v:path arrowok="t"/>
            <v:fill type="solid"/>
            <w10:wrap type="none"/>
          </v:shape>
        </w:pict>
      </w:r>
      <w:r>
        <w:rPr>
          <w:spacing w:val="-3"/>
        </w:rPr>
        <w:t>Таблица</w:t>
        <w:tab/>
      </w:r>
      <w:r>
        <w:rPr/>
        <w:t>П12/Г2.</w:t>
        <w:tab/>
        <w:t>Шкала</w:t>
        <w:tab/>
        <w:t>глобальной</w:t>
        <w:tab/>
        <w:t>оценки</w:t>
        <w:tab/>
      </w:r>
      <w:r>
        <w:rPr>
          <w:spacing w:val="-3"/>
        </w:rPr>
        <w:t>10-летнего </w:t>
      </w:r>
      <w:r>
        <w:rPr/>
        <w:t>сердечно-сосудистого</w:t>
      </w:r>
      <w:r>
        <w:rPr>
          <w:spacing w:val="4"/>
        </w:rPr>
        <w:t> </w:t>
      </w:r>
      <w:r>
        <w:rPr/>
        <w:t>риска</w:t>
      </w:r>
    </w:p>
    <w:p>
      <w:pPr>
        <w:pStyle w:val="BodyText"/>
        <w:spacing w:before="11" w:after="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6"/>
        <w:gridCol w:w="6408"/>
      </w:tblGrid>
      <w:tr>
        <w:trPr>
          <w:trHeight w:val="3191" w:hRule="atLeast"/>
        </w:trPr>
        <w:tc>
          <w:tcPr>
            <w:tcW w:w="2026" w:type="dxa"/>
          </w:tcPr>
          <w:p>
            <w:pPr>
              <w:pStyle w:val="TableParagraph"/>
              <w:rPr>
                <w:sz w:val="16"/>
              </w:rPr>
            </w:pPr>
            <w:r>
              <w:rPr>
                <w:w w:val="105"/>
                <w:sz w:val="16"/>
              </w:rPr>
              <w:t>Экстремальный</w:t>
            </w:r>
          </w:p>
        </w:tc>
        <w:tc>
          <w:tcPr>
            <w:tcW w:w="6408" w:type="dxa"/>
          </w:tcPr>
          <w:p>
            <w:pPr>
              <w:pStyle w:val="TableParagraph"/>
              <w:spacing w:line="390" w:lineRule="atLeast" w:before="46"/>
              <w:ind w:left="470" w:right="143" w:firstLine="852"/>
              <w:jc w:val="both"/>
              <w:rPr>
                <w:sz w:val="16"/>
              </w:rPr>
            </w:pPr>
            <w:r>
              <w:rPr>
                <w:w w:val="105"/>
                <w:sz w:val="16"/>
              </w:rPr>
              <w:t>Сочетание клинически значимого</w:t>
            </w:r>
            <w:r>
              <w:rPr>
                <w:spacing w:val="-46"/>
                <w:w w:val="105"/>
                <w:sz w:val="16"/>
              </w:rPr>
              <w:t> </w:t>
            </w:r>
            <w:r>
              <w:rPr>
                <w:w w:val="105"/>
                <w:sz w:val="16"/>
              </w:rPr>
              <w:t>сердечно-сосудистого заболевания</w:t>
            </w:r>
            <w:r>
              <w:rPr>
                <w:w w:val="105"/>
                <w:position w:val="8"/>
                <w:sz w:val="16"/>
              </w:rPr>
              <w:t>1</w:t>
            </w:r>
            <w:r>
              <w:rPr>
                <w:w w:val="105"/>
                <w:sz w:val="16"/>
              </w:rPr>
              <w:t>, вызванного атеросклерозом, с СД 2 типа и/или СГХС или два сердечно-сосудистых события (осложнения) в течение 2-х лет</w:t>
            </w:r>
            <w:r>
              <w:rPr>
                <w:w w:val="105"/>
                <w:position w:val="8"/>
                <w:sz w:val="16"/>
              </w:rPr>
              <w:t>2 </w:t>
            </w:r>
            <w:r>
              <w:rPr>
                <w:w w:val="105"/>
                <w:sz w:val="16"/>
              </w:rPr>
              <w:t>у пациента с сердечно-сосудистым заболеванием, вызванным атеросклерозом, несмотря </w:t>
            </w:r>
            <w:r>
              <w:rPr>
                <w:spacing w:val="-7"/>
                <w:w w:val="105"/>
                <w:sz w:val="16"/>
              </w:rPr>
              <w:t>на </w:t>
            </w:r>
            <w:r>
              <w:rPr>
                <w:w w:val="105"/>
                <w:sz w:val="16"/>
              </w:rPr>
              <w:t>оптимальную гиполипидемическую терапию</w:t>
            </w:r>
            <w:r>
              <w:rPr>
                <w:w w:val="105"/>
                <w:position w:val="8"/>
                <w:sz w:val="16"/>
              </w:rPr>
              <w:t>3 </w:t>
            </w:r>
            <w:r>
              <w:rPr>
                <w:w w:val="105"/>
                <w:sz w:val="16"/>
              </w:rPr>
              <w:t>и/или достигнутый уровень ХС ЛНП ≤1,5</w:t>
            </w:r>
            <w:r>
              <w:rPr>
                <w:spacing w:val="-11"/>
                <w:w w:val="105"/>
                <w:sz w:val="16"/>
              </w:rPr>
              <w:t> </w:t>
            </w:r>
            <w:r>
              <w:rPr>
                <w:w w:val="105"/>
                <w:sz w:val="16"/>
              </w:rPr>
              <w:t>ммоль/л</w:t>
            </w:r>
          </w:p>
        </w:tc>
      </w:tr>
      <w:tr>
        <w:trPr>
          <w:trHeight w:val="4586" w:hRule="atLeast"/>
        </w:trPr>
        <w:tc>
          <w:tcPr>
            <w:tcW w:w="2026" w:type="dxa"/>
          </w:tcPr>
          <w:p>
            <w:pPr>
              <w:pStyle w:val="TableParagraph"/>
              <w:rPr>
                <w:sz w:val="16"/>
              </w:rPr>
            </w:pPr>
            <w:r>
              <w:rPr>
                <w:w w:val="105"/>
                <w:sz w:val="16"/>
              </w:rPr>
              <w:t>Очень высокий</w:t>
            </w:r>
          </w:p>
        </w:tc>
        <w:tc>
          <w:tcPr>
            <w:tcW w:w="6408" w:type="dxa"/>
          </w:tcPr>
          <w:p>
            <w:pPr>
              <w:pStyle w:val="TableParagraph"/>
              <w:spacing w:before="12"/>
              <w:ind w:left="0"/>
              <w:rPr>
                <w:rFonts w:ascii="Palatino Linotype"/>
                <w:b/>
                <w:sz w:val="17"/>
              </w:rPr>
            </w:pPr>
          </w:p>
          <w:p>
            <w:pPr>
              <w:pStyle w:val="TableParagraph"/>
              <w:spacing w:line="482" w:lineRule="auto" w:before="0"/>
              <w:ind w:left="470" w:right="140"/>
              <w:rPr>
                <w:sz w:val="16"/>
              </w:rPr>
            </w:pPr>
            <w:r>
              <w:rPr>
                <w:w w:val="105"/>
                <w:sz w:val="16"/>
              </w:rPr>
              <w:t>Документированное атеросклеротическое ССЗ, клинически или по результатам обследования, включая перенесённый ОКС, стабильную стенокардию, ЧКВ, КШ или другие операции на артериях, инсульт/ТИА, поражения периферических артерий атеросклеротическое ССЗ по данным обследований – значимая АСБ (стеноз &gt;50%)</w:t>
            </w:r>
          </w:p>
          <w:p>
            <w:pPr>
              <w:pStyle w:val="TableParagraph"/>
              <w:spacing w:line="190" w:lineRule="exact" w:before="0"/>
              <w:ind w:left="470"/>
              <w:rPr>
                <w:sz w:val="16"/>
              </w:rPr>
            </w:pPr>
            <w:r>
              <w:rPr>
                <w:w w:val="105"/>
                <w:sz w:val="16"/>
              </w:rPr>
              <w:t>СД + поражение органов-мишеней, ≥3 ФР, а также раннее</w:t>
            </w:r>
          </w:p>
          <w:p>
            <w:pPr>
              <w:pStyle w:val="TableParagraph"/>
              <w:spacing w:line="390" w:lineRule="atLeast" w:before="0"/>
              <w:ind w:left="470" w:right="2098"/>
              <w:jc w:val="both"/>
              <w:rPr>
                <w:sz w:val="16"/>
              </w:rPr>
            </w:pPr>
            <w:r>
              <w:rPr>
                <w:w w:val="105"/>
                <w:sz w:val="16"/>
              </w:rPr>
              <w:t>начало</w:t>
            </w:r>
            <w:r>
              <w:rPr>
                <w:spacing w:val="-9"/>
                <w:w w:val="105"/>
                <w:sz w:val="16"/>
              </w:rPr>
              <w:t> </w:t>
            </w:r>
            <w:r>
              <w:rPr>
                <w:w w:val="105"/>
                <w:sz w:val="16"/>
              </w:rPr>
              <w:t>СД</w:t>
            </w:r>
            <w:r>
              <w:rPr>
                <w:spacing w:val="-9"/>
                <w:w w:val="105"/>
                <w:sz w:val="16"/>
              </w:rPr>
              <w:t> </w:t>
            </w:r>
            <w:r>
              <w:rPr>
                <w:w w:val="105"/>
                <w:sz w:val="16"/>
              </w:rPr>
              <w:t>1</w:t>
            </w:r>
            <w:r>
              <w:rPr>
                <w:spacing w:val="-9"/>
                <w:w w:val="105"/>
                <w:sz w:val="16"/>
              </w:rPr>
              <w:t> </w:t>
            </w:r>
            <w:r>
              <w:rPr>
                <w:w w:val="105"/>
                <w:sz w:val="16"/>
              </w:rPr>
              <w:t>типа</w:t>
            </w:r>
            <w:r>
              <w:rPr>
                <w:spacing w:val="-9"/>
                <w:w w:val="105"/>
                <w:sz w:val="16"/>
              </w:rPr>
              <w:t> </w:t>
            </w:r>
            <w:r>
              <w:rPr>
                <w:w w:val="105"/>
                <w:sz w:val="16"/>
              </w:rPr>
              <w:t>с</w:t>
            </w:r>
            <w:r>
              <w:rPr>
                <w:spacing w:val="-8"/>
                <w:w w:val="105"/>
                <w:sz w:val="16"/>
              </w:rPr>
              <w:t> </w:t>
            </w:r>
            <w:r>
              <w:rPr>
                <w:w w:val="105"/>
                <w:sz w:val="16"/>
              </w:rPr>
              <w:t>длительностью</w:t>
            </w:r>
            <w:r>
              <w:rPr>
                <w:spacing w:val="-9"/>
                <w:w w:val="105"/>
                <w:sz w:val="16"/>
              </w:rPr>
              <w:t> </w:t>
            </w:r>
            <w:r>
              <w:rPr>
                <w:w w:val="105"/>
                <w:sz w:val="16"/>
              </w:rPr>
              <w:t>&gt;</w:t>
            </w:r>
            <w:r>
              <w:rPr>
                <w:spacing w:val="-9"/>
                <w:w w:val="105"/>
                <w:sz w:val="16"/>
              </w:rPr>
              <w:t> </w:t>
            </w:r>
            <w:r>
              <w:rPr>
                <w:w w:val="105"/>
                <w:sz w:val="16"/>
              </w:rPr>
              <w:t>20</w:t>
            </w:r>
            <w:r>
              <w:rPr>
                <w:spacing w:val="-9"/>
                <w:w w:val="105"/>
                <w:sz w:val="16"/>
              </w:rPr>
              <w:t> </w:t>
            </w:r>
            <w:r>
              <w:rPr>
                <w:spacing w:val="-4"/>
                <w:w w:val="105"/>
                <w:sz w:val="16"/>
              </w:rPr>
              <w:t>лет </w:t>
            </w:r>
            <w:r>
              <w:rPr>
                <w:w w:val="105"/>
                <w:sz w:val="16"/>
              </w:rPr>
              <w:t>Выраженная</w:t>
            </w:r>
            <w:r>
              <w:rPr>
                <w:spacing w:val="-14"/>
                <w:w w:val="105"/>
                <w:sz w:val="16"/>
              </w:rPr>
              <w:t> </w:t>
            </w:r>
            <w:r>
              <w:rPr>
                <w:w w:val="105"/>
                <w:sz w:val="16"/>
              </w:rPr>
              <w:t>ХБП</w:t>
            </w:r>
            <w:r>
              <w:rPr>
                <w:spacing w:val="-14"/>
                <w:w w:val="105"/>
                <w:sz w:val="16"/>
              </w:rPr>
              <w:t> </w:t>
            </w:r>
            <w:r>
              <w:rPr>
                <w:w w:val="105"/>
                <w:sz w:val="16"/>
              </w:rPr>
              <w:t>с</w:t>
            </w:r>
            <w:r>
              <w:rPr>
                <w:spacing w:val="-14"/>
                <w:w w:val="105"/>
                <w:sz w:val="16"/>
              </w:rPr>
              <w:t> </w:t>
            </w:r>
            <w:r>
              <w:rPr>
                <w:w w:val="105"/>
                <w:sz w:val="16"/>
              </w:rPr>
              <w:t>СКФ&lt;30</w:t>
            </w:r>
            <w:r>
              <w:rPr>
                <w:spacing w:val="-14"/>
                <w:w w:val="105"/>
                <w:sz w:val="16"/>
              </w:rPr>
              <w:t> </w:t>
            </w:r>
            <w:r>
              <w:rPr>
                <w:w w:val="105"/>
                <w:sz w:val="16"/>
              </w:rPr>
              <w:t>мл/мин/1,73</w:t>
            </w:r>
            <w:r>
              <w:rPr>
                <w:spacing w:val="-14"/>
                <w:w w:val="105"/>
                <w:sz w:val="16"/>
              </w:rPr>
              <w:t> </w:t>
            </w:r>
            <w:r>
              <w:rPr>
                <w:w w:val="105"/>
                <w:sz w:val="16"/>
              </w:rPr>
              <w:t>м</w:t>
            </w:r>
            <w:r>
              <w:rPr>
                <w:w w:val="105"/>
                <w:position w:val="8"/>
                <w:sz w:val="16"/>
              </w:rPr>
              <w:t>2 </w:t>
            </w:r>
            <w:r>
              <w:rPr>
                <w:w w:val="105"/>
                <w:sz w:val="16"/>
              </w:rPr>
              <w:t>SCORE≥10%</w:t>
            </w:r>
          </w:p>
          <w:p>
            <w:pPr>
              <w:pStyle w:val="TableParagraph"/>
              <w:spacing w:before="7"/>
              <w:ind w:left="0"/>
              <w:rPr>
                <w:rFonts w:ascii="Palatino Linotype"/>
                <w:b/>
                <w:sz w:val="14"/>
              </w:rPr>
            </w:pPr>
          </w:p>
          <w:p>
            <w:pPr>
              <w:pStyle w:val="TableParagraph"/>
              <w:spacing w:before="0"/>
              <w:ind w:left="470"/>
              <w:rPr>
                <w:sz w:val="16"/>
              </w:rPr>
            </w:pPr>
            <w:r>
              <w:rPr>
                <w:w w:val="105"/>
                <w:sz w:val="16"/>
              </w:rPr>
              <w:t>СГХС в сочетании с атеросклеротическим ССЗ или с ФР</w:t>
            </w:r>
          </w:p>
        </w:tc>
      </w:tr>
      <w:tr>
        <w:trPr>
          <w:trHeight w:val="3416" w:hRule="atLeast"/>
        </w:trPr>
        <w:tc>
          <w:tcPr>
            <w:tcW w:w="2026" w:type="dxa"/>
          </w:tcPr>
          <w:p>
            <w:pPr>
              <w:pStyle w:val="TableParagraph"/>
              <w:rPr>
                <w:sz w:val="16"/>
              </w:rPr>
            </w:pPr>
            <w:r>
              <w:rPr>
                <w:w w:val="105"/>
                <w:sz w:val="16"/>
              </w:rPr>
              <w:t>Высокий</w:t>
            </w:r>
          </w:p>
        </w:tc>
        <w:tc>
          <w:tcPr>
            <w:tcW w:w="6408" w:type="dxa"/>
          </w:tcPr>
          <w:p>
            <w:pPr>
              <w:pStyle w:val="TableParagraph"/>
              <w:spacing w:before="12"/>
              <w:ind w:left="0"/>
              <w:rPr>
                <w:rFonts w:ascii="Palatino Linotype"/>
                <w:b/>
                <w:sz w:val="17"/>
              </w:rPr>
            </w:pPr>
          </w:p>
          <w:p>
            <w:pPr>
              <w:pStyle w:val="TableParagraph"/>
              <w:spacing w:line="482" w:lineRule="auto" w:before="0"/>
              <w:ind w:left="470" w:right="140"/>
              <w:rPr>
                <w:sz w:val="16"/>
              </w:rPr>
            </w:pPr>
            <w:r>
              <w:rPr>
                <w:w w:val="105"/>
                <w:sz w:val="16"/>
              </w:rPr>
              <w:t>Значимо выраженный ФР – ХС&gt;8 ммоль/л и/или ХС ЛНП &gt; 4,9 ммоль/л и/или АД ≥180/110 мм рт.ст.</w:t>
            </w:r>
          </w:p>
          <w:p>
            <w:pPr>
              <w:pStyle w:val="TableParagraph"/>
              <w:spacing w:line="193" w:lineRule="exact" w:before="0"/>
              <w:ind w:left="470"/>
              <w:rPr>
                <w:sz w:val="16"/>
              </w:rPr>
            </w:pPr>
            <w:r>
              <w:rPr>
                <w:w w:val="105"/>
                <w:sz w:val="16"/>
              </w:rPr>
              <w:t>СГХС без ФР</w:t>
            </w:r>
          </w:p>
          <w:p>
            <w:pPr>
              <w:pStyle w:val="TableParagraph"/>
              <w:spacing w:before="7"/>
              <w:ind w:left="0"/>
              <w:rPr>
                <w:rFonts w:ascii="Palatino Linotype"/>
                <w:b/>
                <w:sz w:val="14"/>
              </w:rPr>
            </w:pPr>
          </w:p>
          <w:p>
            <w:pPr>
              <w:pStyle w:val="TableParagraph"/>
              <w:spacing w:line="384" w:lineRule="auto" w:before="0"/>
              <w:ind w:left="470" w:right="815"/>
              <w:rPr>
                <w:sz w:val="16"/>
              </w:rPr>
            </w:pPr>
            <w:r>
              <w:rPr>
                <w:w w:val="105"/>
                <w:sz w:val="16"/>
              </w:rPr>
              <w:t>СД</w:t>
            </w:r>
            <w:r>
              <w:rPr>
                <w:spacing w:val="-11"/>
                <w:w w:val="105"/>
                <w:sz w:val="16"/>
              </w:rPr>
              <w:t> </w:t>
            </w:r>
            <w:r>
              <w:rPr>
                <w:w w:val="105"/>
                <w:sz w:val="16"/>
              </w:rPr>
              <w:t>без</w:t>
            </w:r>
            <w:r>
              <w:rPr>
                <w:spacing w:val="-11"/>
                <w:w w:val="105"/>
                <w:sz w:val="16"/>
              </w:rPr>
              <w:t> </w:t>
            </w:r>
            <w:r>
              <w:rPr>
                <w:w w:val="105"/>
                <w:sz w:val="16"/>
              </w:rPr>
              <w:t>поражения</w:t>
            </w:r>
            <w:r>
              <w:rPr>
                <w:spacing w:val="-10"/>
                <w:w w:val="105"/>
                <w:sz w:val="16"/>
              </w:rPr>
              <w:t> </w:t>
            </w:r>
            <w:r>
              <w:rPr>
                <w:w w:val="105"/>
                <w:sz w:val="16"/>
              </w:rPr>
              <w:t>органов-мишеней,</w:t>
            </w:r>
            <w:r>
              <w:rPr>
                <w:spacing w:val="-11"/>
                <w:w w:val="105"/>
                <w:sz w:val="16"/>
              </w:rPr>
              <w:t> </w:t>
            </w:r>
            <w:r>
              <w:rPr>
                <w:w w:val="105"/>
                <w:sz w:val="16"/>
              </w:rPr>
              <w:t>СД≥</w:t>
            </w:r>
            <w:r>
              <w:rPr>
                <w:spacing w:val="-11"/>
                <w:w w:val="105"/>
                <w:sz w:val="16"/>
              </w:rPr>
              <w:t> </w:t>
            </w:r>
            <w:r>
              <w:rPr>
                <w:w w:val="105"/>
                <w:sz w:val="16"/>
              </w:rPr>
              <w:t>10</w:t>
            </w:r>
            <w:r>
              <w:rPr>
                <w:spacing w:val="-10"/>
                <w:w w:val="105"/>
                <w:sz w:val="16"/>
              </w:rPr>
              <w:t> </w:t>
            </w:r>
            <w:r>
              <w:rPr>
                <w:w w:val="105"/>
                <w:sz w:val="16"/>
              </w:rPr>
              <w:t>лет</w:t>
            </w:r>
            <w:r>
              <w:rPr>
                <w:spacing w:val="-11"/>
                <w:w w:val="105"/>
                <w:sz w:val="16"/>
              </w:rPr>
              <w:t> </w:t>
            </w:r>
            <w:r>
              <w:rPr>
                <w:w w:val="105"/>
                <w:sz w:val="16"/>
              </w:rPr>
              <w:t>или</w:t>
            </w:r>
            <w:r>
              <w:rPr>
                <w:spacing w:val="-11"/>
                <w:w w:val="105"/>
                <w:sz w:val="16"/>
              </w:rPr>
              <w:t> </w:t>
            </w:r>
            <w:r>
              <w:rPr>
                <w:w w:val="105"/>
                <w:sz w:val="16"/>
              </w:rPr>
              <w:t>с</w:t>
            </w:r>
            <w:r>
              <w:rPr>
                <w:spacing w:val="-10"/>
                <w:w w:val="105"/>
                <w:sz w:val="16"/>
              </w:rPr>
              <w:t> </w:t>
            </w:r>
            <w:r>
              <w:rPr>
                <w:w w:val="105"/>
                <w:sz w:val="16"/>
              </w:rPr>
              <w:t>ФР Умеренная ХБП с СКФ 30-59 мл/мин/1,73</w:t>
            </w:r>
            <w:r>
              <w:rPr>
                <w:spacing w:val="-25"/>
                <w:w w:val="105"/>
                <w:sz w:val="16"/>
              </w:rPr>
              <w:t> </w:t>
            </w:r>
            <w:r>
              <w:rPr>
                <w:w w:val="105"/>
                <w:sz w:val="16"/>
              </w:rPr>
              <w:t>м</w:t>
            </w:r>
            <w:r>
              <w:rPr>
                <w:w w:val="105"/>
                <w:position w:val="8"/>
                <w:sz w:val="16"/>
              </w:rPr>
              <w:t>2</w:t>
            </w:r>
          </w:p>
          <w:p>
            <w:pPr>
              <w:pStyle w:val="TableParagraph"/>
              <w:spacing w:before="78"/>
              <w:ind w:left="470"/>
              <w:rPr>
                <w:sz w:val="16"/>
              </w:rPr>
            </w:pPr>
            <w:r>
              <w:rPr>
                <w:w w:val="105"/>
                <w:sz w:val="16"/>
              </w:rPr>
              <w:t>SCORE ≥5% и &lt;10%</w:t>
            </w:r>
          </w:p>
          <w:p>
            <w:pPr>
              <w:pStyle w:val="TableParagraph"/>
              <w:spacing w:before="7"/>
              <w:ind w:left="0"/>
              <w:rPr>
                <w:rFonts w:ascii="Palatino Linotype"/>
                <w:b/>
                <w:sz w:val="14"/>
              </w:rPr>
            </w:pPr>
          </w:p>
          <w:p>
            <w:pPr>
              <w:pStyle w:val="TableParagraph"/>
              <w:tabs>
                <w:tab w:pos="2263" w:val="left" w:leader="none"/>
                <w:tab w:pos="3577" w:val="left" w:leader="none"/>
                <w:tab w:pos="4999" w:val="left" w:leader="none"/>
              </w:tabs>
              <w:spacing w:line="482" w:lineRule="auto" w:before="0"/>
              <w:ind w:left="470" w:right="140"/>
              <w:rPr>
                <w:sz w:val="16"/>
              </w:rPr>
            </w:pPr>
            <w:r>
              <w:rPr>
                <w:w w:val="105"/>
                <w:sz w:val="16"/>
              </w:rPr>
              <w:t>Гемодинамически</w:t>
              <w:tab/>
              <w:t>незначимый</w:t>
              <w:tab/>
              <w:t>атеросклероз</w:t>
              <w:tab/>
            </w:r>
            <w:r>
              <w:rPr>
                <w:spacing w:val="-2"/>
                <w:sz w:val="16"/>
              </w:rPr>
              <w:t>некоронарных </w:t>
            </w:r>
            <w:r>
              <w:rPr>
                <w:w w:val="105"/>
                <w:sz w:val="16"/>
              </w:rPr>
              <w:t>артерий (стеноз(-ы)</w:t>
            </w:r>
            <w:r>
              <w:rPr>
                <w:spacing w:val="-6"/>
                <w:w w:val="105"/>
                <w:sz w:val="16"/>
              </w:rPr>
              <w:t> </w:t>
            </w:r>
            <w:r>
              <w:rPr>
                <w:w w:val="105"/>
                <w:sz w:val="16"/>
              </w:rPr>
              <w:t>&gt;25-49%)</w:t>
            </w:r>
          </w:p>
        </w:tc>
      </w:tr>
    </w:tbl>
    <w:p>
      <w:pPr>
        <w:spacing w:after="0" w:line="482" w:lineRule="auto"/>
        <w:rPr>
          <w:sz w:val="16"/>
        </w:rPr>
        <w:sectPr>
          <w:pgSz w:w="11900" w:h="16840"/>
          <w:pgMar w:top="0" w:bottom="0" w:left="1420" w:right="1520"/>
        </w:sectPr>
      </w:pPr>
    </w:p>
    <w:p>
      <w:pPr>
        <w:pStyle w:val="BodyText"/>
        <w:spacing w:before="7" w:after="1"/>
        <w:ind w:left="0"/>
        <w:jc w:val="left"/>
        <w:rPr>
          <w:b/>
          <w:sz w:val="25"/>
        </w:rPr>
      </w:pPr>
      <w:r>
        <w:rPr/>
        <w:pict>
          <v:shape style="position:absolute;margin-left:90.037827pt;margin-top:-.001146pt;width:422.85pt;height:129.85pt;mso-position-horizontal-relative:page;mso-position-vertical-relative:page;z-index:1595596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6"/>
                    <w:gridCol w:w="6408"/>
                  </w:tblGrid>
                  <w:tr>
                    <w:trPr>
                      <w:trHeight w:val="1855" w:hRule="atLeast"/>
                    </w:trPr>
                    <w:tc>
                      <w:tcPr>
                        <w:tcW w:w="2026" w:type="dxa"/>
                      </w:tcPr>
                      <w:p>
                        <w:pPr>
                          <w:pStyle w:val="TableParagraph"/>
                          <w:rPr>
                            <w:sz w:val="16"/>
                          </w:rPr>
                        </w:pPr>
                        <w:r>
                          <w:rPr>
                            <w:w w:val="105"/>
                            <w:sz w:val="16"/>
                          </w:rPr>
                          <w:t>Умеренный</w:t>
                        </w:r>
                      </w:p>
                    </w:tc>
                    <w:tc>
                      <w:tcPr>
                        <w:tcW w:w="6408" w:type="dxa"/>
                      </w:tcPr>
                      <w:p>
                        <w:pPr>
                          <w:pStyle w:val="TableParagraph"/>
                          <w:spacing w:before="12"/>
                          <w:ind w:left="0"/>
                          <w:rPr>
                            <w:rFonts w:ascii="Palatino Linotype"/>
                            <w:b/>
                            <w:sz w:val="17"/>
                          </w:rPr>
                        </w:pPr>
                      </w:p>
                      <w:p>
                        <w:pPr>
                          <w:pStyle w:val="TableParagraph"/>
                          <w:spacing w:before="0"/>
                          <w:ind w:left="470"/>
                          <w:rPr>
                            <w:sz w:val="16"/>
                          </w:rPr>
                        </w:pPr>
                        <w:r>
                          <w:rPr>
                            <w:w w:val="105"/>
                            <w:sz w:val="16"/>
                          </w:rPr>
                          <w:t>Молодые пациенты (СД 1 типа моложе 35 лет, СД 2 типа моложе</w:t>
                        </w:r>
                      </w:p>
                      <w:p>
                        <w:pPr>
                          <w:pStyle w:val="TableParagraph"/>
                          <w:spacing w:before="7"/>
                          <w:ind w:left="0"/>
                          <w:rPr>
                            <w:rFonts w:ascii="Palatino Linotype"/>
                            <w:b/>
                            <w:sz w:val="14"/>
                          </w:rPr>
                        </w:pPr>
                      </w:p>
                      <w:p>
                        <w:pPr>
                          <w:pStyle w:val="TableParagraph"/>
                          <w:spacing w:line="482" w:lineRule="auto" w:before="0"/>
                          <w:ind w:left="470" w:right="140"/>
                          <w:rPr>
                            <w:sz w:val="16"/>
                          </w:rPr>
                        </w:pPr>
                        <w:r>
                          <w:rPr>
                            <w:w w:val="105"/>
                            <w:sz w:val="16"/>
                          </w:rPr>
                          <w:t>50 лет) с длительностью СД &lt;10 лет без поражения органов- мишеней и ФР</w:t>
                        </w:r>
                      </w:p>
                      <w:p>
                        <w:pPr>
                          <w:pStyle w:val="TableParagraph"/>
                          <w:spacing w:line="193" w:lineRule="exact" w:before="0"/>
                          <w:ind w:left="470"/>
                          <w:rPr>
                            <w:sz w:val="16"/>
                          </w:rPr>
                        </w:pPr>
                        <w:r>
                          <w:rPr>
                            <w:w w:val="105"/>
                            <w:sz w:val="16"/>
                          </w:rPr>
                          <w:t>SCORE ≥1% и &lt; 5%</w:t>
                        </w:r>
                      </w:p>
                    </w:tc>
                  </w:tr>
                  <w:tr>
                    <w:trPr>
                      <w:trHeight w:val="685" w:hRule="atLeast"/>
                    </w:trPr>
                    <w:tc>
                      <w:tcPr>
                        <w:tcW w:w="2026" w:type="dxa"/>
                      </w:tcPr>
                      <w:p>
                        <w:pPr>
                          <w:pStyle w:val="TableParagraph"/>
                          <w:rPr>
                            <w:sz w:val="16"/>
                          </w:rPr>
                        </w:pPr>
                        <w:r>
                          <w:rPr>
                            <w:w w:val="105"/>
                            <w:sz w:val="16"/>
                          </w:rPr>
                          <w:t>Низкий</w:t>
                        </w:r>
                      </w:p>
                    </w:tc>
                    <w:tc>
                      <w:tcPr>
                        <w:tcW w:w="6408" w:type="dxa"/>
                      </w:tcPr>
                      <w:p>
                        <w:pPr>
                          <w:pStyle w:val="TableParagraph"/>
                          <w:spacing w:before="12"/>
                          <w:ind w:left="0"/>
                          <w:rPr>
                            <w:rFonts w:ascii="Palatino Linotype"/>
                            <w:b/>
                            <w:sz w:val="17"/>
                          </w:rPr>
                        </w:pPr>
                      </w:p>
                      <w:p>
                        <w:pPr>
                          <w:pStyle w:val="TableParagraph"/>
                          <w:spacing w:before="0"/>
                          <w:ind w:left="470"/>
                          <w:rPr>
                            <w:sz w:val="16"/>
                          </w:rPr>
                        </w:pPr>
                        <w:r>
                          <w:rPr>
                            <w:w w:val="105"/>
                            <w:sz w:val="16"/>
                          </w:rPr>
                          <w:t>SCORE&lt;1%</w:t>
                        </w:r>
                      </w:p>
                    </w:tc>
                  </w:tr>
                </w:tbl>
                <w:p>
                  <w:pPr>
                    <w:pStyle w:val="BodyText"/>
                    <w:spacing w:before="0"/>
                    <w:ind w:left="0"/>
                    <w:jc w:val="left"/>
                  </w:pPr>
                </w:p>
              </w:txbxContent>
            </v:textbox>
            <w10:wrap type="none"/>
          </v:shape>
        </w:pict>
      </w:r>
    </w:p>
    <w:p>
      <w:pPr>
        <w:pStyle w:val="BodyText"/>
        <w:spacing w:line="60" w:lineRule="exact" w:before="0"/>
        <w:ind w:left="2676"/>
        <w:jc w:val="left"/>
        <w:rPr>
          <w:sz w:val="6"/>
        </w:rPr>
      </w:pPr>
      <w:r>
        <w:rPr>
          <w:position w:val="0"/>
          <w:sz w:val="6"/>
        </w:rPr>
        <w:pict>
          <v:group style="width:3.05pt;height:3.05pt;mso-position-horizontal-relative:char;mso-position-vertical-relative:line" coordorigin="0,0" coordsize="61,61">
            <v:shape style="position:absolute;left:0;top:0;width:61;height:61" coordorigin="0,0" coordsize="61,61" path="m30,60l22,60,15,57,3,45,0,38,0,22,3,15,15,3,22,0,38,0,45,3,57,15,60,22,60,30,60,38,57,45,45,57,38,60,30,60xe" filled="true" fillcolor="#000000" stroked="false">
              <v:path arrowok="t"/>
              <v:fill type="solid"/>
            </v:shape>
          </v:group>
        </w:pict>
      </w:r>
      <w:r>
        <w:rPr>
          <w:position w:val="0"/>
          <w:sz w:val="6"/>
        </w:rPr>
      </w: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5"/>
        <w:ind w:left="0"/>
        <w:jc w:val="left"/>
        <w:rPr>
          <w:b/>
          <w:sz w:val="19"/>
        </w:rPr>
      </w:pPr>
      <w:r>
        <w:rPr/>
        <w:pict>
          <v:shape style="position:absolute;margin-left:204.83606pt;margin-top:15.050957pt;width:3.05pt;height:3.05pt;mso-position-horizontal-relative:page;mso-position-vertical-relative:paragraph;z-index:-15502336;mso-wrap-distance-left:0;mso-wrap-distance-right:0" coordorigin="4097,301" coordsize="61,61" path="m4127,361l4118,361,4111,358,4100,346,4097,339,4097,323,4100,316,4111,304,4118,301,4135,301,4142,304,4154,316,4157,323,4157,331,4157,339,4154,346,4142,358,4135,361,4127,361xe" filled="true" fillcolor="#000000" stroked="false">
            <v:path arrowok="t"/>
            <v:fill type="solid"/>
            <w10:wrap type="topAndBottom"/>
          </v:shape>
        </w:pict>
      </w:r>
    </w:p>
    <w:p>
      <w:pPr>
        <w:pStyle w:val="BodyText"/>
        <w:spacing w:before="0"/>
        <w:ind w:left="0"/>
        <w:jc w:val="left"/>
        <w:rPr>
          <w:b/>
          <w:sz w:val="20"/>
        </w:rPr>
      </w:pPr>
    </w:p>
    <w:p>
      <w:pPr>
        <w:pStyle w:val="BodyText"/>
        <w:spacing w:before="10"/>
        <w:ind w:left="0"/>
        <w:jc w:val="left"/>
        <w:rPr>
          <w:b/>
          <w:sz w:val="22"/>
        </w:rPr>
      </w:pPr>
      <w:r>
        <w:rPr/>
        <w:pict>
          <v:shape style="position:absolute;margin-left:204.83606pt;margin-top:17.322344pt;width:3.05pt;height:3.05pt;mso-position-horizontal-relative:page;mso-position-vertical-relative:paragraph;z-index:-15501824;mso-wrap-distance-left:0;mso-wrap-distance-right:0" coordorigin="4097,346" coordsize="61,61" path="m4135,406l4118,406,4111,403,4100,392,4097,385,4097,368,4100,361,4106,355,4111,349,4118,346,4135,346,4142,349,4148,355,4154,361,4157,368,4157,376,4157,385,4154,392,4142,403,4135,406xe" filled="true" fillcolor="#000000" stroked="false">
            <v:path arrowok="t"/>
            <v:fill type="solid"/>
            <w10:wrap type="topAndBottom"/>
          </v:shape>
        </w:pict>
      </w:r>
    </w:p>
    <w:p>
      <w:pPr>
        <w:pStyle w:val="BodyText"/>
        <w:spacing w:before="3"/>
        <w:ind w:left="0"/>
        <w:jc w:val="left"/>
        <w:rPr>
          <w:b/>
          <w:sz w:val="5"/>
        </w:rPr>
      </w:pPr>
    </w:p>
    <w:p>
      <w:pPr>
        <w:pStyle w:val="ListParagraph"/>
        <w:numPr>
          <w:ilvl w:val="0"/>
          <w:numId w:val="16"/>
        </w:numPr>
        <w:tabs>
          <w:tab w:pos="842" w:val="left" w:leader="none"/>
          <w:tab w:pos="843" w:val="left" w:leader="none"/>
          <w:tab w:pos="1785" w:val="left" w:leader="none"/>
          <w:tab w:pos="3701" w:val="left" w:leader="none"/>
          <w:tab w:pos="5581" w:val="left" w:leader="none"/>
          <w:tab w:pos="6302" w:val="left" w:leader="none"/>
          <w:tab w:pos="7084" w:val="left" w:leader="none"/>
        </w:tabs>
        <w:spacing w:line="240" w:lineRule="auto" w:before="92" w:after="0"/>
        <w:ind w:left="842" w:right="0" w:hanging="463"/>
        <w:jc w:val="left"/>
        <w:rPr>
          <w:sz w:val="27"/>
        </w:rPr>
      </w:pPr>
      <w:r>
        <w:rPr>
          <w:sz w:val="27"/>
        </w:rPr>
        <w:t>ИБС:</w:t>
        <w:tab/>
        <w:t>стенокардия</w:t>
        <w:tab/>
        <w:t>напряжения</w:t>
        <w:tab/>
        <w:t>3-4</w:t>
        <w:tab/>
        <w:t>ФК,</w:t>
        <w:tab/>
        <w:t>нестабильная</w:t>
      </w:r>
    </w:p>
    <w:p>
      <w:pPr>
        <w:pStyle w:val="BodyText"/>
        <w:spacing w:line="256" w:lineRule="auto" w:before="26"/>
        <w:ind w:left="380" w:right="134"/>
      </w:pPr>
      <w:r>
        <w:rPr/>
        <w:t>стенокардия, перенесенный инфаркт миокарда, ишемический инсульт, ЧКВ, операция КШ, ангиопластика сонных артерий или артерий нижних конечностей, каротидная эндартерэктомия, подвздошно-бедренное, бедренно-подколенное шунтирование.</w:t>
      </w:r>
    </w:p>
    <w:p>
      <w:pPr>
        <w:pStyle w:val="ListParagraph"/>
        <w:numPr>
          <w:ilvl w:val="0"/>
          <w:numId w:val="16"/>
        </w:numPr>
        <w:tabs>
          <w:tab w:pos="1138" w:val="left" w:leader="none"/>
          <w:tab w:pos="1139" w:val="left" w:leader="none"/>
          <w:tab w:pos="2878" w:val="left" w:leader="none"/>
          <w:tab w:pos="4800" w:val="left" w:leader="none"/>
          <w:tab w:pos="7147" w:val="left" w:leader="none"/>
        </w:tabs>
        <w:spacing w:line="240" w:lineRule="auto" w:before="132" w:after="0"/>
        <w:ind w:left="1138" w:right="0" w:hanging="759"/>
        <w:jc w:val="left"/>
        <w:rPr>
          <w:sz w:val="27"/>
        </w:rPr>
      </w:pPr>
      <w:r>
        <w:rPr>
          <w:sz w:val="27"/>
        </w:rPr>
        <w:t>Инфаркт</w:t>
        <w:tab/>
        <w:t>миокарда,</w:t>
        <w:tab/>
        <w:t>нестабильная</w:t>
        <w:tab/>
        <w:t>стенокардия,</w:t>
      </w:r>
    </w:p>
    <w:p>
      <w:pPr>
        <w:pStyle w:val="BodyText"/>
        <w:tabs>
          <w:tab w:pos="2820" w:val="left" w:leader="none"/>
          <w:tab w:pos="4153" w:val="left" w:leader="none"/>
          <w:tab w:pos="6117" w:val="left" w:leader="none"/>
          <w:tab w:pos="8045" w:val="left" w:leader="none"/>
        </w:tabs>
        <w:spacing w:line="256" w:lineRule="auto" w:before="26"/>
        <w:ind w:left="380" w:right="130"/>
        <w:jc w:val="left"/>
      </w:pPr>
      <w:r>
        <w:rPr/>
        <w:t>перемежающаяся</w:t>
        <w:tab/>
        <w:t>хромота,</w:t>
        <w:tab/>
        <w:t>транзиторная</w:t>
        <w:tab/>
        <w:t>ишемическая</w:t>
        <w:tab/>
      </w:r>
      <w:r>
        <w:rPr>
          <w:spacing w:val="-3"/>
        </w:rPr>
        <w:t>атака/ </w:t>
      </w:r>
      <w:r>
        <w:rPr/>
        <w:t>ишемический</w:t>
      </w:r>
      <w:r>
        <w:rPr>
          <w:spacing w:val="-3"/>
        </w:rPr>
        <w:t> </w:t>
      </w:r>
      <w:r>
        <w:rPr/>
        <w:t>инсульт.</w:t>
      </w:r>
    </w:p>
    <w:p>
      <w:pPr>
        <w:pStyle w:val="ListParagraph"/>
        <w:numPr>
          <w:ilvl w:val="0"/>
          <w:numId w:val="16"/>
        </w:numPr>
        <w:tabs>
          <w:tab w:pos="696" w:val="left" w:leader="none"/>
        </w:tabs>
        <w:spacing w:line="240" w:lineRule="auto" w:before="131" w:after="0"/>
        <w:ind w:left="695" w:right="0" w:hanging="316"/>
        <w:jc w:val="left"/>
        <w:rPr>
          <w:sz w:val="27"/>
        </w:rPr>
      </w:pPr>
      <w:r>
        <w:rPr>
          <w:w w:val="105"/>
          <w:sz w:val="27"/>
        </w:rPr>
        <w:t>Назначение статинов в максимально переносимых дозах</w:t>
      </w:r>
      <w:r>
        <w:rPr>
          <w:spacing w:val="46"/>
          <w:w w:val="105"/>
          <w:sz w:val="27"/>
        </w:rPr>
        <w:t> </w:t>
      </w:r>
      <w:r>
        <w:rPr>
          <w:w w:val="105"/>
          <w:sz w:val="27"/>
        </w:rPr>
        <w:t>в</w:t>
      </w:r>
    </w:p>
    <w:p>
      <w:pPr>
        <w:pStyle w:val="BodyText"/>
        <w:spacing w:before="25"/>
        <w:ind w:left="380"/>
      </w:pPr>
      <w:r>
        <w:rPr>
          <w:w w:val="105"/>
        </w:rPr>
        <w:t>сочетании с эзетимибом.</w:t>
      </w:r>
    </w:p>
    <w:p>
      <w:pPr>
        <w:pStyle w:val="BodyText"/>
        <w:spacing w:line="256" w:lineRule="auto" w:before="296"/>
        <w:ind w:left="380" w:right="133"/>
      </w:pPr>
      <w:r>
        <w:rPr/>
        <w:t>АГ — артериальная гипертензия, ХБП — хроническая болезнь почек, СКФ — скорость клубочковой фильтрации, ТИА — транзиторная ишемическая атака, CCЗ — сердечно-сосудистые заболевания, АСБ – атеросклеротическая бляшка, СГХС – семейная гиперхолестеринемия, ФР – фактор риска.</w:t>
      </w:r>
    </w:p>
    <w:p>
      <w:pPr>
        <w:pStyle w:val="Heading3"/>
        <w:tabs>
          <w:tab w:pos="2324" w:val="left" w:leader="none"/>
          <w:tab w:pos="4104" w:val="left" w:leader="none"/>
          <w:tab w:pos="7519" w:val="left" w:leader="none"/>
        </w:tabs>
        <w:spacing w:line="256" w:lineRule="auto" w:before="273"/>
        <w:ind w:left="380" w:right="138"/>
        <w:jc w:val="both"/>
      </w:pPr>
      <w:r>
        <w:rPr>
          <w:spacing w:val="-3"/>
        </w:rPr>
        <w:t>Таблица</w:t>
        <w:tab/>
      </w:r>
      <w:r>
        <w:rPr/>
        <w:t>П13/Г2.</w:t>
        <w:tab/>
        <w:t>Модифицирующие</w:t>
        <w:tab/>
      </w:r>
      <w:r>
        <w:rPr>
          <w:spacing w:val="-4"/>
        </w:rPr>
        <w:t>факторы, </w:t>
      </w:r>
      <w:r>
        <w:rPr/>
        <w:t>способствующие увеличению сердечно-сосудистого</w:t>
      </w:r>
      <w:r>
        <w:rPr>
          <w:spacing w:val="-6"/>
        </w:rPr>
        <w:t> </w:t>
      </w:r>
      <w:r>
        <w:rPr/>
        <w:t>риска</w:t>
      </w:r>
    </w:p>
    <w:p>
      <w:pPr>
        <w:pStyle w:val="BodyText"/>
        <w:spacing w:before="1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460" w:hRule="atLeast"/>
        </w:trPr>
        <w:tc>
          <w:tcPr>
            <w:tcW w:w="8434" w:type="dxa"/>
          </w:tcPr>
          <w:p>
            <w:pPr>
              <w:pStyle w:val="TableParagraph"/>
              <w:rPr>
                <w:sz w:val="16"/>
              </w:rPr>
            </w:pPr>
            <w:r>
              <w:rPr>
                <w:w w:val="105"/>
                <w:sz w:val="16"/>
              </w:rPr>
              <w:t>Социальная депривация — причина многих ССЗ</w:t>
            </w:r>
          </w:p>
        </w:tc>
      </w:tr>
      <w:tr>
        <w:trPr>
          <w:trHeight w:val="625" w:hRule="atLeast"/>
        </w:trPr>
        <w:tc>
          <w:tcPr>
            <w:tcW w:w="8434" w:type="dxa"/>
          </w:tcPr>
          <w:p>
            <w:pPr>
              <w:pStyle w:val="TableParagraph"/>
              <w:spacing w:line="204" w:lineRule="auto" w:before="161"/>
              <w:rPr>
                <w:sz w:val="16"/>
              </w:rPr>
            </w:pPr>
            <w:r>
              <w:rPr>
                <w:w w:val="105"/>
                <w:sz w:val="16"/>
              </w:rPr>
              <w:t>Ожирение (диагностированное по ИМТ) и центральное ожирение (диагностированное по окружности талии)</w:t>
            </w:r>
          </w:p>
        </w:tc>
      </w:tr>
      <w:tr>
        <w:trPr>
          <w:trHeight w:val="460" w:hRule="atLeast"/>
        </w:trPr>
        <w:tc>
          <w:tcPr>
            <w:tcW w:w="8434" w:type="dxa"/>
          </w:tcPr>
          <w:p>
            <w:pPr>
              <w:pStyle w:val="TableParagraph"/>
              <w:rPr>
                <w:sz w:val="16"/>
              </w:rPr>
            </w:pPr>
            <w:r>
              <w:rPr>
                <w:w w:val="105"/>
                <w:sz w:val="16"/>
              </w:rPr>
              <w:t>Отсутствие физической активности</w:t>
            </w:r>
          </w:p>
        </w:tc>
      </w:tr>
      <w:tr>
        <w:trPr>
          <w:trHeight w:val="460" w:hRule="atLeast"/>
        </w:trPr>
        <w:tc>
          <w:tcPr>
            <w:tcW w:w="8434" w:type="dxa"/>
          </w:tcPr>
          <w:p>
            <w:pPr>
              <w:pStyle w:val="TableParagraph"/>
              <w:rPr>
                <w:sz w:val="16"/>
              </w:rPr>
            </w:pPr>
            <w:r>
              <w:rPr>
                <w:w w:val="105"/>
                <w:sz w:val="16"/>
              </w:rPr>
              <w:t>Психологический стресс, в том числе жизненное истощение</w:t>
            </w:r>
          </w:p>
        </w:tc>
      </w:tr>
      <w:tr>
        <w:trPr>
          <w:trHeight w:val="625" w:hRule="atLeast"/>
        </w:trPr>
        <w:tc>
          <w:tcPr>
            <w:tcW w:w="8434" w:type="dxa"/>
          </w:tcPr>
          <w:p>
            <w:pPr>
              <w:pStyle w:val="TableParagraph"/>
              <w:spacing w:line="204" w:lineRule="auto" w:before="161"/>
              <w:rPr>
                <w:sz w:val="16"/>
              </w:rPr>
            </w:pPr>
            <w:r>
              <w:rPr>
                <w:w w:val="105"/>
                <w:sz w:val="16"/>
              </w:rPr>
              <w:t>Семейный анамнез раннего развития ССЗ (возникших &lt;55 лет у мужчин и до &lt;60 лет у женщин)</w:t>
            </w:r>
          </w:p>
        </w:tc>
      </w:tr>
      <w:tr>
        <w:trPr>
          <w:trHeight w:val="460" w:hRule="atLeast"/>
        </w:trPr>
        <w:tc>
          <w:tcPr>
            <w:tcW w:w="8434" w:type="dxa"/>
          </w:tcPr>
          <w:p>
            <w:pPr>
              <w:pStyle w:val="TableParagraph"/>
              <w:rPr>
                <w:sz w:val="16"/>
              </w:rPr>
            </w:pPr>
            <w:r>
              <w:rPr>
                <w:w w:val="105"/>
                <w:sz w:val="16"/>
              </w:rPr>
              <w:t>Аутоиммунные и другие воспалительные заболевания</w:t>
            </w:r>
          </w:p>
        </w:tc>
      </w:tr>
      <w:tr>
        <w:trPr>
          <w:trHeight w:val="460" w:hRule="atLeast"/>
        </w:trPr>
        <w:tc>
          <w:tcPr>
            <w:tcW w:w="8434" w:type="dxa"/>
          </w:tcPr>
          <w:p>
            <w:pPr>
              <w:pStyle w:val="TableParagraph"/>
              <w:rPr>
                <w:sz w:val="16"/>
              </w:rPr>
            </w:pPr>
            <w:r>
              <w:rPr>
                <w:w w:val="105"/>
                <w:sz w:val="16"/>
              </w:rPr>
              <w:t>Большие психические расстройства</w:t>
            </w:r>
          </w:p>
        </w:tc>
      </w:tr>
      <w:tr>
        <w:trPr>
          <w:trHeight w:val="460" w:hRule="atLeast"/>
        </w:trPr>
        <w:tc>
          <w:tcPr>
            <w:tcW w:w="8434" w:type="dxa"/>
          </w:tcPr>
          <w:p>
            <w:pPr>
              <w:pStyle w:val="TableParagraph"/>
              <w:rPr>
                <w:sz w:val="16"/>
              </w:rPr>
            </w:pPr>
            <w:r>
              <w:rPr>
                <w:w w:val="105"/>
                <w:sz w:val="16"/>
              </w:rPr>
              <w:t>Лечение инфекций при наличии ВИЧ</w:t>
            </w:r>
          </w:p>
        </w:tc>
      </w:tr>
      <w:tr>
        <w:trPr>
          <w:trHeight w:val="460" w:hRule="atLeast"/>
        </w:trPr>
        <w:tc>
          <w:tcPr>
            <w:tcW w:w="8434" w:type="dxa"/>
          </w:tcPr>
          <w:p>
            <w:pPr>
              <w:pStyle w:val="TableParagraph"/>
              <w:rPr>
                <w:sz w:val="16"/>
              </w:rPr>
            </w:pPr>
            <w:r>
              <w:rPr>
                <w:w w:val="105"/>
                <w:sz w:val="16"/>
              </w:rPr>
              <w:t>Фибрилляция предсердий</w:t>
            </w:r>
          </w:p>
        </w:tc>
      </w:tr>
      <w:tr>
        <w:trPr>
          <w:trHeight w:val="460" w:hRule="atLeast"/>
        </w:trPr>
        <w:tc>
          <w:tcPr>
            <w:tcW w:w="8434" w:type="dxa"/>
          </w:tcPr>
          <w:p>
            <w:pPr>
              <w:pStyle w:val="TableParagraph"/>
              <w:rPr>
                <w:sz w:val="16"/>
              </w:rPr>
            </w:pPr>
            <w:r>
              <w:rPr>
                <w:w w:val="105"/>
                <w:sz w:val="16"/>
              </w:rPr>
              <w:t>Гипертрофия левого желудочка</w:t>
            </w:r>
          </w:p>
        </w:tc>
      </w:tr>
      <w:tr>
        <w:trPr>
          <w:trHeight w:val="460" w:hRule="atLeast"/>
        </w:trPr>
        <w:tc>
          <w:tcPr>
            <w:tcW w:w="8434" w:type="dxa"/>
          </w:tcPr>
          <w:p>
            <w:pPr>
              <w:pStyle w:val="TableParagraph"/>
              <w:rPr>
                <w:sz w:val="16"/>
              </w:rPr>
            </w:pPr>
            <w:r>
              <w:rPr>
                <w:w w:val="105"/>
                <w:sz w:val="16"/>
              </w:rPr>
              <w:t>ХБП</w:t>
            </w:r>
          </w:p>
        </w:tc>
      </w:tr>
      <w:tr>
        <w:trPr>
          <w:trHeight w:val="460" w:hRule="atLeast"/>
        </w:trPr>
        <w:tc>
          <w:tcPr>
            <w:tcW w:w="8434" w:type="dxa"/>
          </w:tcPr>
          <w:p>
            <w:pPr>
              <w:pStyle w:val="TableParagraph"/>
              <w:rPr>
                <w:sz w:val="16"/>
              </w:rPr>
            </w:pPr>
            <w:r>
              <w:rPr>
                <w:w w:val="105"/>
                <w:sz w:val="16"/>
              </w:rPr>
              <w:t>Синдром обструктивного апноэ сна</w:t>
            </w:r>
          </w:p>
        </w:tc>
      </w:tr>
    </w:tbl>
    <w:p>
      <w:pPr>
        <w:spacing w:after="0"/>
        <w:rPr>
          <w:sz w:val="16"/>
        </w:rPr>
        <w:sectPr>
          <w:pgSz w:w="11900" w:h="16840"/>
          <w:pgMar w:top="0" w:bottom="0" w:left="1420" w:right="1520"/>
        </w:sectPr>
      </w:pPr>
    </w:p>
    <w:p>
      <w:pPr>
        <w:pStyle w:val="BodyText"/>
        <w:spacing w:line="256" w:lineRule="auto" w:before="77"/>
        <w:ind w:left="380" w:right="140"/>
      </w:pPr>
      <w:r>
        <w:rPr/>
        <w:t>Приложение Г3.1. Классификация стадий и стратификация риска при АГ</w:t>
      </w:r>
    </w:p>
    <w:p>
      <w:pPr>
        <w:pStyle w:val="BodyText"/>
        <w:spacing w:before="0"/>
        <w:ind w:left="0"/>
        <w:jc w:val="left"/>
        <w:rPr>
          <w:sz w:val="36"/>
        </w:rPr>
      </w:pPr>
    </w:p>
    <w:p>
      <w:pPr>
        <w:pStyle w:val="BodyText"/>
        <w:spacing w:before="0"/>
        <w:ind w:left="0"/>
        <w:jc w:val="left"/>
        <w:rPr>
          <w:sz w:val="33"/>
        </w:rPr>
      </w:pPr>
    </w:p>
    <w:p>
      <w:pPr>
        <w:pStyle w:val="Heading3"/>
        <w:spacing w:line="256" w:lineRule="auto" w:before="0"/>
        <w:ind w:left="380" w:right="128"/>
        <w:jc w:val="both"/>
      </w:pPr>
      <w:r>
        <w:rPr/>
        <w:t>Таблица П1/Г3.Классификация стадий АГ в зависимости от уровней артериального давления, наличия факторов СС риска, поражения органов, обусловленного гипертензией, и наличия сопутствующих заболеваний</w:t>
      </w:r>
    </w:p>
    <w:p>
      <w:pPr>
        <w:pStyle w:val="BodyText"/>
        <w:spacing w:before="13"/>
        <w:ind w:left="0"/>
        <w:jc w:val="left"/>
        <w:rPr>
          <w:b/>
          <w:sz w:val="21"/>
        </w:rPr>
      </w:pPr>
      <w:r>
        <w:rPr/>
        <w:drawing>
          <wp:anchor distT="0" distB="0" distL="0" distR="0" allowOverlap="1" layoutInCell="1" locked="0" behindDoc="0" simplePos="0" relativeHeight="445">
            <wp:simplePos x="0" y="0"/>
            <wp:positionH relativeFrom="page">
              <wp:posOffset>1216174</wp:posOffset>
            </wp:positionH>
            <wp:positionV relativeFrom="paragraph">
              <wp:posOffset>213012</wp:posOffset>
            </wp:positionV>
            <wp:extent cx="5106930" cy="5856351"/>
            <wp:effectExtent l="0" t="0" r="0" b="0"/>
            <wp:wrapTopAndBottom/>
            <wp:docPr id="41" name="image15.png"/>
            <wp:cNvGraphicFramePr>
              <a:graphicFrameLocks noChangeAspect="1"/>
            </wp:cNvGraphicFramePr>
            <a:graphic>
              <a:graphicData uri="http://schemas.openxmlformats.org/drawingml/2006/picture">
                <pic:pic>
                  <pic:nvPicPr>
                    <pic:cNvPr id="42" name="image15.png"/>
                    <pic:cNvPicPr/>
                  </pic:nvPicPr>
                  <pic:blipFill>
                    <a:blip r:embed="rId23" cstate="print"/>
                    <a:stretch>
                      <a:fillRect/>
                    </a:stretch>
                  </pic:blipFill>
                  <pic:spPr>
                    <a:xfrm>
                      <a:off x="0" y="0"/>
                      <a:ext cx="5106930" cy="5856351"/>
                    </a:xfrm>
                    <a:prstGeom prst="rect">
                      <a:avLst/>
                    </a:prstGeom>
                  </pic:spPr>
                </pic:pic>
              </a:graphicData>
            </a:graphic>
          </wp:anchor>
        </w:drawing>
      </w:r>
    </w:p>
    <w:p>
      <w:pPr>
        <w:pStyle w:val="BodyText"/>
        <w:spacing w:before="4"/>
        <w:ind w:left="0"/>
        <w:jc w:val="left"/>
        <w:rPr>
          <w:b/>
          <w:sz w:val="40"/>
        </w:rPr>
      </w:pPr>
    </w:p>
    <w:p>
      <w:pPr>
        <w:spacing w:line="256" w:lineRule="auto" w:before="0"/>
        <w:ind w:left="380" w:right="138" w:firstLine="0"/>
        <w:jc w:val="both"/>
        <w:rPr>
          <w:b/>
          <w:sz w:val="27"/>
        </w:rPr>
      </w:pPr>
      <w:r>
        <w:rPr/>
        <w:pict>
          <v:shape style="position:absolute;margin-left:103.543495pt;margin-top:92.955292pt;width:3.05pt;height:3.05pt;mso-position-horizontal-relative:page;mso-position-vertical-relative:paragraph;z-index:-18151936" coordorigin="2071,1859" coordsize="61,61" path="m2101,1919l2093,1919,2086,1916,2074,1904,2071,1897,2071,1881,2074,1874,2086,1862,2093,1859,2109,1859,2116,1862,2128,1874,2131,1881,2131,1889,2131,1897,2128,1904,2116,1916,2109,1919,2101,1919xe" filled="true" fillcolor="#000000" stroked="false">
            <v:path arrowok="t"/>
            <v:fill type="solid"/>
            <w10:wrap type="none"/>
          </v:shape>
        </w:pict>
      </w:r>
      <w:r>
        <w:rPr>
          <w:b/>
          <w:sz w:val="27"/>
        </w:rPr>
        <w:t>Таблица П2/Г3. Факторы, определяющие сердечно- сосудистый риск и стадию заболевания у пациентов с АГ</w:t>
      </w:r>
    </w:p>
    <w:p>
      <w:pPr>
        <w:pStyle w:val="BodyText"/>
        <w:spacing w:before="11" w:after="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460" w:hRule="atLeast"/>
        </w:trPr>
        <w:tc>
          <w:tcPr>
            <w:tcW w:w="8434" w:type="dxa"/>
          </w:tcPr>
          <w:p>
            <w:pPr>
              <w:pStyle w:val="TableParagraph"/>
              <w:rPr>
                <w:b/>
                <w:sz w:val="16"/>
              </w:rPr>
            </w:pPr>
            <w:r>
              <w:rPr>
                <w:b/>
                <w:w w:val="105"/>
                <w:sz w:val="16"/>
              </w:rPr>
              <w:t>Демографические характеристики и лабораторные параметры</w:t>
            </w:r>
          </w:p>
        </w:tc>
      </w:tr>
      <w:tr>
        <w:trPr>
          <w:trHeight w:val="685" w:hRule="atLeast"/>
        </w:trPr>
        <w:tc>
          <w:tcPr>
            <w:tcW w:w="8434" w:type="dxa"/>
          </w:tcPr>
          <w:p>
            <w:pPr>
              <w:pStyle w:val="TableParagraph"/>
              <w:spacing w:before="12"/>
              <w:ind w:left="0"/>
              <w:rPr>
                <w:rFonts w:ascii="Palatino Linotype"/>
                <w:b/>
                <w:sz w:val="17"/>
              </w:rPr>
            </w:pPr>
          </w:p>
          <w:p>
            <w:pPr>
              <w:pStyle w:val="TableParagraph"/>
              <w:spacing w:before="0"/>
              <w:ind w:left="470"/>
              <w:rPr>
                <w:sz w:val="16"/>
              </w:rPr>
            </w:pPr>
            <w:r>
              <w:rPr>
                <w:w w:val="105"/>
                <w:sz w:val="16"/>
              </w:rPr>
              <w:t>Мужской пол</w:t>
            </w:r>
          </w:p>
        </w:tc>
      </w:tr>
    </w:tbl>
    <w:p>
      <w:pPr>
        <w:spacing w:after="0"/>
        <w:rPr>
          <w:sz w:val="16"/>
        </w:rPr>
        <w:sectPr>
          <w:pgSz w:w="11900" w:h="16840"/>
          <w:pgMar w:top="600" w:bottom="28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685" w:hRule="atLeast"/>
        </w:trPr>
        <w:tc>
          <w:tcPr>
            <w:tcW w:w="8434" w:type="dxa"/>
          </w:tcPr>
          <w:p>
            <w:pPr>
              <w:pStyle w:val="TableParagraph"/>
              <w:spacing w:before="147"/>
              <w:ind w:left="470"/>
              <w:rPr>
                <w:sz w:val="16"/>
              </w:rPr>
            </w:pPr>
            <w:r>
              <w:rPr>
                <w:w w:val="105"/>
                <w:sz w:val="16"/>
              </w:rPr>
              <w:t>Возраст </w:t>
            </w:r>
            <w:r>
              <w:rPr>
                <w:w w:val="105"/>
                <w:position w:val="9"/>
                <w:sz w:val="16"/>
              </w:rPr>
              <w:t>а </w:t>
            </w:r>
            <w:r>
              <w:rPr>
                <w:w w:val="105"/>
                <w:sz w:val="16"/>
              </w:rPr>
              <w:t>≥55 лет у мужчин, ≥65 лет у женщин</w:t>
            </w:r>
          </w:p>
        </w:tc>
      </w:tr>
      <w:tr>
        <w:trPr>
          <w:trHeight w:val="685" w:hRule="atLeast"/>
        </w:trPr>
        <w:tc>
          <w:tcPr>
            <w:tcW w:w="8434" w:type="dxa"/>
          </w:tcPr>
          <w:p>
            <w:pPr>
              <w:pStyle w:val="TableParagraph"/>
              <w:spacing w:before="147"/>
              <w:ind w:left="470"/>
              <w:rPr>
                <w:sz w:val="16"/>
              </w:rPr>
            </w:pPr>
            <w:r>
              <w:rPr>
                <w:w w:val="105"/>
                <w:sz w:val="16"/>
              </w:rPr>
              <w:t>Курение (в настоящем или прошлом) </w:t>
            </w:r>
            <w:r>
              <w:rPr>
                <w:w w:val="105"/>
                <w:position w:val="9"/>
                <w:sz w:val="16"/>
              </w:rPr>
              <w:t>а</w:t>
            </w:r>
          </w:p>
        </w:tc>
      </w:tr>
      <w:tr>
        <w:trPr>
          <w:trHeight w:val="2636" w:hRule="atLeast"/>
        </w:trPr>
        <w:tc>
          <w:tcPr>
            <w:tcW w:w="8434" w:type="dxa"/>
          </w:tcPr>
          <w:p>
            <w:pPr>
              <w:pStyle w:val="TableParagraph"/>
              <w:spacing w:line="482" w:lineRule="auto" w:before="147"/>
              <w:ind w:left="470"/>
              <w:rPr>
                <w:sz w:val="16"/>
              </w:rPr>
            </w:pPr>
            <w:r>
              <w:rPr>
                <w:w w:val="105"/>
                <w:sz w:val="16"/>
              </w:rPr>
              <w:t>Дислипидемия </w:t>
            </w:r>
            <w:r>
              <w:rPr>
                <w:w w:val="105"/>
                <w:position w:val="9"/>
                <w:sz w:val="16"/>
              </w:rPr>
              <w:t>а </w:t>
            </w:r>
            <w:r>
              <w:rPr>
                <w:w w:val="105"/>
                <w:sz w:val="16"/>
              </w:rPr>
              <w:t>(принимается во внимание каждый из представленных показателей липидного обмена)</w:t>
            </w:r>
          </w:p>
          <w:p>
            <w:pPr>
              <w:pStyle w:val="TableParagraph"/>
              <w:spacing w:line="193" w:lineRule="exact" w:before="0"/>
              <w:ind w:left="785"/>
              <w:rPr>
                <w:sz w:val="16"/>
              </w:rPr>
            </w:pPr>
            <w:r>
              <w:rPr>
                <w:w w:val="105"/>
                <w:sz w:val="16"/>
              </w:rPr>
              <w:t>ОХС &gt;4,9 ммоль/л и/или</w:t>
            </w:r>
          </w:p>
          <w:p>
            <w:pPr>
              <w:pStyle w:val="TableParagraph"/>
              <w:spacing w:before="6"/>
              <w:ind w:left="0"/>
              <w:rPr>
                <w:rFonts w:ascii="Palatino Linotype"/>
                <w:b/>
                <w:sz w:val="14"/>
              </w:rPr>
            </w:pPr>
          </w:p>
          <w:p>
            <w:pPr>
              <w:pStyle w:val="TableParagraph"/>
              <w:spacing w:before="0"/>
              <w:ind w:left="785"/>
              <w:rPr>
                <w:sz w:val="16"/>
              </w:rPr>
            </w:pPr>
            <w:r>
              <w:rPr>
                <w:w w:val="105"/>
                <w:sz w:val="16"/>
              </w:rPr>
              <w:t>ХС</w:t>
            </w:r>
            <w:r>
              <w:rPr>
                <w:spacing w:val="-12"/>
                <w:w w:val="105"/>
                <w:sz w:val="16"/>
              </w:rPr>
              <w:t> </w:t>
            </w:r>
            <w:r>
              <w:rPr>
                <w:w w:val="105"/>
                <w:sz w:val="16"/>
              </w:rPr>
              <w:t>ЛНП</w:t>
            </w:r>
            <w:r>
              <w:rPr>
                <w:spacing w:val="-12"/>
                <w:w w:val="105"/>
                <w:sz w:val="16"/>
              </w:rPr>
              <w:t> </w:t>
            </w:r>
            <w:r>
              <w:rPr>
                <w:w w:val="105"/>
                <w:sz w:val="16"/>
              </w:rPr>
              <w:t>&gt;3,0</w:t>
            </w:r>
            <w:r>
              <w:rPr>
                <w:spacing w:val="-11"/>
                <w:w w:val="105"/>
                <w:sz w:val="16"/>
              </w:rPr>
              <w:t> </w:t>
            </w:r>
            <w:r>
              <w:rPr>
                <w:w w:val="105"/>
                <w:sz w:val="16"/>
              </w:rPr>
              <w:t>ммоль/л</w:t>
            </w:r>
            <w:r>
              <w:rPr>
                <w:spacing w:val="-12"/>
                <w:w w:val="105"/>
                <w:sz w:val="16"/>
              </w:rPr>
              <w:t> </w:t>
            </w:r>
            <w:r>
              <w:rPr>
                <w:w w:val="105"/>
                <w:sz w:val="16"/>
              </w:rPr>
              <w:t>и/или</w:t>
            </w:r>
          </w:p>
          <w:p>
            <w:pPr>
              <w:pStyle w:val="TableParagraph"/>
              <w:spacing w:before="7"/>
              <w:ind w:left="0"/>
              <w:rPr>
                <w:rFonts w:ascii="Palatino Linotype"/>
                <w:b/>
                <w:sz w:val="14"/>
              </w:rPr>
            </w:pPr>
          </w:p>
          <w:p>
            <w:pPr>
              <w:pStyle w:val="TableParagraph"/>
              <w:spacing w:line="482" w:lineRule="auto" w:before="0"/>
              <w:ind w:left="785" w:right="345"/>
              <w:rPr>
                <w:sz w:val="16"/>
              </w:rPr>
            </w:pPr>
            <w:r>
              <w:rPr>
                <w:w w:val="105"/>
                <w:sz w:val="16"/>
              </w:rPr>
              <w:t>ХС</w:t>
            </w:r>
            <w:r>
              <w:rPr>
                <w:spacing w:val="-10"/>
                <w:w w:val="105"/>
                <w:sz w:val="16"/>
              </w:rPr>
              <w:t> </w:t>
            </w:r>
            <w:r>
              <w:rPr>
                <w:w w:val="105"/>
                <w:sz w:val="16"/>
              </w:rPr>
              <w:t>ЛВП</w:t>
            </w:r>
            <w:r>
              <w:rPr>
                <w:spacing w:val="-9"/>
                <w:w w:val="105"/>
                <w:sz w:val="16"/>
              </w:rPr>
              <w:t> </w:t>
            </w:r>
            <w:r>
              <w:rPr>
                <w:w w:val="105"/>
                <w:sz w:val="16"/>
              </w:rPr>
              <w:t>у</w:t>
            </w:r>
            <w:r>
              <w:rPr>
                <w:spacing w:val="-9"/>
                <w:w w:val="105"/>
                <w:sz w:val="16"/>
              </w:rPr>
              <w:t> </w:t>
            </w:r>
            <w:r>
              <w:rPr>
                <w:w w:val="105"/>
                <w:sz w:val="16"/>
              </w:rPr>
              <w:t>мужчин</w:t>
            </w:r>
            <w:r>
              <w:rPr>
                <w:spacing w:val="-10"/>
                <w:w w:val="105"/>
                <w:sz w:val="16"/>
              </w:rPr>
              <w:t> </w:t>
            </w:r>
            <w:r>
              <w:rPr>
                <w:w w:val="105"/>
                <w:sz w:val="16"/>
              </w:rPr>
              <w:t>—</w:t>
            </w:r>
            <w:r>
              <w:rPr>
                <w:spacing w:val="-9"/>
                <w:w w:val="105"/>
                <w:sz w:val="16"/>
              </w:rPr>
              <w:t> </w:t>
            </w:r>
            <w:r>
              <w:rPr>
                <w:w w:val="105"/>
                <w:sz w:val="16"/>
              </w:rPr>
              <w:t>&lt;1,0</w:t>
            </w:r>
            <w:r>
              <w:rPr>
                <w:spacing w:val="-9"/>
                <w:w w:val="105"/>
                <w:sz w:val="16"/>
              </w:rPr>
              <w:t> </w:t>
            </w:r>
            <w:r>
              <w:rPr>
                <w:w w:val="105"/>
                <w:sz w:val="16"/>
              </w:rPr>
              <w:t>ммоль/л</w:t>
            </w:r>
            <w:r>
              <w:rPr>
                <w:spacing w:val="-9"/>
                <w:w w:val="105"/>
                <w:sz w:val="16"/>
              </w:rPr>
              <w:t> </w:t>
            </w:r>
            <w:r>
              <w:rPr>
                <w:w w:val="105"/>
                <w:sz w:val="16"/>
              </w:rPr>
              <w:t>(40</w:t>
            </w:r>
            <w:r>
              <w:rPr>
                <w:spacing w:val="-10"/>
                <w:w w:val="105"/>
                <w:sz w:val="16"/>
              </w:rPr>
              <w:t> </w:t>
            </w:r>
            <w:r>
              <w:rPr>
                <w:w w:val="105"/>
                <w:sz w:val="16"/>
              </w:rPr>
              <w:t>мг/дл),</w:t>
            </w:r>
            <w:r>
              <w:rPr>
                <w:spacing w:val="-9"/>
                <w:w w:val="105"/>
                <w:sz w:val="16"/>
              </w:rPr>
              <w:t> </w:t>
            </w:r>
            <w:r>
              <w:rPr>
                <w:w w:val="105"/>
                <w:sz w:val="16"/>
              </w:rPr>
              <w:t>у</w:t>
            </w:r>
            <w:r>
              <w:rPr>
                <w:spacing w:val="-9"/>
                <w:w w:val="105"/>
                <w:sz w:val="16"/>
              </w:rPr>
              <w:t> </w:t>
            </w:r>
            <w:r>
              <w:rPr>
                <w:w w:val="105"/>
                <w:sz w:val="16"/>
              </w:rPr>
              <w:t>женщин</w:t>
            </w:r>
            <w:r>
              <w:rPr>
                <w:spacing w:val="-9"/>
                <w:w w:val="105"/>
                <w:sz w:val="16"/>
              </w:rPr>
              <w:t> </w:t>
            </w:r>
            <w:r>
              <w:rPr>
                <w:w w:val="105"/>
                <w:sz w:val="16"/>
              </w:rPr>
              <w:t>—</w:t>
            </w:r>
            <w:r>
              <w:rPr>
                <w:spacing w:val="-10"/>
                <w:w w:val="105"/>
                <w:sz w:val="16"/>
              </w:rPr>
              <w:t> </w:t>
            </w:r>
            <w:r>
              <w:rPr>
                <w:w w:val="105"/>
                <w:sz w:val="16"/>
              </w:rPr>
              <w:t>&lt;1,2</w:t>
            </w:r>
            <w:r>
              <w:rPr>
                <w:spacing w:val="-9"/>
                <w:w w:val="105"/>
                <w:sz w:val="16"/>
              </w:rPr>
              <w:t> </w:t>
            </w:r>
            <w:r>
              <w:rPr>
                <w:w w:val="105"/>
                <w:sz w:val="16"/>
              </w:rPr>
              <w:t>ммоль/л</w:t>
            </w:r>
            <w:r>
              <w:rPr>
                <w:spacing w:val="-9"/>
                <w:w w:val="105"/>
                <w:sz w:val="16"/>
              </w:rPr>
              <w:t> </w:t>
            </w:r>
            <w:r>
              <w:rPr>
                <w:w w:val="105"/>
                <w:sz w:val="16"/>
              </w:rPr>
              <w:t>(46</w:t>
            </w:r>
            <w:r>
              <w:rPr>
                <w:spacing w:val="-9"/>
                <w:w w:val="105"/>
                <w:sz w:val="16"/>
              </w:rPr>
              <w:t> </w:t>
            </w:r>
            <w:r>
              <w:rPr>
                <w:w w:val="105"/>
                <w:sz w:val="16"/>
              </w:rPr>
              <w:t>мг/дл) Триглицериды &gt;1,7</w:t>
            </w:r>
            <w:r>
              <w:rPr>
                <w:spacing w:val="-5"/>
                <w:w w:val="105"/>
                <w:sz w:val="16"/>
              </w:rPr>
              <w:t> </w:t>
            </w:r>
            <w:r>
              <w:rPr>
                <w:w w:val="105"/>
                <w:sz w:val="16"/>
              </w:rPr>
              <w:t>ммоль/л</w:t>
            </w:r>
          </w:p>
        </w:tc>
      </w:tr>
      <w:tr>
        <w:trPr>
          <w:trHeight w:val="146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Гипергликемия натощак (глюкоза плазмы)</w:t>
            </w:r>
          </w:p>
          <w:p>
            <w:pPr>
              <w:pStyle w:val="TableParagraph"/>
              <w:spacing w:before="7"/>
              <w:ind w:left="0"/>
              <w:rPr>
                <w:rFonts w:ascii="Palatino Linotype"/>
                <w:b/>
                <w:sz w:val="14"/>
              </w:rPr>
            </w:pPr>
          </w:p>
          <w:p>
            <w:pPr>
              <w:pStyle w:val="TableParagraph"/>
              <w:spacing w:line="482" w:lineRule="auto" w:before="0"/>
              <w:ind w:left="785"/>
              <w:rPr>
                <w:sz w:val="16"/>
              </w:rPr>
            </w:pPr>
            <w:r>
              <w:rPr>
                <w:w w:val="105"/>
                <w:sz w:val="16"/>
              </w:rPr>
              <w:t>Глюкоза плазмы натощак 5,6–6,9 ммоль/л (102–25 мг/дл) или нарушение толерантности к глюкозе</w:t>
            </w:r>
          </w:p>
        </w:tc>
      </w:tr>
      <w:tr>
        <w:trPr>
          <w:trHeight w:val="685" w:hRule="atLeast"/>
        </w:trPr>
        <w:tc>
          <w:tcPr>
            <w:tcW w:w="8434" w:type="dxa"/>
          </w:tcPr>
          <w:p>
            <w:pPr>
              <w:pStyle w:val="TableParagraph"/>
              <w:spacing w:before="147"/>
              <w:ind w:left="470"/>
              <w:rPr>
                <w:sz w:val="16"/>
              </w:rPr>
            </w:pPr>
            <w:r>
              <w:rPr>
                <w:w w:val="105"/>
                <w:sz w:val="16"/>
              </w:rPr>
              <w:t>Избыточная масса тела (ИМТ 25-29,9 кг/м</w:t>
            </w:r>
            <w:r>
              <w:rPr>
                <w:w w:val="105"/>
                <w:position w:val="9"/>
                <w:sz w:val="16"/>
              </w:rPr>
              <w:t>2</w:t>
            </w:r>
            <w:r>
              <w:rPr>
                <w:w w:val="105"/>
                <w:sz w:val="16"/>
              </w:rPr>
              <w:t>) или ожирение (ИМТ ≥ 30 кг/м</w:t>
            </w:r>
            <w:r>
              <w:rPr>
                <w:w w:val="105"/>
                <w:position w:val="9"/>
                <w:sz w:val="16"/>
              </w:rPr>
              <w:t>2</w:t>
            </w:r>
            <w:r>
              <w:rPr>
                <w:w w:val="105"/>
                <w:sz w:val="16"/>
              </w:rPr>
              <w:t>)</w:t>
            </w:r>
          </w:p>
        </w:tc>
      </w:tr>
      <w:tr>
        <w:trPr>
          <w:trHeight w:val="1075" w:hRule="atLeast"/>
        </w:trPr>
        <w:tc>
          <w:tcPr>
            <w:tcW w:w="8434" w:type="dxa"/>
          </w:tcPr>
          <w:p>
            <w:pPr>
              <w:pStyle w:val="TableParagraph"/>
              <w:spacing w:before="7"/>
              <w:ind w:left="0"/>
              <w:rPr>
                <w:rFonts w:ascii="Palatino Linotype"/>
                <w:b/>
                <w:sz w:val="17"/>
              </w:rPr>
            </w:pPr>
          </w:p>
          <w:p>
            <w:pPr>
              <w:pStyle w:val="TableParagraph"/>
              <w:spacing w:line="482" w:lineRule="auto" w:before="0"/>
              <w:ind w:left="470" w:right="53"/>
              <w:rPr>
                <w:sz w:val="16"/>
              </w:rPr>
            </w:pPr>
            <w:r>
              <w:rPr>
                <w:w w:val="105"/>
                <w:sz w:val="16"/>
              </w:rPr>
              <w:t>Семейный анамнез развития ССЗ в молодом возрасте (&lt; 55 лет для мужчин и &lt;65 лет для женщин)</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Мочевая кислота (≥360 мкмоль/л у женщин, ≥420 мкмоль/л у мужчин)</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Развитие АГ в молодом возрасте у родителей или в семье</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Ранняя менопауза</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Малоподвижный образ жизни</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Психологические и социально-экономические факторы</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Частота сердечных сокращений (значение в покое &gt;80 ударов в минуту)</w:t>
            </w:r>
          </w:p>
        </w:tc>
      </w:tr>
      <w:tr>
        <w:trPr>
          <w:trHeight w:val="460" w:hRule="atLeast"/>
        </w:trPr>
        <w:tc>
          <w:tcPr>
            <w:tcW w:w="8434" w:type="dxa"/>
          </w:tcPr>
          <w:p>
            <w:pPr>
              <w:pStyle w:val="TableParagraph"/>
              <w:spacing w:before="132"/>
              <w:rPr>
                <w:b/>
                <w:sz w:val="16"/>
              </w:rPr>
            </w:pPr>
            <w:r>
              <w:rPr>
                <w:b/>
                <w:w w:val="105"/>
                <w:sz w:val="16"/>
              </w:rPr>
              <w:t>Бессимптомное поражение органов-мишеней</w:t>
            </w:r>
          </w:p>
        </w:tc>
      </w:tr>
      <w:tr>
        <w:trPr>
          <w:trHeight w:val="146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Артериальная жесткость:</w:t>
            </w:r>
          </w:p>
          <w:p>
            <w:pPr>
              <w:pStyle w:val="TableParagraph"/>
              <w:spacing w:before="7"/>
              <w:ind w:left="0"/>
              <w:rPr>
                <w:rFonts w:ascii="Palatino Linotype"/>
                <w:b/>
                <w:sz w:val="14"/>
              </w:rPr>
            </w:pPr>
          </w:p>
          <w:p>
            <w:pPr>
              <w:pStyle w:val="TableParagraph"/>
              <w:spacing w:line="482" w:lineRule="auto" w:before="0"/>
              <w:ind w:left="785" w:right="2380"/>
              <w:rPr>
                <w:sz w:val="16"/>
              </w:rPr>
            </w:pPr>
            <w:r>
              <w:rPr>
                <w:w w:val="105"/>
                <w:sz w:val="16"/>
              </w:rPr>
              <w:t>Пульсовое давление (у пожилых пациентов) ≥60 мм рт. </w:t>
            </w:r>
            <w:r>
              <w:rPr>
                <w:spacing w:val="-4"/>
                <w:w w:val="105"/>
                <w:sz w:val="16"/>
              </w:rPr>
              <w:t>ст. </w:t>
            </w:r>
            <w:r>
              <w:rPr>
                <w:w w:val="105"/>
                <w:sz w:val="16"/>
              </w:rPr>
              <w:t>Каротидная скорость пульсовой волны &gt;10 м/с</w:t>
            </w:r>
          </w:p>
        </w:tc>
      </w:tr>
      <w:tr>
        <w:trPr>
          <w:trHeight w:val="1465" w:hRule="atLeast"/>
        </w:trPr>
        <w:tc>
          <w:tcPr>
            <w:tcW w:w="8434" w:type="dxa"/>
          </w:tcPr>
          <w:p>
            <w:pPr>
              <w:pStyle w:val="TableParagraph"/>
              <w:spacing w:before="7"/>
              <w:ind w:left="0"/>
              <w:rPr>
                <w:rFonts w:ascii="Palatino Linotype"/>
                <w:b/>
                <w:sz w:val="17"/>
              </w:rPr>
            </w:pPr>
          </w:p>
          <w:p>
            <w:pPr>
              <w:pStyle w:val="TableParagraph"/>
              <w:spacing w:line="482" w:lineRule="auto" w:before="0"/>
              <w:ind w:left="470" w:right="145"/>
              <w:jc w:val="both"/>
              <w:rPr>
                <w:sz w:val="16"/>
              </w:rPr>
            </w:pPr>
            <w:r>
              <w:rPr>
                <w:w w:val="105"/>
                <w:sz w:val="16"/>
              </w:rPr>
              <w:t>ЭКГ признаки ГЛЖ (индекс Соколова–Лайона &gt; 35 мм, или амплитуда зубца R в отведении aVL ≥11 мм, корнельское произведение &gt;2440 мм ´ мс или корнельский вольтажный индекс &gt;28 мм для мужчин и &gt;20 мм для женщин)</w:t>
            </w:r>
          </w:p>
        </w:tc>
      </w:tr>
    </w:tbl>
    <w:p>
      <w:pPr>
        <w:rPr>
          <w:sz w:val="2"/>
          <w:szCs w:val="2"/>
        </w:rPr>
      </w:pPr>
      <w:r>
        <w:rPr/>
        <w:pict>
          <v:shape style="position:absolute;margin-left:103.543495pt;margin-top:18.010839pt;width:3.05pt;height:3.05pt;mso-position-horizontal-relative:page;mso-position-vertical-relative:page;z-index:-18151424" coordorigin="2071,360" coordsize="61,61" path="m2101,420l2093,420,2086,417,2074,405,2071,398,2071,382,2074,375,2086,363,2093,360,2109,360,2116,363,2128,375,2131,382,2131,390,2131,398,2128,405,2116,417,2109,420,2101,420xe" filled="true" fillcolor="#000000" stroked="false">
            <v:path arrowok="t"/>
            <v:fill type="solid"/>
            <w10:wrap type="none"/>
          </v:shape>
        </w:pict>
      </w:r>
      <w:r>
        <w:rPr/>
        <w:pict>
          <v:shape style="position:absolute;margin-left:103.543495pt;margin-top:53.275654pt;width:3.05pt;height:3.05pt;mso-position-horizontal-relative:page;mso-position-vertical-relative:page;z-index:-18150912" coordorigin="2071,1066" coordsize="61,61" path="m2109,1126l2093,1126,2086,1123,2074,1111,2071,1104,2071,1087,2074,1080,2086,1068,2093,1066,2109,1066,2116,1068,2128,1080,2131,1087,2131,1096,2131,1104,2128,1111,2116,1123,2109,1126xe" filled="true" fillcolor="#000000" stroked="false">
            <v:path arrowok="t"/>
            <v:fill type="solid"/>
            <w10:wrap type="none"/>
          </v:shape>
        </w:pict>
      </w:r>
      <w:r>
        <w:rPr/>
        <w:pict>
          <v:shape style="position:absolute;margin-left:103.543495pt;margin-top:88.540474pt;width:3.05pt;height:3.05pt;mso-position-horizontal-relative:page;mso-position-vertical-relative:page;z-index:-18150400" coordorigin="2071,1771" coordsize="61,61" path="m2101,1831l2093,1831,2086,1828,2074,1816,2071,1809,2071,1792,2074,1785,2080,1779,2086,1774,2093,1771,2109,1771,2131,1801,2131,1809,2128,1816,2116,1828,2109,1831,2101,1831xe" filled="true" fillcolor="#000000" stroked="false">
            <v:path arrowok="t"/>
            <v:fill type="solid"/>
            <w10:wrap type="none"/>
          </v:shape>
        </w:pict>
      </w:r>
      <w:r>
        <w:rPr/>
        <w:pict>
          <v:shape style="position:absolute;margin-left:119.300125pt;margin-top:127.556862pt;width:3.05pt;height:3.05pt;mso-position-horizontal-relative:page;mso-position-vertical-relative:page;z-index:-18149888" coordorigin="2386,2551" coordsize="61,61" path="m2446,2581l2446,2589,2443,2596,2437,2602,2431,2608,2424,2611,2416,2611,2408,2611,2401,2608,2395,2602,2389,2596,2386,2589,2386,2581,2386,2573,2389,2566,2395,2560,2401,2554,2408,2551,2416,2551,2424,2551,2431,2554,2437,2560,2443,2566,2446,2573,2446,2581xe" filled="false" stroked="true" strokeweight=".750315pt" strokecolor="#000000">
            <v:path arrowok="t"/>
            <v:stroke dashstyle="solid"/>
            <w10:wrap type="none"/>
          </v:shape>
        </w:pict>
      </w:r>
      <w:r>
        <w:rPr/>
        <w:pict>
          <v:shape style="position:absolute;margin-left:119.300125pt;margin-top:147.065063pt;width:3.05pt;height:3.05pt;mso-position-horizontal-relative:page;mso-position-vertical-relative:page;z-index:-18149376" coordorigin="2386,2941" coordsize="61,61" path="m2446,2971l2446,2980,2443,2987,2437,2992,2431,2998,2424,3001,2416,3001,2408,3001,2401,2998,2395,2992,2389,2987,2386,2980,2386,2971,2386,2963,2389,2956,2395,2950,2401,2944,2408,2941,2416,2941,2424,2941,2431,2944,2437,2950,2443,2956,2446,2963,2446,2971xe" filled="false" stroked="true" strokeweight=".750315pt" strokecolor="#000000">
            <v:path arrowok="t"/>
            <v:stroke dashstyle="solid"/>
            <w10:wrap type="none"/>
          </v:shape>
        </w:pict>
      </w:r>
      <w:r>
        <w:rPr/>
        <w:pict>
          <v:shape style="position:absolute;margin-left:119.300125pt;margin-top:166.573257pt;width:3.05pt;height:3.05pt;mso-position-horizontal-relative:page;mso-position-vertical-relative:page;z-index:-18148864" coordorigin="2386,3331" coordsize="61,61" path="m2446,3361l2446,3370,2443,3377,2437,3383,2431,3388,2424,3391,2416,3391,2408,3391,2401,3388,2395,3383,2389,3377,2386,3370,2386,3361,2386,3353,2389,3346,2395,3340,2401,3334,2408,3331,2416,3331,2424,3331,2431,3334,2437,3340,2443,3346,2446,3353,2446,3361xe" filled="false" stroked="true" strokeweight=".750315pt" strokecolor="#000000">
            <v:path arrowok="t"/>
            <v:stroke dashstyle="solid"/>
            <w10:wrap type="none"/>
          </v:shape>
        </w:pict>
      </w:r>
      <w:r>
        <w:rPr/>
        <w:pict>
          <v:shape style="position:absolute;margin-left:119.300125pt;margin-top:186.081451pt;width:3.05pt;height:3.05pt;mso-position-horizontal-relative:page;mso-position-vertical-relative:page;z-index:-18148352" coordorigin="2386,3722" coordsize="61,61" path="m2446,3752l2416,3782,2408,3781,2401,3778,2395,3773,2389,3767,2386,3760,2386,3752,2386,3743,2389,3736,2395,3730,2401,3724,2408,3722,2416,3722,2424,3722,2431,3724,2437,3730,2443,3736,2446,3743,2446,3752xe" filled="false" stroked="true" strokeweight=".750315pt" strokecolor="#000000">
            <v:path arrowok="t"/>
            <v:stroke dashstyle="solid"/>
            <w10:wrap type="none"/>
          </v:shape>
        </w:pict>
      </w:r>
      <w:r>
        <w:rPr/>
        <w:pict>
          <v:shape style="position:absolute;margin-left:103.543495pt;margin-top:221.346268pt;width:3.05pt;height:3.05pt;mso-position-horizontal-relative:page;mso-position-vertical-relative:page;z-index:-18147840" coordorigin="2071,4427" coordsize="61,61" path="m2101,4487l2093,4487,2086,4484,2074,4472,2071,4465,2071,4449,2074,4441,2086,4430,2093,4427,2109,4427,2116,4430,2128,4441,2131,4449,2131,4457,2131,4465,2128,4472,2116,4484,2109,4487,2101,4487xe" filled="true" fillcolor="#000000" stroked="false">
            <v:path arrowok="t"/>
            <v:fill type="solid"/>
            <w10:wrap type="none"/>
          </v:shape>
        </w:pict>
      </w:r>
      <w:r>
        <w:rPr/>
        <w:pict>
          <v:shape style="position:absolute;margin-left:119.300125pt;margin-top:240.854462pt;width:3.05pt;height:3.05pt;mso-position-horizontal-relative:page;mso-position-vertical-relative:page;z-index:-18147328" coordorigin="2386,4817" coordsize="61,61" path="m2446,4847l2446,4855,2443,4862,2437,4868,2431,4874,2424,4877,2416,4877,2408,4877,2401,4874,2395,4868,2389,4862,2386,4855,2386,4847,2386,4839,2389,4832,2395,4826,2401,4820,2408,4817,2416,4817,2424,4817,2431,4820,2437,4826,2443,4832,2446,4839,2446,4847xe" filled="false" stroked="true" strokeweight=".750315pt" strokecolor="#000000">
            <v:path arrowok="t"/>
            <v:stroke dashstyle="solid"/>
            <w10:wrap type="none"/>
          </v:shape>
        </w:pict>
      </w:r>
      <w:r>
        <w:rPr/>
        <w:pict>
          <v:shape style="position:absolute;margin-left:103.543495pt;margin-top:295.627472pt;width:3.05pt;height:3.05pt;mso-position-horizontal-relative:page;mso-position-vertical-relative:page;z-index:-18146816" coordorigin="2071,5913" coordsize="61,61" path="m2101,5973l2093,5972,2086,5970,2074,5958,2071,5951,2071,5934,2074,5927,2086,5915,2093,5913,2109,5913,2116,5915,2128,5927,2131,5934,2131,5943,2131,5951,2128,5958,2116,5970,2109,5972,2101,5973xe" filled="true" fillcolor="#000000" stroked="false">
            <v:path arrowok="t"/>
            <v:fill type="solid"/>
            <w10:wrap type="none"/>
          </v:shape>
        </w:pict>
      </w:r>
      <w:r>
        <w:rPr/>
        <w:pict>
          <v:shape style="position:absolute;margin-left:103.543495pt;margin-top:330.892303pt;width:3.05pt;height:3.05pt;mso-position-horizontal-relative:page;mso-position-vertical-relative:page;z-index:-18146304" coordorigin="2071,6618" coordsize="61,61" path="m2109,6678l2093,6678,2086,6675,2074,6663,2071,6656,2071,6639,2074,6632,2086,6621,2093,6618,2109,6618,2116,6621,2128,6632,2131,6639,2131,6648,2131,6656,2128,6663,2116,6675,2109,6678xe" filled="true" fillcolor="#000000" stroked="false">
            <v:path arrowok="t"/>
            <v:fill type="solid"/>
            <w10:wrap type="none"/>
          </v:shape>
        </w:pict>
      </w:r>
      <w:r>
        <w:rPr/>
        <w:pict>
          <v:shape style="position:absolute;margin-left:103.543495pt;margin-top:385.665314pt;width:3.05pt;height:3.05pt;mso-position-horizontal-relative:page;mso-position-vertical-relative:page;z-index:-18145792" coordorigin="2071,7713" coordsize="61,61" path="m2101,7773l2093,7773,2086,7770,2074,7758,2071,7752,2071,7735,2074,7728,2086,7716,2093,7713,2109,7713,2116,7716,2128,7728,2131,7735,2131,7743,2131,7752,2128,7758,2116,7770,2109,7773,2101,7773xe" filled="true" fillcolor="#000000" stroked="false">
            <v:path arrowok="t"/>
            <v:fill type="solid"/>
            <w10:wrap type="none"/>
          </v:shape>
        </w:pict>
      </w:r>
      <w:r>
        <w:rPr/>
        <w:pict>
          <v:shape style="position:absolute;margin-left:103.543495pt;margin-top:420.930115pt;width:3.05pt;height:3.05pt;mso-position-horizontal-relative:page;mso-position-vertical-relative:page;z-index:-18145280" coordorigin="2071,8419" coordsize="61,61" path="m2101,8479l2093,8478,2086,8476,2074,8464,2071,8457,2071,8440,2074,8433,2080,8427,2086,8421,2093,8419,2109,8419,2131,8449,2131,8457,2128,8464,2116,8476,2109,8478,2101,8479xe" filled="true" fillcolor="#000000" stroked="false">
            <v:path arrowok="t"/>
            <v:fill type="solid"/>
            <w10:wrap type="none"/>
          </v:shape>
        </w:pict>
      </w:r>
      <w:r>
        <w:rPr/>
        <w:pict>
          <v:shape style="position:absolute;margin-left:103.543495pt;margin-top:456.194946pt;width:3.05pt;height:3.05pt;mso-position-horizontal-relative:page;mso-position-vertical-relative:page;z-index:-18144768" coordorigin="2071,9124" coordsize="61,61" path="m2101,9184l2093,9184,2086,9181,2074,9169,2071,9162,2071,9145,2074,9138,2086,9127,2093,9124,2109,9124,2116,9127,2128,9138,2131,9145,2131,9154,2131,9162,2128,9169,2116,9181,2109,9184,2101,9184xe" filled="true" fillcolor="#000000" stroked="false">
            <v:path arrowok="t"/>
            <v:fill type="solid"/>
            <w10:wrap type="none"/>
          </v:shape>
        </w:pict>
      </w:r>
      <w:r>
        <w:rPr/>
        <w:pict>
          <v:shape style="position:absolute;margin-left:103.543495pt;margin-top:491.459747pt;width:3.05pt;height:3.05pt;mso-position-horizontal-relative:page;mso-position-vertical-relative:page;z-index:-18144256" coordorigin="2071,9829" coordsize="61,61" path="m2109,9889l2093,9889,2086,9886,2074,9874,2071,9867,2071,9851,2074,9843,2080,9838,2086,9832,2093,9829,2109,9829,2131,9859,2131,9867,2128,9874,2116,9886,2109,9889xe" filled="true" fillcolor="#000000" stroked="false">
            <v:path arrowok="t"/>
            <v:fill type="solid"/>
            <w10:wrap type="none"/>
          </v:shape>
        </w:pict>
      </w:r>
      <w:r>
        <w:rPr/>
        <w:pict>
          <v:shape style="position:absolute;margin-left:103.543495pt;margin-top:526.724548pt;width:3.05pt;height:3.05pt;mso-position-horizontal-relative:page;mso-position-vertical-relative:page;z-index:-18143744" coordorigin="2071,10534" coordsize="61,61" path="m2101,10595l2093,10594,2086,10591,2074,10580,2071,10573,2071,10556,2074,10549,2086,10537,2093,10534,2109,10534,2116,10537,2128,10549,2131,10556,2131,10565,2131,10573,2128,10580,2116,10591,2109,10594,2101,10595xe" filled="true" fillcolor="#000000" stroked="false">
            <v:path arrowok="t"/>
            <v:fill type="solid"/>
            <w10:wrap type="none"/>
          </v:shape>
        </w:pict>
      </w:r>
      <w:r>
        <w:rPr/>
        <w:pict>
          <v:shape style="position:absolute;margin-left:103.543495pt;margin-top:561.98938pt;width:3.05pt;height:3.05pt;mso-position-horizontal-relative:page;mso-position-vertical-relative:page;z-index:-18143232" coordorigin="2071,11240" coordsize="61,61" path="m2109,11300l2093,11300,2086,11297,2074,11285,2071,11278,2071,11261,2074,11254,2080,11248,2086,11243,2093,11240,2109,11240,2131,11270,2131,11278,2128,11285,2116,11297,2109,11300xe" filled="true" fillcolor="#000000" stroked="false">
            <v:path arrowok="t"/>
            <v:fill type="solid"/>
            <w10:wrap type="none"/>
          </v:shape>
        </w:pict>
      </w:r>
      <w:r>
        <w:rPr/>
        <w:pict>
          <v:shape style="position:absolute;margin-left:103.543495pt;margin-top:621.264282pt;width:3.05pt;height:3.05pt;mso-position-horizontal-relative:page;mso-position-vertical-relative:page;z-index:-18142720" coordorigin="2071,12425" coordsize="61,61" path="m2101,12485l2093,12485,2086,12482,2074,12470,2071,12464,2071,12447,2074,12440,2086,12428,2093,12425,2109,12425,2116,12428,2128,12440,2131,12447,2131,12455,2131,12464,2128,12470,2116,12482,2109,12485,2101,12485xe" filled="true" fillcolor="#000000" stroked="false">
            <v:path arrowok="t"/>
            <v:fill type="solid"/>
            <w10:wrap type="none"/>
          </v:shape>
        </w:pict>
      </w:r>
      <w:r>
        <w:rPr/>
        <w:pict>
          <v:shape style="position:absolute;margin-left:119.300125pt;margin-top:640.772522pt;width:3.05pt;height:3.05pt;mso-position-horizontal-relative:page;mso-position-vertical-relative:page;z-index:-18142208" coordorigin="2386,12815" coordsize="61,61" path="m2446,12845l2446,12854,2443,12861,2437,12867,2431,12872,2424,12875,2416,12875,2408,12875,2401,12872,2395,12867,2389,12861,2386,12854,2386,12845,2386,12837,2389,12830,2395,12824,2401,12818,2408,12815,2416,12815,2424,12815,2431,12818,2437,12824,2443,12830,2446,12837,2446,12845xe" filled="false" stroked="true" strokeweight=".750315pt" strokecolor="#000000">
            <v:path arrowok="t"/>
            <v:stroke dashstyle="solid"/>
            <w10:wrap type="none"/>
          </v:shape>
        </w:pict>
      </w:r>
      <w:r>
        <w:rPr/>
        <w:pict>
          <v:shape style="position:absolute;margin-left:119.300125pt;margin-top:660.280701pt;width:3.05pt;height:3.05pt;mso-position-horizontal-relative:page;mso-position-vertical-relative:page;z-index:-18141696" coordorigin="2386,13206" coordsize="61,61" path="m2446,13236l2446,13244,2443,13251,2437,13257,2431,13263,2424,13265,2416,13266,2408,13265,2401,13263,2395,13257,2389,13251,2386,13244,2386,13236,2386,13227,2389,13220,2395,13214,2401,13208,2408,13206,2416,13206,2424,13206,2431,13208,2437,13214,2443,13220,2446,13227,2446,13236xe" filled="false" stroked="true" strokeweight=".750315pt" strokecolor="#000000">
            <v:path arrowok="t"/>
            <v:stroke dashstyle="solid"/>
            <w10:wrap type="none"/>
          </v:shape>
        </w:pict>
      </w:r>
      <w:r>
        <w:rPr/>
        <w:pict>
          <v:shape style="position:absolute;margin-left:103.543495pt;margin-top:695.545532pt;width:3.05pt;height:3.05pt;mso-position-horizontal-relative:page;mso-position-vertical-relative:page;z-index:-18141184" coordorigin="2071,13911" coordsize="61,61" path="m2101,13971l2093,13971,2086,13968,2074,13956,2071,13949,2071,13932,2074,13925,2086,13914,2093,13911,2109,13911,2116,13914,2128,13925,2131,13932,2131,13941,2131,13949,2128,13956,2116,13968,2109,13971,2101,13971xe" filled="true" fillcolor="#000000" stroked="false">
            <v:path arrowok="t"/>
            <v:fill type="solid"/>
            <w10:wrap type="none"/>
          </v:shape>
        </w:pict>
      </w:r>
    </w:p>
    <w:p>
      <w:pPr>
        <w:spacing w:after="0"/>
        <w:rPr>
          <w:sz w:val="2"/>
          <w:szCs w:val="2"/>
        </w:rPr>
        <w:sectPr>
          <w:pgSz w:w="11900" w:h="16840"/>
          <w:pgMar w:top="20" w:bottom="28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1855" w:hRule="atLeast"/>
        </w:trPr>
        <w:tc>
          <w:tcPr>
            <w:tcW w:w="8434" w:type="dxa"/>
          </w:tcPr>
          <w:p>
            <w:pPr>
              <w:pStyle w:val="TableParagraph"/>
              <w:spacing w:line="390" w:lineRule="atLeast" w:before="41"/>
              <w:ind w:left="470" w:right="145"/>
              <w:jc w:val="both"/>
              <w:rPr>
                <w:sz w:val="16"/>
              </w:rPr>
            </w:pPr>
            <w:r>
              <w:rPr>
                <w:w w:val="105"/>
                <w:sz w:val="16"/>
              </w:rPr>
              <w:t>Эхокардиографические признаки ГЛЖ (индекс массы миокарда ЛЖ: для мужчин &gt;50 </w:t>
            </w:r>
            <w:r>
              <w:rPr>
                <w:spacing w:val="-6"/>
                <w:w w:val="105"/>
                <w:sz w:val="16"/>
              </w:rPr>
              <w:t>г/ </w:t>
            </w:r>
            <w:r>
              <w:rPr>
                <w:w w:val="105"/>
                <w:sz w:val="16"/>
              </w:rPr>
              <w:t>м</w:t>
            </w:r>
            <w:r>
              <w:rPr>
                <w:w w:val="105"/>
                <w:position w:val="9"/>
                <w:sz w:val="16"/>
              </w:rPr>
              <w:t>2,7</w:t>
            </w:r>
            <w:r>
              <w:rPr>
                <w:w w:val="105"/>
                <w:sz w:val="16"/>
              </w:rPr>
              <w:t>, для женщин &gt;47 г/м</w:t>
            </w:r>
            <w:r>
              <w:rPr>
                <w:w w:val="105"/>
                <w:position w:val="9"/>
                <w:sz w:val="16"/>
              </w:rPr>
              <w:t>2,7</w:t>
            </w:r>
            <w:r>
              <w:rPr>
                <w:w w:val="105"/>
                <w:sz w:val="16"/>
              </w:rPr>
              <w:t>(рост в метрах</w:t>
            </w:r>
            <w:r>
              <w:rPr>
                <w:w w:val="105"/>
                <w:position w:val="9"/>
                <w:sz w:val="16"/>
              </w:rPr>
              <w:t>2,7</w:t>
            </w:r>
            <w:r>
              <w:rPr>
                <w:w w:val="105"/>
                <w:sz w:val="16"/>
              </w:rPr>
              <w:t>); индексация на площадь поверхности тела</w:t>
            </w:r>
            <w:r>
              <w:rPr>
                <w:spacing w:val="-5"/>
                <w:w w:val="105"/>
                <w:sz w:val="16"/>
              </w:rPr>
              <w:t> </w:t>
            </w:r>
            <w:r>
              <w:rPr>
                <w:w w:val="105"/>
                <w:sz w:val="16"/>
              </w:rPr>
              <w:t>может</w:t>
            </w:r>
            <w:r>
              <w:rPr>
                <w:spacing w:val="-5"/>
                <w:w w:val="105"/>
                <w:sz w:val="16"/>
              </w:rPr>
              <w:t> </w:t>
            </w:r>
            <w:r>
              <w:rPr>
                <w:w w:val="105"/>
                <w:sz w:val="16"/>
              </w:rPr>
              <w:t>быть</w:t>
            </w:r>
            <w:r>
              <w:rPr>
                <w:spacing w:val="-5"/>
                <w:w w:val="105"/>
                <w:sz w:val="16"/>
              </w:rPr>
              <w:t> </w:t>
            </w:r>
            <w:r>
              <w:rPr>
                <w:w w:val="105"/>
                <w:sz w:val="16"/>
              </w:rPr>
              <w:t>использована</w:t>
            </w:r>
            <w:r>
              <w:rPr>
                <w:spacing w:val="-5"/>
                <w:w w:val="105"/>
                <w:sz w:val="16"/>
              </w:rPr>
              <w:t> </w:t>
            </w:r>
            <w:r>
              <w:rPr>
                <w:w w:val="105"/>
                <w:sz w:val="16"/>
              </w:rPr>
              <w:t>у</w:t>
            </w:r>
            <w:r>
              <w:rPr>
                <w:spacing w:val="-5"/>
                <w:w w:val="105"/>
                <w:sz w:val="16"/>
              </w:rPr>
              <w:t> </w:t>
            </w:r>
            <w:r>
              <w:rPr>
                <w:w w:val="105"/>
                <w:sz w:val="16"/>
              </w:rPr>
              <w:t>пациентов</w:t>
            </w:r>
            <w:r>
              <w:rPr>
                <w:spacing w:val="-5"/>
                <w:w w:val="105"/>
                <w:sz w:val="16"/>
              </w:rPr>
              <w:t> </w:t>
            </w:r>
            <w:r>
              <w:rPr>
                <w:w w:val="105"/>
                <w:sz w:val="16"/>
              </w:rPr>
              <w:t>с</w:t>
            </w:r>
            <w:r>
              <w:rPr>
                <w:spacing w:val="-5"/>
                <w:w w:val="105"/>
                <w:sz w:val="16"/>
              </w:rPr>
              <w:t> </w:t>
            </w:r>
            <w:r>
              <w:rPr>
                <w:w w:val="105"/>
                <w:sz w:val="16"/>
              </w:rPr>
              <w:t>нормальной</w:t>
            </w:r>
            <w:r>
              <w:rPr>
                <w:spacing w:val="-5"/>
                <w:w w:val="105"/>
                <w:sz w:val="16"/>
              </w:rPr>
              <w:t> </w:t>
            </w:r>
            <w:r>
              <w:rPr>
                <w:w w:val="105"/>
                <w:sz w:val="16"/>
              </w:rPr>
              <w:t>массой</w:t>
            </w:r>
            <w:r>
              <w:rPr>
                <w:spacing w:val="-5"/>
                <w:w w:val="105"/>
                <w:sz w:val="16"/>
              </w:rPr>
              <w:t> </w:t>
            </w:r>
            <w:r>
              <w:rPr>
                <w:w w:val="105"/>
                <w:sz w:val="16"/>
              </w:rPr>
              <w:t>тела:</w:t>
            </w:r>
            <w:r>
              <w:rPr>
                <w:spacing w:val="-5"/>
                <w:w w:val="105"/>
                <w:sz w:val="16"/>
              </w:rPr>
              <w:t> </w:t>
            </w:r>
            <w:r>
              <w:rPr>
                <w:w w:val="105"/>
                <w:sz w:val="16"/>
              </w:rPr>
              <w:t>масса</w:t>
            </w:r>
            <w:r>
              <w:rPr>
                <w:spacing w:val="-5"/>
                <w:w w:val="105"/>
                <w:sz w:val="16"/>
              </w:rPr>
              <w:t> </w:t>
            </w:r>
            <w:r>
              <w:rPr>
                <w:w w:val="105"/>
                <w:sz w:val="16"/>
              </w:rPr>
              <w:t>ЛЖ/ППТ</w:t>
            </w:r>
            <w:r>
              <w:rPr>
                <w:spacing w:val="-4"/>
                <w:w w:val="105"/>
                <w:sz w:val="16"/>
              </w:rPr>
              <w:t> </w:t>
            </w:r>
            <w:r>
              <w:rPr>
                <w:spacing w:val="-6"/>
                <w:w w:val="105"/>
                <w:sz w:val="16"/>
              </w:rPr>
              <w:t>г/ </w:t>
            </w:r>
            <w:r>
              <w:rPr>
                <w:w w:val="105"/>
                <w:sz w:val="16"/>
              </w:rPr>
              <w:t>м</w:t>
            </w:r>
            <w:r>
              <w:rPr>
                <w:w w:val="105"/>
                <w:position w:val="9"/>
                <w:sz w:val="16"/>
              </w:rPr>
              <w:t>2</w:t>
            </w:r>
            <w:r>
              <w:rPr>
                <w:w w:val="105"/>
                <w:sz w:val="16"/>
              </w:rPr>
              <w:t>&gt; 115 (мужчины) и &gt; 95</w:t>
            </w:r>
            <w:r>
              <w:rPr>
                <w:spacing w:val="-16"/>
                <w:w w:val="105"/>
                <w:sz w:val="16"/>
              </w:rPr>
              <w:t> </w:t>
            </w:r>
            <w:r>
              <w:rPr>
                <w:w w:val="105"/>
                <w:sz w:val="16"/>
              </w:rPr>
              <w:t>(женщины)).</w:t>
            </w:r>
          </w:p>
        </w:tc>
      </w:tr>
      <w:tr>
        <w:trPr>
          <w:trHeight w:val="1075" w:hRule="atLeast"/>
        </w:trPr>
        <w:tc>
          <w:tcPr>
            <w:tcW w:w="8434" w:type="dxa"/>
          </w:tcPr>
          <w:p>
            <w:pPr>
              <w:pStyle w:val="TableParagraph"/>
              <w:spacing w:line="369" w:lineRule="auto" w:before="236"/>
              <w:ind w:left="470" w:right="134"/>
              <w:rPr>
                <w:sz w:val="16"/>
              </w:rPr>
            </w:pPr>
            <w:r>
              <w:rPr>
                <w:w w:val="105"/>
                <w:sz w:val="16"/>
              </w:rPr>
              <w:t>Альбуминурия 30–300 мг/24 ч или повышение отношения альбумин-креатинин (30–300 мг/г; 3,4-34 мг/ммоль) (предпочтительно в утренней порции мочи)</w:t>
            </w:r>
            <w:r>
              <w:rPr>
                <w:w w:val="105"/>
                <w:position w:val="9"/>
                <w:sz w:val="16"/>
              </w:rPr>
              <w:t>b</w:t>
            </w:r>
          </w:p>
        </w:tc>
      </w:tr>
      <w:tr>
        <w:trPr>
          <w:trHeight w:val="685" w:hRule="atLeast"/>
        </w:trPr>
        <w:tc>
          <w:tcPr>
            <w:tcW w:w="8434" w:type="dxa"/>
          </w:tcPr>
          <w:p>
            <w:pPr>
              <w:pStyle w:val="TableParagraph"/>
              <w:spacing w:before="146"/>
              <w:ind w:left="470"/>
              <w:rPr>
                <w:sz w:val="16"/>
              </w:rPr>
            </w:pPr>
            <w:r>
              <w:rPr>
                <w:w w:val="105"/>
                <w:sz w:val="16"/>
              </w:rPr>
              <w:t>Умеренная ХБП с СКФ &gt;30–59 мл/мин/1,73 м</w:t>
            </w:r>
            <w:r>
              <w:rPr>
                <w:w w:val="105"/>
                <w:position w:val="9"/>
                <w:sz w:val="16"/>
              </w:rPr>
              <w:t>2 </w:t>
            </w:r>
            <w:r>
              <w:rPr>
                <w:w w:val="105"/>
                <w:sz w:val="16"/>
              </w:rPr>
              <w:t>(ППТ)</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Лодыжечно-плечевой индекс &lt;0,9</w:t>
            </w:r>
          </w:p>
        </w:tc>
      </w:tr>
      <w:tr>
        <w:trPr>
          <w:trHeight w:val="1075" w:hRule="atLeast"/>
        </w:trPr>
        <w:tc>
          <w:tcPr>
            <w:tcW w:w="8434" w:type="dxa"/>
          </w:tcPr>
          <w:p>
            <w:pPr>
              <w:pStyle w:val="TableParagraph"/>
              <w:spacing w:before="7"/>
              <w:ind w:left="0"/>
              <w:rPr>
                <w:rFonts w:ascii="Palatino Linotype"/>
                <w:b/>
                <w:sz w:val="17"/>
              </w:rPr>
            </w:pPr>
          </w:p>
          <w:p>
            <w:pPr>
              <w:pStyle w:val="TableParagraph"/>
              <w:spacing w:line="482" w:lineRule="auto" w:before="0"/>
              <w:ind w:left="470"/>
              <w:rPr>
                <w:sz w:val="16"/>
              </w:rPr>
            </w:pPr>
            <w:r>
              <w:rPr>
                <w:w w:val="105"/>
                <w:sz w:val="16"/>
              </w:rPr>
              <w:t>Выраженная ретинопатия: наличие кровоизлияний, экссудатов или отека соска зрительного нерва.</w:t>
            </w:r>
          </w:p>
        </w:tc>
      </w:tr>
      <w:tr>
        <w:trPr>
          <w:trHeight w:val="460" w:hRule="atLeast"/>
        </w:trPr>
        <w:tc>
          <w:tcPr>
            <w:tcW w:w="8434" w:type="dxa"/>
          </w:tcPr>
          <w:p>
            <w:pPr>
              <w:pStyle w:val="TableParagraph"/>
              <w:spacing w:before="131"/>
              <w:rPr>
                <w:b/>
                <w:sz w:val="16"/>
              </w:rPr>
            </w:pPr>
            <w:r>
              <w:rPr>
                <w:b/>
                <w:w w:val="105"/>
                <w:sz w:val="16"/>
              </w:rPr>
              <w:t>Диагностированные СС или почечные заболевания</w:t>
            </w:r>
          </w:p>
        </w:tc>
      </w:tr>
      <w:tr>
        <w:trPr>
          <w:trHeight w:val="1075" w:hRule="atLeast"/>
        </w:trPr>
        <w:tc>
          <w:tcPr>
            <w:tcW w:w="8434" w:type="dxa"/>
          </w:tcPr>
          <w:p>
            <w:pPr>
              <w:pStyle w:val="TableParagraph"/>
              <w:spacing w:before="7"/>
              <w:ind w:left="0"/>
              <w:rPr>
                <w:rFonts w:ascii="Palatino Linotype"/>
                <w:b/>
                <w:sz w:val="17"/>
              </w:rPr>
            </w:pPr>
          </w:p>
          <w:p>
            <w:pPr>
              <w:pStyle w:val="TableParagraph"/>
              <w:spacing w:line="482" w:lineRule="auto" w:before="0"/>
              <w:ind w:left="470" w:right="140"/>
              <w:rPr>
                <w:sz w:val="16"/>
              </w:rPr>
            </w:pPr>
            <w:r>
              <w:rPr>
                <w:w w:val="105"/>
                <w:sz w:val="16"/>
              </w:rPr>
              <w:t>Цереброваскулярные заболевания: ишемический инсульт, геморрагический инсульт, ТИА</w:t>
            </w:r>
          </w:p>
        </w:tc>
      </w:tr>
      <w:tr>
        <w:trPr>
          <w:trHeight w:val="1075" w:hRule="atLeast"/>
        </w:trPr>
        <w:tc>
          <w:tcPr>
            <w:tcW w:w="8434" w:type="dxa"/>
          </w:tcPr>
          <w:p>
            <w:pPr>
              <w:pStyle w:val="TableParagraph"/>
              <w:spacing w:before="7"/>
              <w:ind w:left="0"/>
              <w:rPr>
                <w:rFonts w:ascii="Palatino Linotype"/>
                <w:b/>
                <w:sz w:val="17"/>
              </w:rPr>
            </w:pPr>
          </w:p>
          <w:p>
            <w:pPr>
              <w:pStyle w:val="TableParagraph"/>
              <w:tabs>
                <w:tab w:pos="1132" w:val="left" w:leader="none"/>
                <w:tab w:pos="2099" w:val="left" w:leader="none"/>
                <w:tab w:pos="3217" w:val="left" w:leader="none"/>
                <w:tab w:pos="4593" w:val="left" w:leader="none"/>
                <w:tab w:pos="6418" w:val="left" w:leader="none"/>
                <w:tab w:pos="7476" w:val="left" w:leader="none"/>
              </w:tabs>
              <w:spacing w:line="482" w:lineRule="auto" w:before="0"/>
              <w:ind w:left="470" w:right="147"/>
              <w:rPr>
                <w:sz w:val="16"/>
              </w:rPr>
            </w:pPr>
            <w:r>
              <w:rPr>
                <w:w w:val="105"/>
                <w:sz w:val="16"/>
              </w:rPr>
              <w:t>ИБС:</w:t>
              <w:tab/>
              <w:t>инфаркт</w:t>
              <w:tab/>
              <w:t>миокарда,</w:t>
              <w:tab/>
              <w:t>стенокардия,</w:t>
              <w:tab/>
              <w:t>реваскуляризация</w:t>
              <w:tab/>
              <w:t>миокарда</w:t>
              <w:tab/>
            </w:r>
            <w:r>
              <w:rPr>
                <w:spacing w:val="-3"/>
                <w:w w:val="105"/>
                <w:sz w:val="16"/>
              </w:rPr>
              <w:t>(методом </w:t>
            </w:r>
            <w:r>
              <w:rPr>
                <w:w w:val="105"/>
                <w:sz w:val="16"/>
              </w:rPr>
              <w:t>чрескожного коронарного вмешательства или аортокоронарного</w:t>
            </w:r>
            <w:r>
              <w:rPr>
                <w:spacing w:val="-41"/>
                <w:w w:val="105"/>
                <w:sz w:val="16"/>
              </w:rPr>
              <w:t> </w:t>
            </w:r>
            <w:r>
              <w:rPr>
                <w:w w:val="105"/>
                <w:sz w:val="16"/>
              </w:rPr>
              <w:t>шунтирования)</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Наличие атероматозных бляшек при визуализации (стеноз ≥50%)</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Сердечная недостаточность, в том числе СН с сохраненной ФВ</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Заболевание периферических артерий</w:t>
            </w:r>
          </w:p>
        </w:tc>
      </w:tr>
      <w:tr>
        <w:trPr>
          <w:trHeight w:val="685" w:hRule="atLeast"/>
        </w:trPr>
        <w:tc>
          <w:tcPr>
            <w:tcW w:w="8434" w:type="dxa"/>
          </w:tcPr>
          <w:p>
            <w:pPr>
              <w:pStyle w:val="TableParagraph"/>
              <w:spacing w:before="7"/>
              <w:ind w:left="0"/>
              <w:rPr>
                <w:rFonts w:ascii="Palatino Linotype"/>
                <w:b/>
                <w:sz w:val="17"/>
              </w:rPr>
            </w:pPr>
          </w:p>
          <w:p>
            <w:pPr>
              <w:pStyle w:val="TableParagraph"/>
              <w:spacing w:before="0"/>
              <w:ind w:left="470"/>
              <w:rPr>
                <w:sz w:val="16"/>
              </w:rPr>
            </w:pPr>
            <w:r>
              <w:rPr>
                <w:w w:val="105"/>
                <w:sz w:val="16"/>
              </w:rPr>
              <w:t>Фибрилляция предсердий</w:t>
            </w:r>
          </w:p>
        </w:tc>
      </w:tr>
      <w:tr>
        <w:trPr>
          <w:trHeight w:val="685" w:hRule="atLeast"/>
        </w:trPr>
        <w:tc>
          <w:tcPr>
            <w:tcW w:w="8434" w:type="dxa"/>
          </w:tcPr>
          <w:p>
            <w:pPr>
              <w:pStyle w:val="TableParagraph"/>
              <w:spacing w:before="146"/>
              <w:ind w:left="470"/>
              <w:rPr>
                <w:sz w:val="16"/>
              </w:rPr>
            </w:pPr>
            <w:r>
              <w:rPr>
                <w:w w:val="105"/>
                <w:sz w:val="16"/>
              </w:rPr>
              <w:t>Тяжелая ХБП с СКФ &lt;30 мл/мин/1,73 м</w:t>
            </w:r>
            <w:r>
              <w:rPr>
                <w:w w:val="105"/>
                <w:position w:val="9"/>
                <w:sz w:val="16"/>
              </w:rPr>
              <w:t>2</w:t>
            </w:r>
            <w:r>
              <w:rPr>
                <w:w w:val="105"/>
                <w:sz w:val="16"/>
              </w:rPr>
              <w:t>(ППТ)</w:t>
            </w:r>
          </w:p>
        </w:tc>
      </w:tr>
      <w:tr>
        <w:trPr>
          <w:trHeight w:val="460" w:hRule="atLeast"/>
        </w:trPr>
        <w:tc>
          <w:tcPr>
            <w:tcW w:w="8434" w:type="dxa"/>
          </w:tcPr>
          <w:p>
            <w:pPr>
              <w:pStyle w:val="TableParagraph"/>
              <w:spacing w:before="131"/>
              <w:rPr>
                <w:b/>
                <w:sz w:val="16"/>
              </w:rPr>
            </w:pPr>
            <w:r>
              <w:rPr>
                <w:b/>
                <w:w w:val="105"/>
                <w:sz w:val="16"/>
              </w:rPr>
              <w:t>Сахарный диабет</w:t>
            </w:r>
          </w:p>
        </w:tc>
      </w:tr>
      <w:tr>
        <w:trPr>
          <w:trHeight w:val="1855" w:hRule="atLeast"/>
        </w:trPr>
        <w:tc>
          <w:tcPr>
            <w:tcW w:w="8434" w:type="dxa"/>
          </w:tcPr>
          <w:p>
            <w:pPr>
              <w:pStyle w:val="TableParagraph"/>
              <w:spacing w:before="7"/>
              <w:ind w:left="0"/>
              <w:rPr>
                <w:rFonts w:ascii="Palatino Linotype"/>
                <w:b/>
                <w:sz w:val="17"/>
              </w:rPr>
            </w:pPr>
          </w:p>
          <w:p>
            <w:pPr>
              <w:pStyle w:val="TableParagraph"/>
              <w:spacing w:line="482" w:lineRule="auto" w:before="0"/>
              <w:ind w:left="785" w:right="1073"/>
              <w:rPr>
                <w:sz w:val="16"/>
              </w:rPr>
            </w:pPr>
            <w:r>
              <w:rPr>
                <w:w w:val="105"/>
                <w:sz w:val="16"/>
              </w:rPr>
              <w:t>Глюкоза</w:t>
            </w:r>
            <w:r>
              <w:rPr>
                <w:spacing w:val="-13"/>
                <w:w w:val="105"/>
                <w:sz w:val="16"/>
              </w:rPr>
              <w:t> </w:t>
            </w:r>
            <w:r>
              <w:rPr>
                <w:w w:val="105"/>
                <w:sz w:val="16"/>
              </w:rPr>
              <w:t>плазмы</w:t>
            </w:r>
            <w:r>
              <w:rPr>
                <w:spacing w:val="-13"/>
                <w:w w:val="105"/>
                <w:sz w:val="16"/>
              </w:rPr>
              <w:t> </w:t>
            </w:r>
            <w:r>
              <w:rPr>
                <w:w w:val="105"/>
                <w:sz w:val="16"/>
              </w:rPr>
              <w:t>натощак</w:t>
            </w:r>
            <w:r>
              <w:rPr>
                <w:spacing w:val="-13"/>
                <w:w w:val="105"/>
                <w:sz w:val="16"/>
              </w:rPr>
              <w:t> </w:t>
            </w:r>
            <w:r>
              <w:rPr>
                <w:w w:val="105"/>
                <w:sz w:val="16"/>
              </w:rPr>
              <w:t>≥7,0</w:t>
            </w:r>
            <w:r>
              <w:rPr>
                <w:spacing w:val="-13"/>
                <w:w w:val="105"/>
                <w:sz w:val="16"/>
              </w:rPr>
              <w:t> </w:t>
            </w:r>
            <w:r>
              <w:rPr>
                <w:w w:val="105"/>
                <w:sz w:val="16"/>
              </w:rPr>
              <w:t>ммоль/л</w:t>
            </w:r>
            <w:r>
              <w:rPr>
                <w:spacing w:val="-12"/>
                <w:w w:val="105"/>
                <w:sz w:val="16"/>
              </w:rPr>
              <w:t> </w:t>
            </w:r>
            <w:r>
              <w:rPr>
                <w:w w:val="105"/>
                <w:sz w:val="16"/>
              </w:rPr>
              <w:t>при</w:t>
            </w:r>
            <w:r>
              <w:rPr>
                <w:spacing w:val="-13"/>
                <w:w w:val="105"/>
                <w:sz w:val="16"/>
              </w:rPr>
              <w:t> </w:t>
            </w:r>
            <w:r>
              <w:rPr>
                <w:w w:val="105"/>
                <w:sz w:val="16"/>
              </w:rPr>
              <w:t>двух</w:t>
            </w:r>
            <w:r>
              <w:rPr>
                <w:spacing w:val="-13"/>
                <w:w w:val="105"/>
                <w:sz w:val="16"/>
              </w:rPr>
              <w:t> </w:t>
            </w:r>
            <w:r>
              <w:rPr>
                <w:w w:val="105"/>
                <w:sz w:val="16"/>
              </w:rPr>
              <w:t>измерениях</w:t>
            </w:r>
            <w:r>
              <w:rPr>
                <w:spacing w:val="-13"/>
                <w:w w:val="105"/>
                <w:sz w:val="16"/>
              </w:rPr>
              <w:t> </w:t>
            </w:r>
            <w:r>
              <w:rPr>
                <w:w w:val="105"/>
                <w:sz w:val="16"/>
              </w:rPr>
              <w:t>подряд</w:t>
            </w:r>
            <w:r>
              <w:rPr>
                <w:spacing w:val="-12"/>
                <w:w w:val="105"/>
                <w:sz w:val="16"/>
              </w:rPr>
              <w:t> </w:t>
            </w:r>
            <w:r>
              <w:rPr>
                <w:spacing w:val="-3"/>
                <w:w w:val="105"/>
                <w:sz w:val="16"/>
              </w:rPr>
              <w:t>и/или </w:t>
            </w:r>
            <w:r>
              <w:rPr>
                <w:w w:val="105"/>
                <w:sz w:val="16"/>
              </w:rPr>
              <w:t>HbA1c ≥ 6,5%</w:t>
            </w:r>
            <w:r>
              <w:rPr>
                <w:spacing w:val="51"/>
                <w:w w:val="105"/>
                <w:sz w:val="16"/>
              </w:rPr>
              <w:t> </w:t>
            </w:r>
            <w:r>
              <w:rPr>
                <w:w w:val="105"/>
                <w:sz w:val="16"/>
              </w:rPr>
              <w:t>и/или</w:t>
            </w:r>
          </w:p>
          <w:p>
            <w:pPr>
              <w:pStyle w:val="TableParagraph"/>
              <w:spacing w:line="482" w:lineRule="auto" w:before="0"/>
              <w:ind w:left="470" w:right="2664" w:firstLine="315"/>
              <w:rPr>
                <w:sz w:val="16"/>
              </w:rPr>
            </w:pPr>
            <w:r>
              <w:rPr>
                <w:w w:val="105"/>
                <w:sz w:val="16"/>
              </w:rPr>
              <w:t>Глюкоза плазмы после нагрузки ≥11,1 ммоль/л и/или Глюкоза</w:t>
            </w:r>
            <w:r>
              <w:rPr>
                <w:spacing w:val="-18"/>
                <w:w w:val="105"/>
                <w:sz w:val="16"/>
              </w:rPr>
              <w:t> </w:t>
            </w:r>
            <w:r>
              <w:rPr>
                <w:w w:val="105"/>
                <w:sz w:val="16"/>
              </w:rPr>
              <w:t>плазмы</w:t>
            </w:r>
            <w:r>
              <w:rPr>
                <w:spacing w:val="-18"/>
                <w:w w:val="105"/>
                <w:sz w:val="16"/>
              </w:rPr>
              <w:t> </w:t>
            </w:r>
            <w:r>
              <w:rPr>
                <w:w w:val="105"/>
                <w:sz w:val="16"/>
              </w:rPr>
              <w:t>при</w:t>
            </w:r>
            <w:r>
              <w:rPr>
                <w:spacing w:val="-17"/>
                <w:w w:val="105"/>
                <w:sz w:val="16"/>
              </w:rPr>
              <w:t> </w:t>
            </w:r>
            <w:r>
              <w:rPr>
                <w:w w:val="105"/>
                <w:sz w:val="16"/>
              </w:rPr>
              <w:t>случайном</w:t>
            </w:r>
            <w:r>
              <w:rPr>
                <w:spacing w:val="-18"/>
                <w:w w:val="105"/>
                <w:sz w:val="16"/>
              </w:rPr>
              <w:t> </w:t>
            </w:r>
            <w:r>
              <w:rPr>
                <w:w w:val="105"/>
                <w:sz w:val="16"/>
              </w:rPr>
              <w:t>определении</w:t>
            </w:r>
            <w:r>
              <w:rPr>
                <w:spacing w:val="-17"/>
                <w:w w:val="105"/>
                <w:sz w:val="16"/>
              </w:rPr>
              <w:t> </w:t>
            </w:r>
            <w:r>
              <w:rPr>
                <w:w w:val="105"/>
                <w:sz w:val="16"/>
              </w:rPr>
              <w:t>≥11,1</w:t>
            </w:r>
            <w:r>
              <w:rPr>
                <w:spacing w:val="-18"/>
                <w:w w:val="105"/>
                <w:sz w:val="16"/>
              </w:rPr>
              <w:t> </w:t>
            </w:r>
            <w:r>
              <w:rPr>
                <w:w w:val="105"/>
                <w:sz w:val="16"/>
              </w:rPr>
              <w:t>ммоль/л</w:t>
            </w:r>
          </w:p>
        </w:tc>
      </w:tr>
    </w:tbl>
    <w:p>
      <w:pPr>
        <w:pStyle w:val="BodyText"/>
        <w:spacing w:line="256" w:lineRule="auto" w:before="11"/>
        <w:ind w:left="380"/>
        <w:jc w:val="left"/>
      </w:pPr>
      <w:r>
        <w:rPr/>
        <w:pict>
          <v:shape style="position:absolute;margin-left:103.543495pt;margin-top:18.004549pt;width:3.05pt;height:3.05pt;mso-position-horizontal-relative:page;mso-position-vertical-relative:page;z-index:-18140672" coordorigin="2071,360" coordsize="61,61" path="m2101,420l2093,420,2086,417,2074,405,2071,398,2071,382,2074,374,2080,369,2086,363,2093,360,2109,360,2131,390,2131,398,2128,405,2116,417,2109,420,2101,420xe" filled="true" fillcolor="#000000" stroked="false">
            <v:path arrowok="t"/>
            <v:fill type="solid"/>
            <w10:wrap type="none"/>
          </v:shape>
        </w:pict>
      </w:r>
      <w:r>
        <w:rPr/>
        <w:pict>
          <v:shape style="position:absolute;margin-left:103.543495pt;margin-top:111.793953pt;width:3.05pt;height:3.05pt;mso-position-horizontal-relative:page;mso-position-vertical-relative:page;z-index:-18140160" coordorigin="2071,2236" coordsize="61,61" path="m2101,2296l2093,2296,2086,2293,2074,2281,2071,2274,2071,2258,2074,2250,2086,2239,2093,2236,2109,2236,2116,2239,2128,2250,2131,2258,2131,2266,2131,2274,2128,2281,2116,2293,2109,2296,2101,2296xe" filled="true" fillcolor="#000000" stroked="false">
            <v:path arrowok="t"/>
            <v:fill type="solid"/>
            <w10:wrap type="none"/>
          </v:shape>
        </w:pict>
      </w:r>
      <w:r>
        <w:rPr/>
        <w:pict>
          <v:shape style="position:absolute;margin-left:103.543495pt;margin-top:166.566971pt;width:3.05pt;height:3.05pt;mso-position-horizontal-relative:page;mso-position-vertical-relative:page;z-index:-18139648" coordorigin="2071,3331" coordsize="61,61" path="m2101,3391l2093,3391,2086,3388,2074,3377,2071,3370,2071,3353,2074,3346,2086,3334,2093,3331,2109,3331,2116,3334,2128,3346,2131,3353,2131,3361,2131,3370,2128,3377,2116,3388,2109,3391,2101,3391xe" filled="true" fillcolor="#000000" stroked="false">
            <v:path arrowok="t"/>
            <v:fill type="solid"/>
            <w10:wrap type="none"/>
          </v:shape>
        </w:pict>
      </w:r>
      <w:r>
        <w:rPr/>
        <w:pict>
          <v:shape style="position:absolute;margin-left:103.543495pt;margin-top:201.831787pt;width:3.05pt;height:3.05pt;mso-position-horizontal-relative:page;mso-position-vertical-relative:page;z-index:-18139136" coordorigin="2071,4037" coordsize="61,61" path="m2109,4097l2093,4097,2086,4094,2074,4082,2071,4075,2071,4058,2074,4051,2086,4039,2093,4037,2109,4037,2116,4039,2128,4051,2131,4058,2131,4067,2131,4075,2128,4082,2116,4094,2109,4097xe" filled="true" fillcolor="#000000" stroked="false">
            <v:path arrowok="t"/>
            <v:fill type="solid"/>
            <w10:wrap type="none"/>
          </v:shape>
        </w:pict>
      </w:r>
      <w:r>
        <w:rPr/>
        <w:pict>
          <v:shape style="position:absolute;margin-left:103.543495pt;margin-top:237.096603pt;width:3.05pt;height:3.05pt;mso-position-horizontal-relative:page;mso-position-vertical-relative:page;z-index:-18138624" coordorigin="2071,4742" coordsize="61,61" path="m2101,4802l2093,4802,2086,4799,2074,4787,2071,4780,2071,4764,2074,4756,2080,4750,2086,4745,2093,4742,2109,4742,2131,4772,2131,4780,2128,4787,2116,4799,2109,4802,2101,4802xe" filled="true" fillcolor="#000000" stroked="false">
            <v:path arrowok="t"/>
            <v:fill type="solid"/>
            <w10:wrap type="none"/>
          </v:shape>
        </w:pict>
      </w:r>
      <w:r>
        <w:rPr/>
        <w:pict>
          <v:shape style="position:absolute;margin-left:103.543495pt;margin-top:315.8797pt;width:3.05pt;height:3.05pt;mso-position-horizontal-relative:page;mso-position-vertical-relative:page;z-index:-18138112" coordorigin="2071,6318" coordsize="61,61" path="m2101,6378l2093,6377,2086,6375,2074,6363,2071,6356,2071,6339,2074,6332,2080,6326,2086,6320,2093,6318,2109,6318,2131,6348,2131,6356,2128,6363,2116,6375,2109,6377,2101,6378xe" filled="true" fillcolor="#000000" stroked="false">
            <v:path arrowok="t"/>
            <v:fill type="solid"/>
            <w10:wrap type="none"/>
          </v:shape>
        </w:pict>
      </w:r>
      <w:r>
        <w:rPr/>
        <w:pict>
          <v:shape style="position:absolute;margin-left:103.543495pt;margin-top:370.65271pt;width:3.05pt;height:3.05pt;mso-position-horizontal-relative:page;mso-position-vertical-relative:page;z-index:-18137600" coordorigin="2071,7413" coordsize="61,61" path="m2109,7473l2093,7473,2086,7470,2074,7458,2071,7451,2071,7435,2074,7427,2080,7422,2086,7416,2093,7413,2109,7413,2131,7443,2131,7451,2128,7458,2116,7470,2109,7473xe" filled="true" fillcolor="#000000" stroked="false">
            <v:path arrowok="t"/>
            <v:fill type="solid"/>
            <w10:wrap type="none"/>
          </v:shape>
        </w:pict>
      </w:r>
      <w:r>
        <w:rPr/>
        <w:pict>
          <v:shape style="position:absolute;margin-left:103.543495pt;margin-top:425.42572pt;width:3.05pt;height:3.05pt;mso-position-horizontal-relative:page;mso-position-vertical-relative:page;z-index:-18137088" coordorigin="2071,8509" coordsize="61,61" path="m2101,8569l2093,8568,2086,8565,2074,8554,2071,8547,2071,8530,2074,8523,2086,8511,2093,8509,2109,8509,2116,8511,2128,8523,2131,8530,2131,8539,2131,8547,2128,8554,2116,8565,2109,8568,2101,8569xe" filled="true" fillcolor="#000000" stroked="false">
            <v:path arrowok="t"/>
            <v:fill type="solid"/>
            <w10:wrap type="none"/>
          </v:shape>
        </w:pict>
      </w:r>
      <w:r>
        <w:rPr/>
        <w:pict>
          <v:shape style="position:absolute;margin-left:103.543495pt;margin-top:460.690552pt;width:3.05pt;height:3.05pt;mso-position-horizontal-relative:page;mso-position-vertical-relative:page;z-index:-18136576" coordorigin="2071,9214" coordsize="61,61" path="m2101,9274l2093,9274,2086,9271,2074,9259,2071,9252,2071,9236,2074,9228,2086,9217,2093,9214,2109,9214,2116,9217,2128,9228,2131,9236,2131,9244,2131,9252,2128,9259,2116,9271,2109,9274,2101,9274xe" filled="true" fillcolor="#000000" stroked="false">
            <v:path arrowok="t"/>
            <v:fill type="solid"/>
            <w10:wrap type="none"/>
          </v:shape>
        </w:pict>
      </w:r>
      <w:r>
        <w:rPr/>
        <w:pict>
          <v:shape style="position:absolute;margin-left:103.543495pt;margin-top:495.955353pt;width:3.05pt;height:3.05pt;mso-position-horizontal-relative:page;mso-position-vertical-relative:page;z-index:-18136064" coordorigin="2071,9919" coordsize="61,61" path="m2109,9979l2093,9979,2086,9976,2074,9964,2071,9957,2071,9941,2074,9934,2086,9922,2093,9919,2109,9919,2116,9922,2128,9934,2131,9941,2131,9949,2131,9957,2128,9964,2116,9976,2109,9979xe" filled="true" fillcolor="#000000" stroked="false">
            <v:path arrowok="t"/>
            <v:fill type="solid"/>
            <w10:wrap type="none"/>
          </v:shape>
        </w:pict>
      </w:r>
      <w:r>
        <w:rPr/>
        <w:pict>
          <v:shape style="position:absolute;margin-left:103.543495pt;margin-top:531.220154pt;width:3.05pt;height:3.05pt;mso-position-horizontal-relative:page;mso-position-vertical-relative:page;z-index:-18135552" coordorigin="2071,10624" coordsize="61,61" path="m2101,10684l2093,10684,2086,10681,2074,10670,2071,10663,2071,10646,2074,10639,2080,10633,2086,10627,2093,10624,2109,10624,2131,10654,2131,10663,2128,10670,2116,10681,2109,10684,2101,10684xe" filled="true" fillcolor="#000000" stroked="false">
            <v:path arrowok="t"/>
            <v:fill type="solid"/>
            <w10:wrap type="none"/>
          </v:shape>
        </w:pict>
      </w:r>
      <w:r>
        <w:rPr/>
        <w:pict>
          <v:shape style="position:absolute;margin-left:103.543495pt;margin-top:566.484985pt;width:3.05pt;height:3.05pt;mso-position-horizontal-relative:page;mso-position-vertical-relative:page;z-index:-18135040" coordorigin="2071,11330" coordsize="61,61" path="m2101,11390l2093,11389,2086,11386,2074,11375,2071,11368,2071,11351,2074,11344,2086,11333,2093,11330,2109,11330,2116,11333,2128,11344,2131,11351,2131,11360,2131,11368,2128,11375,2116,11386,2109,11389,2101,11390xe" filled="true" fillcolor="#000000" stroked="false">
            <v:path arrowok="t"/>
            <v:fill type="solid"/>
            <w10:wrap type="none"/>
          </v:shape>
        </w:pict>
      </w:r>
      <w:r>
        <w:rPr/>
        <w:pict>
          <v:shape style="position:absolute;margin-left:119.300125pt;margin-top:-77.566589pt;width:3.05pt;height:3.05pt;mso-position-horizontal-relative:page;mso-position-vertical-relative:paragraph;z-index:-18134528" coordorigin="2386,-1551" coordsize="61,61" path="m2446,-1521l2446,-1513,2443,-1506,2437,-1500,2431,-1494,2424,-1492,2416,-1491,2408,-1492,2401,-1494,2395,-1500,2389,-1506,2386,-1513,2386,-1521,2386,-1530,2389,-1537,2395,-1543,2401,-1549,2408,-1551,2416,-1551,2424,-1551,2431,-1549,2437,-1543,2443,-1537,2446,-1530,2446,-1521xe" filled="false" stroked="true" strokeweight=".750315pt" strokecolor="#000000">
            <v:path arrowok="t"/>
            <v:stroke dashstyle="solid"/>
            <w10:wrap type="none"/>
          </v:shape>
        </w:pict>
      </w:r>
      <w:r>
        <w:rPr/>
        <w:pict>
          <v:shape style="position:absolute;margin-left:119.300125pt;margin-top:-58.058392pt;width:3.05pt;height:3.05pt;mso-position-horizontal-relative:page;mso-position-vertical-relative:paragraph;z-index:-18134016" coordorigin="2386,-1161" coordsize="61,61" path="m2446,-1131l2416,-1101,2408,-1101,2401,-1104,2395,-1110,2389,-1116,2386,-1123,2386,-1131,2386,-1140,2389,-1147,2395,-1152,2401,-1158,2408,-1161,2416,-1161,2424,-1161,2431,-1158,2437,-1152,2443,-1147,2446,-1140,2446,-1131xe" filled="false" stroked="true" strokeweight=".750315pt" strokecolor="#000000">
            <v:path arrowok="t"/>
            <v:stroke dashstyle="solid"/>
            <w10:wrap type="none"/>
          </v:shape>
        </w:pict>
      </w:r>
      <w:r>
        <w:rPr/>
        <w:pict>
          <v:shape style="position:absolute;margin-left:119.300125pt;margin-top:-38.550194pt;width:3.05pt;height:3.05pt;mso-position-horizontal-relative:page;mso-position-vertical-relative:paragraph;z-index:-18133504" coordorigin="2386,-771" coordsize="61,61" path="m2446,-741l2446,-733,2443,-726,2437,-720,2431,-714,2424,-711,2416,-711,2408,-711,2401,-714,2395,-720,2389,-726,2386,-733,2386,-741,2386,-749,2389,-756,2395,-762,2401,-768,2408,-771,2416,-771,2424,-771,2431,-768,2437,-762,2443,-756,2446,-749,2446,-741xe" filled="false" stroked="true" strokeweight=".750315pt" strokecolor="#000000">
            <v:path arrowok="t"/>
            <v:stroke dashstyle="solid"/>
            <w10:wrap type="none"/>
          </v:shape>
        </w:pict>
      </w:r>
      <w:r>
        <w:rPr/>
        <w:pict>
          <v:shape style="position:absolute;margin-left:103.543495pt;margin-top:-19.041998pt;width:3.05pt;height:3.05pt;mso-position-horizontal-relative:page;mso-position-vertical-relative:paragraph;z-index:-18132992" coordorigin="2071,-381" coordsize="61,61" path="m2101,-321l2093,-321,2086,-324,2074,-336,2071,-343,2071,-359,2074,-367,2080,-372,2086,-378,2093,-381,2109,-381,2131,-351,2131,-343,2128,-336,2116,-324,2109,-321,2101,-321xe" filled="true" fillcolor="#000000" stroked="false">
            <v:path arrowok="t"/>
            <v:fill type="solid"/>
            <w10:wrap type="none"/>
          </v:shape>
        </w:pict>
      </w:r>
      <w:r>
        <w:rPr/>
        <w:t>а — факторы риска, учтенные в шкале SCORE, b — Протеинурия и снижение СКФ являются независимыми факторами риска.</w:t>
      </w:r>
    </w:p>
    <w:p>
      <w:pPr>
        <w:pStyle w:val="Heading3"/>
        <w:tabs>
          <w:tab w:pos="1986" w:val="left" w:leader="none"/>
          <w:tab w:pos="3276" w:val="left" w:leader="none"/>
          <w:tab w:pos="4645" w:val="left" w:leader="none"/>
          <w:tab w:pos="5691" w:val="left" w:leader="none"/>
          <w:tab w:pos="6490" w:val="left" w:leader="none"/>
          <w:tab w:pos="8147" w:val="left" w:leader="none"/>
        </w:tabs>
        <w:spacing w:line="256" w:lineRule="auto"/>
        <w:ind w:left="380" w:right="132"/>
      </w:pPr>
      <w:r>
        <w:rPr>
          <w:spacing w:val="-3"/>
          <w:w w:val="105"/>
        </w:rPr>
        <w:t>Таблица</w:t>
        <w:tab/>
      </w:r>
      <w:r>
        <w:rPr>
          <w:w w:val="105"/>
        </w:rPr>
        <w:t>П3/Г3.</w:t>
        <w:tab/>
        <w:t>Расчет</w:t>
        <w:tab/>
      </w:r>
      <w:r>
        <w:rPr>
          <w:spacing w:val="-4"/>
          <w:w w:val="105"/>
        </w:rPr>
        <w:t>СКФ</w:t>
        <w:tab/>
      </w:r>
      <w:r>
        <w:rPr>
          <w:w w:val="105"/>
        </w:rPr>
        <w:t>по</w:t>
        <w:tab/>
        <w:t>формуле</w:t>
        <w:tab/>
      </w:r>
      <w:r>
        <w:rPr>
          <w:spacing w:val="-9"/>
          <w:w w:val="95"/>
        </w:rPr>
        <w:t>CKD- </w:t>
      </w:r>
      <w:r>
        <w:rPr>
          <w:w w:val="105"/>
        </w:rPr>
        <w:t>EpidemiologyCollaboration</w:t>
      </w:r>
      <w:r>
        <w:rPr>
          <w:spacing w:val="1"/>
          <w:w w:val="105"/>
        </w:rPr>
        <w:t> </w:t>
      </w:r>
      <w:r>
        <w:rPr>
          <w:w w:val="105"/>
        </w:rPr>
        <w:t>2009*</w:t>
      </w:r>
    </w:p>
    <w:p>
      <w:pPr>
        <w:spacing w:after="0" w:line="256" w:lineRule="auto"/>
        <w:sectPr>
          <w:pgSz w:w="11900" w:h="16840"/>
          <w:pgMar w:top="20" w:bottom="28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1780" w:hRule="atLeast"/>
        </w:trPr>
        <w:tc>
          <w:tcPr>
            <w:tcW w:w="8434" w:type="dxa"/>
          </w:tcPr>
          <w:p>
            <w:pPr>
              <w:pStyle w:val="TableParagraph"/>
              <w:tabs>
                <w:tab w:pos="3149" w:val="left" w:leader="none"/>
                <w:tab w:pos="4521" w:val="left" w:leader="none"/>
              </w:tabs>
              <w:spacing w:line="144" w:lineRule="auto" w:before="74"/>
              <w:ind w:right="140"/>
              <w:rPr>
                <w:sz w:val="16"/>
              </w:rPr>
            </w:pPr>
            <w:r>
              <w:rPr>
                <w:w w:val="103"/>
                <w:sz w:val="16"/>
              </w:rPr>
              <w:t>СКФ</w:t>
            </w:r>
            <w:r>
              <w:rPr>
                <w:sz w:val="16"/>
              </w:rPr>
              <w:t> </w:t>
            </w:r>
            <w:r>
              <w:rPr>
                <w:spacing w:val="-18"/>
                <w:sz w:val="16"/>
              </w:rPr>
              <w:t> </w:t>
            </w:r>
            <w:r>
              <w:rPr>
                <w:w w:val="103"/>
                <w:sz w:val="16"/>
              </w:rPr>
              <w:t>=</w:t>
            </w:r>
            <w:r>
              <w:rPr>
                <w:sz w:val="16"/>
              </w:rPr>
              <w:t> </w:t>
            </w:r>
            <w:r>
              <w:rPr>
                <w:spacing w:val="-18"/>
                <w:sz w:val="16"/>
              </w:rPr>
              <w:t> </w:t>
            </w:r>
            <w:r>
              <w:rPr>
                <w:w w:val="103"/>
                <w:sz w:val="16"/>
              </w:rPr>
              <w:t>141</w:t>
            </w:r>
            <w:r>
              <w:rPr>
                <w:sz w:val="16"/>
              </w:rPr>
              <w:t> </w:t>
            </w:r>
            <w:r>
              <w:rPr>
                <w:spacing w:val="-18"/>
                <w:sz w:val="16"/>
              </w:rPr>
              <w:t> </w:t>
            </w:r>
            <w:r>
              <w:rPr>
                <w:w w:val="103"/>
                <w:sz w:val="16"/>
              </w:rPr>
              <w:t>*</w:t>
            </w:r>
            <w:r>
              <w:rPr>
                <w:sz w:val="16"/>
              </w:rPr>
              <w:t> </w:t>
            </w:r>
            <w:r>
              <w:rPr>
                <w:spacing w:val="-18"/>
                <w:sz w:val="16"/>
              </w:rPr>
              <w:t> </w:t>
            </w:r>
            <w:r>
              <w:rPr>
                <w:w w:val="103"/>
                <w:sz w:val="16"/>
              </w:rPr>
              <w:t>мин</w:t>
            </w:r>
            <w:r>
              <w:rPr>
                <w:sz w:val="16"/>
              </w:rPr>
              <w:t> </w:t>
            </w:r>
            <w:r>
              <w:rPr>
                <w:spacing w:val="-18"/>
                <w:sz w:val="16"/>
              </w:rPr>
              <w:t> </w:t>
            </w:r>
            <w:r>
              <w:rPr>
                <w:w w:val="103"/>
                <w:sz w:val="16"/>
              </w:rPr>
              <w:t>(Креати</w:t>
            </w:r>
            <w:r>
              <w:rPr>
                <w:spacing w:val="-46"/>
                <w:w w:val="103"/>
                <w:sz w:val="16"/>
              </w:rPr>
              <w:t>н</w:t>
            </w:r>
            <w:r>
              <w:rPr>
                <w:spacing w:val="-60"/>
                <w:w w:val="103"/>
                <w:position w:val="-7"/>
                <w:sz w:val="16"/>
              </w:rPr>
              <w:t>1</w:t>
            </w:r>
            <w:r>
              <w:rPr>
                <w:spacing w:val="-47"/>
                <w:w w:val="103"/>
                <w:sz w:val="16"/>
              </w:rPr>
              <w:t>и</w:t>
            </w:r>
            <w:r>
              <w:rPr>
                <w:spacing w:val="-14"/>
                <w:w w:val="103"/>
                <w:position w:val="-7"/>
                <w:sz w:val="16"/>
              </w:rPr>
              <w:t>.</w:t>
            </w:r>
            <w:r>
              <w:rPr>
                <w:spacing w:val="-92"/>
                <w:w w:val="103"/>
                <w:sz w:val="16"/>
              </w:rPr>
              <w:t>н</w:t>
            </w:r>
            <w:r>
              <w:rPr>
                <w:w w:val="103"/>
                <w:position w:val="-7"/>
                <w:sz w:val="16"/>
              </w:rPr>
              <w:t>2</w:t>
            </w:r>
            <w:r>
              <w:rPr>
                <w:spacing w:val="-24"/>
                <w:w w:val="103"/>
                <w:position w:val="-7"/>
                <w:sz w:val="16"/>
              </w:rPr>
              <w:t>0</w:t>
            </w:r>
            <w:r>
              <w:rPr>
                <w:spacing w:val="-75"/>
                <w:w w:val="103"/>
                <w:sz w:val="16"/>
              </w:rPr>
              <w:t>в</w:t>
            </w:r>
            <w:r>
              <w:rPr>
                <w:w w:val="103"/>
                <w:position w:val="-7"/>
                <w:sz w:val="16"/>
              </w:rPr>
              <w:t>9</w:t>
            </w:r>
            <w:r>
              <w:rPr>
                <w:spacing w:val="8"/>
                <w:position w:val="-7"/>
                <w:sz w:val="16"/>
              </w:rPr>
              <w:t> </w:t>
            </w:r>
            <w:r>
              <w:rPr>
                <w:w w:val="103"/>
                <w:sz w:val="16"/>
              </w:rPr>
              <w:t>сыворо</w:t>
            </w:r>
            <w:r>
              <w:rPr>
                <w:spacing w:val="-67"/>
                <w:w w:val="103"/>
                <w:sz w:val="16"/>
              </w:rPr>
              <w:t>т</w:t>
            </w:r>
            <w:r>
              <w:rPr>
                <w:spacing w:val="-47"/>
                <w:w w:val="103"/>
                <w:position w:val="-7"/>
                <w:sz w:val="16"/>
              </w:rPr>
              <w:t>В</w:t>
            </w:r>
            <w:r>
              <w:rPr>
                <w:spacing w:val="-52"/>
                <w:w w:val="103"/>
                <w:sz w:val="16"/>
              </w:rPr>
              <w:t>к</w:t>
            </w:r>
            <w:r>
              <w:rPr>
                <w:spacing w:val="-49"/>
                <w:w w:val="103"/>
                <w:position w:val="-7"/>
                <w:sz w:val="16"/>
              </w:rPr>
              <w:t>о</w:t>
            </w:r>
            <w:r>
              <w:rPr>
                <w:spacing w:val="-50"/>
                <w:w w:val="103"/>
                <w:sz w:val="16"/>
              </w:rPr>
              <w:t>е</w:t>
            </w:r>
            <w:r>
              <w:rPr>
                <w:w w:val="103"/>
                <w:position w:val="-7"/>
                <w:sz w:val="16"/>
              </w:rPr>
              <w:t>з</w:t>
            </w:r>
            <w:r>
              <w:rPr>
                <w:spacing w:val="-46"/>
                <w:w w:val="103"/>
                <w:position w:val="-7"/>
                <w:sz w:val="16"/>
              </w:rPr>
              <w:t>р</w:t>
            </w:r>
            <w:r>
              <w:rPr>
                <w:spacing w:val="-53"/>
                <w:w w:val="103"/>
                <w:sz w:val="16"/>
              </w:rPr>
              <w:t>к</w:t>
            </w:r>
            <w:r>
              <w:rPr>
                <w:spacing w:val="-47"/>
                <w:w w:val="103"/>
                <w:position w:val="-7"/>
                <w:sz w:val="16"/>
              </w:rPr>
              <w:t>а</w:t>
            </w:r>
            <w:r>
              <w:rPr>
                <w:spacing w:val="-57"/>
                <w:w w:val="103"/>
                <w:sz w:val="16"/>
              </w:rPr>
              <w:t>р</w:t>
            </w:r>
            <w:r>
              <w:rPr>
                <w:spacing w:val="-32"/>
                <w:w w:val="103"/>
                <w:position w:val="-7"/>
                <w:sz w:val="16"/>
              </w:rPr>
              <w:t>с</w:t>
            </w:r>
            <w:r>
              <w:rPr>
                <w:spacing w:val="-69"/>
                <w:w w:val="103"/>
                <w:sz w:val="16"/>
              </w:rPr>
              <w:t>о</w:t>
            </w:r>
            <w:r>
              <w:rPr>
                <w:spacing w:val="-14"/>
                <w:w w:val="103"/>
                <w:position w:val="-7"/>
                <w:sz w:val="16"/>
              </w:rPr>
              <w:t>т</w:t>
            </w:r>
            <w:r>
              <w:rPr>
                <w:w w:val="103"/>
                <w:sz w:val="16"/>
              </w:rPr>
              <w:t>ви</w:t>
            </w:r>
            <w:r>
              <w:rPr>
                <w:sz w:val="16"/>
              </w:rPr>
              <w:t> </w:t>
            </w:r>
            <w:r>
              <w:rPr>
                <w:spacing w:val="-18"/>
                <w:sz w:val="16"/>
              </w:rPr>
              <w:t> </w:t>
            </w:r>
            <w:r>
              <w:rPr>
                <w:w w:val="103"/>
                <w:sz w:val="16"/>
              </w:rPr>
              <w:t>/</w:t>
            </w:r>
            <w:r>
              <w:rPr>
                <w:sz w:val="16"/>
              </w:rPr>
              <w:t> </w:t>
            </w:r>
            <w:r>
              <w:rPr>
                <w:spacing w:val="-18"/>
                <w:sz w:val="16"/>
              </w:rPr>
              <w:t> </w:t>
            </w:r>
            <w:r>
              <w:rPr>
                <w:w w:val="103"/>
                <w:sz w:val="16"/>
              </w:rPr>
              <w:t>каппа,</w:t>
            </w:r>
            <w:r>
              <w:rPr>
                <w:sz w:val="16"/>
              </w:rPr>
              <w:t> </w:t>
            </w:r>
            <w:r>
              <w:rPr>
                <w:spacing w:val="-18"/>
                <w:sz w:val="16"/>
              </w:rPr>
              <w:t> </w:t>
            </w:r>
            <w:r>
              <w:rPr>
                <w:w w:val="103"/>
                <w:sz w:val="16"/>
              </w:rPr>
              <w:t>1</w:t>
            </w:r>
            <w:r>
              <w:rPr>
                <w:spacing w:val="-1"/>
                <w:w w:val="103"/>
                <w:sz w:val="16"/>
              </w:rPr>
              <w:t>)</w:t>
            </w:r>
            <w:r>
              <w:rPr>
                <w:w w:val="103"/>
                <w:position w:val="9"/>
                <w:sz w:val="16"/>
              </w:rPr>
              <w:t>альфа</w:t>
            </w:r>
            <w:r>
              <w:rPr>
                <w:position w:val="9"/>
                <w:sz w:val="16"/>
              </w:rPr>
              <w:t> </w:t>
            </w:r>
            <w:r>
              <w:rPr>
                <w:spacing w:val="-18"/>
                <w:position w:val="9"/>
                <w:sz w:val="16"/>
              </w:rPr>
              <w:t> </w:t>
            </w:r>
            <w:r>
              <w:rPr>
                <w:w w:val="103"/>
                <w:sz w:val="16"/>
              </w:rPr>
              <w:t>*</w:t>
            </w:r>
            <w:r>
              <w:rPr>
                <w:sz w:val="16"/>
              </w:rPr>
              <w:t> </w:t>
            </w:r>
            <w:r>
              <w:rPr>
                <w:spacing w:val="-17"/>
                <w:sz w:val="16"/>
              </w:rPr>
              <w:t> </w:t>
            </w:r>
            <w:r>
              <w:rPr>
                <w:w w:val="103"/>
                <w:sz w:val="16"/>
              </w:rPr>
              <w:t>макс</w:t>
            </w:r>
            <w:r>
              <w:rPr>
                <w:sz w:val="16"/>
              </w:rPr>
              <w:t> </w:t>
            </w:r>
            <w:r>
              <w:rPr>
                <w:spacing w:val="-17"/>
                <w:sz w:val="16"/>
              </w:rPr>
              <w:t> </w:t>
            </w:r>
            <w:r>
              <w:rPr>
                <w:w w:val="103"/>
                <w:sz w:val="16"/>
              </w:rPr>
              <w:t>(Креатинин</w:t>
            </w:r>
            <w:r>
              <w:rPr>
                <w:sz w:val="16"/>
              </w:rPr>
              <w:t> </w:t>
            </w:r>
            <w:r>
              <w:rPr>
                <w:spacing w:val="-17"/>
                <w:sz w:val="16"/>
              </w:rPr>
              <w:t> </w:t>
            </w:r>
            <w:r>
              <w:rPr>
                <w:w w:val="103"/>
                <w:sz w:val="16"/>
              </w:rPr>
              <w:t>в </w:t>
            </w:r>
            <w:r>
              <w:rPr>
                <w:w w:val="105"/>
                <w:sz w:val="16"/>
              </w:rPr>
              <w:t>сыворотке крови/</w:t>
            </w:r>
            <w:r>
              <w:rPr>
                <w:spacing w:val="-19"/>
                <w:w w:val="105"/>
                <w:sz w:val="16"/>
              </w:rPr>
              <w:t> </w:t>
            </w:r>
            <w:r>
              <w:rPr>
                <w:w w:val="105"/>
                <w:sz w:val="16"/>
              </w:rPr>
              <w:t>каппа,</w:t>
            </w:r>
            <w:r>
              <w:rPr>
                <w:spacing w:val="-9"/>
                <w:w w:val="105"/>
                <w:sz w:val="16"/>
              </w:rPr>
              <w:t> </w:t>
            </w:r>
            <w:r>
              <w:rPr>
                <w:w w:val="105"/>
                <w:sz w:val="16"/>
              </w:rPr>
              <w:t>1)</w:t>
              <w:tab/>
              <w:t>*</w:t>
            </w:r>
            <w:r>
              <w:rPr>
                <w:spacing w:val="-5"/>
                <w:w w:val="105"/>
                <w:sz w:val="16"/>
              </w:rPr>
              <w:t> </w:t>
            </w:r>
            <w:r>
              <w:rPr>
                <w:w w:val="105"/>
                <w:sz w:val="16"/>
              </w:rPr>
              <w:t>0.993</w:t>
              <w:tab/>
              <w:t>* Пол *</w:t>
            </w:r>
            <w:r>
              <w:rPr>
                <w:spacing w:val="-6"/>
                <w:w w:val="105"/>
                <w:sz w:val="16"/>
              </w:rPr>
              <w:t> </w:t>
            </w:r>
            <w:r>
              <w:rPr>
                <w:w w:val="105"/>
                <w:sz w:val="16"/>
              </w:rPr>
              <w:t>Раса,</w:t>
            </w:r>
          </w:p>
          <w:p>
            <w:pPr>
              <w:pStyle w:val="TableParagraph"/>
              <w:spacing w:line="204" w:lineRule="auto" w:before="8"/>
              <w:rPr>
                <w:sz w:val="16"/>
              </w:rPr>
            </w:pPr>
            <w:r>
              <w:rPr>
                <w:w w:val="105"/>
                <w:sz w:val="16"/>
              </w:rPr>
              <w:t>для женщин используются следующие значения: пол = 1,018; альфа = — 0,329; каппа = 0,7;</w:t>
            </w:r>
          </w:p>
          <w:p>
            <w:pPr>
              <w:pStyle w:val="TableParagraph"/>
              <w:spacing w:line="204" w:lineRule="auto" w:before="0"/>
              <w:rPr>
                <w:sz w:val="16"/>
              </w:rPr>
            </w:pPr>
            <w:r>
              <w:rPr>
                <w:w w:val="105"/>
                <w:sz w:val="16"/>
              </w:rPr>
              <w:t>для мужчин используются следующие значения: пол = 1; альфа = — 0,411; каппа = 0,9; дляпредставителейнегройднойрасы: коэффициент «раса» равен1,159.[157, Levey AS, Stevens LA.Estimating GFR using the CKD Epidemiology Collaboration (CKD-EPI) creatinine equation: more accurate GFR estimates, lower CKD prevalence estimates, and better risk predictions. Am J Kidney Dis. 2010;55(4):622–627.].</w:t>
            </w:r>
          </w:p>
        </w:tc>
      </w:tr>
    </w:tbl>
    <w:p>
      <w:pPr>
        <w:pStyle w:val="BodyText"/>
        <w:spacing w:before="0"/>
        <w:ind w:left="0"/>
        <w:jc w:val="left"/>
        <w:rPr>
          <w:b/>
          <w:sz w:val="20"/>
        </w:rPr>
      </w:pPr>
    </w:p>
    <w:p>
      <w:pPr>
        <w:pStyle w:val="BodyText"/>
        <w:spacing w:before="8"/>
        <w:ind w:left="0"/>
        <w:jc w:val="left"/>
        <w:rPr>
          <w:b/>
          <w:sz w:val="22"/>
        </w:rPr>
      </w:pPr>
    </w:p>
    <w:p>
      <w:pPr>
        <w:pStyle w:val="BodyText"/>
        <w:tabs>
          <w:tab w:pos="8180" w:val="left" w:leader="none"/>
        </w:tabs>
        <w:spacing w:before="97"/>
        <w:ind w:left="695"/>
        <w:jc w:val="left"/>
      </w:pPr>
      <w:r>
        <w:rPr/>
        <w:pict>
          <v:shape style="position:absolute;margin-left:91.538452pt;margin-top:12.269382pt;width:4.55pt;height:4.55pt;mso-position-horizontal-relative:page;mso-position-vertical-relative:paragraph;z-index:15976448" coordorigin="1831,245" coordsize="91,91" path="m1876,335l1863,335,1853,331,1835,313,1831,303,1831,278,1835,267,1853,250,1863,245,1888,245,1899,250,1916,267,1921,278,1921,290,1921,303,1916,313,1899,331,1888,335,1876,335xe" filled="true" fillcolor="#000000" stroked="false">
            <v:path arrowok="t"/>
            <v:fill type="solid"/>
            <w10:wrap type="none"/>
          </v:shape>
        </w:pict>
      </w:r>
      <w:r>
        <w:rPr/>
        <w:t>Калькулятор</w:t>
        <w:tab/>
      </w:r>
      <w:r>
        <w:rPr>
          <w:spacing w:val="-3"/>
        </w:rPr>
        <w:t>СКФ:</w:t>
      </w:r>
    </w:p>
    <w:p>
      <w:pPr>
        <w:pStyle w:val="BodyText"/>
        <w:spacing w:line="256" w:lineRule="auto" w:before="26"/>
        <w:ind w:left="695"/>
        <w:jc w:val="left"/>
      </w:pPr>
      <w:hyperlink r:id="rId24">
        <w:r>
          <w:rPr>
            <w:spacing w:val="-1"/>
          </w:rPr>
          <w:t>https://www.kidney.org/professionals/KDOQI/gfr_calculator </w:t>
        </w:r>
        <w:r>
          <w:rPr>
            <w:spacing w:val="-3"/>
          </w:rPr>
          <w:t>(https://www.kidney.org/professionals/KDOQI/gfr_calculator)</w:t>
        </w:r>
      </w:hyperlink>
    </w:p>
    <w:p>
      <w:pPr>
        <w:pStyle w:val="BodyText"/>
        <w:spacing w:before="271"/>
        <w:ind w:left="519"/>
        <w:jc w:val="left"/>
      </w:pPr>
      <w:hyperlink r:id="rId24">
        <w:r>
          <w:rPr/>
          <w:t>(https://www.kidney.org/professionals/KDOQI/gfr_calculator)</w:t>
        </w:r>
      </w:hyperlink>
    </w:p>
    <w:p>
      <w:pPr>
        <w:pStyle w:val="Heading3"/>
        <w:spacing w:line="256" w:lineRule="auto" w:before="296"/>
        <w:ind w:left="380" w:right="128"/>
        <w:jc w:val="both"/>
      </w:pPr>
      <w:r>
        <w:rPr/>
        <w:t>Таблица П4/Г3. CHA2DS2-VASс. Шкала оценки риска тромбоэмболических осложнений у пациентов с фибрилляцией/трепетанием предсердий</w:t>
      </w:r>
    </w:p>
    <w:p>
      <w:pPr>
        <w:pStyle w:val="BodyText"/>
        <w:spacing w:line="256" w:lineRule="auto" w:before="271"/>
        <w:ind w:left="380" w:right="133"/>
      </w:pPr>
      <w:r>
        <w:rPr>
          <w:b/>
        </w:rPr>
        <w:t>Название на русском языке: </w:t>
      </w:r>
      <w:r>
        <w:rPr/>
        <w:t>CHA2DS2-VASс.  Шкала оценки риска тромбоэмболических осложнений у пациентов с фибрилляцией/трепетанием предсердий</w:t>
      </w:r>
    </w:p>
    <w:p>
      <w:pPr>
        <w:spacing w:before="272"/>
        <w:ind w:left="380" w:right="0" w:firstLine="0"/>
        <w:jc w:val="left"/>
        <w:rPr>
          <w:sz w:val="27"/>
        </w:rPr>
      </w:pPr>
      <w:r>
        <w:rPr>
          <w:b/>
          <w:sz w:val="27"/>
        </w:rPr>
        <w:t>Оригинальное название (если есть): </w:t>
      </w:r>
      <w:r>
        <w:rPr>
          <w:sz w:val="27"/>
        </w:rPr>
        <w:t>CHA2DS2-VASс</w:t>
      </w:r>
    </w:p>
    <w:p>
      <w:pPr>
        <w:spacing w:line="256" w:lineRule="auto" w:before="296"/>
        <w:ind w:left="380" w:right="135" w:firstLine="0"/>
        <w:jc w:val="both"/>
        <w:rPr>
          <w:sz w:val="27"/>
        </w:rPr>
      </w:pPr>
      <w:r>
        <w:rPr>
          <w:b/>
          <w:sz w:val="27"/>
        </w:rPr>
        <w:t>Источник (официальный сайт разработчиков, публикация с валидацией): </w:t>
      </w:r>
      <w:r>
        <w:rPr>
          <w:sz w:val="27"/>
        </w:rPr>
        <w:t>Olesen, Jonas Bjerring, et al. Validation of risk stratiﬁcation schemes for predicting stroke and thromboembolism in patients with atrial ﬁbrillation: nationwide cohort study. Bmj 342 (2011): d124.</w:t>
      </w:r>
    </w:p>
    <w:p>
      <w:pPr>
        <w:pStyle w:val="Heading3"/>
        <w:spacing w:before="272"/>
        <w:ind w:left="380"/>
      </w:pPr>
      <w:r>
        <w:rPr/>
        <w:t>Тип (подчеркнуть):</w:t>
      </w:r>
    </w:p>
    <w:p>
      <w:pPr>
        <w:pStyle w:val="ListParagraph"/>
        <w:numPr>
          <w:ilvl w:val="0"/>
          <w:numId w:val="17"/>
        </w:numPr>
        <w:tabs>
          <w:tab w:pos="938" w:val="left" w:leader="none"/>
        </w:tabs>
        <w:spacing w:line="240" w:lineRule="auto" w:before="296" w:after="0"/>
        <w:ind w:left="937" w:right="0" w:hanging="306"/>
        <w:jc w:val="left"/>
        <w:rPr>
          <w:sz w:val="27"/>
        </w:rPr>
      </w:pPr>
      <w:r>
        <w:rPr>
          <w:sz w:val="27"/>
          <w:u w:val="single"/>
        </w:rPr>
        <w:t>шкала</w:t>
      </w:r>
      <w:r>
        <w:rPr>
          <w:spacing w:val="-3"/>
          <w:sz w:val="27"/>
          <w:u w:val="single"/>
        </w:rPr>
        <w:t> </w:t>
      </w:r>
      <w:r>
        <w:rPr>
          <w:sz w:val="27"/>
          <w:u w:val="single"/>
        </w:rPr>
        <w:t>оценки</w:t>
      </w:r>
    </w:p>
    <w:p>
      <w:pPr>
        <w:pStyle w:val="ListParagraph"/>
        <w:numPr>
          <w:ilvl w:val="0"/>
          <w:numId w:val="17"/>
        </w:numPr>
        <w:tabs>
          <w:tab w:pos="938" w:val="left" w:leader="none"/>
        </w:tabs>
        <w:spacing w:line="240" w:lineRule="auto" w:before="296" w:after="0"/>
        <w:ind w:left="937" w:right="0" w:hanging="306"/>
        <w:jc w:val="left"/>
        <w:rPr>
          <w:sz w:val="27"/>
        </w:rPr>
      </w:pPr>
      <w:r>
        <w:rPr>
          <w:w w:val="105"/>
          <w:sz w:val="27"/>
        </w:rPr>
        <w:t>индекс</w:t>
      </w:r>
    </w:p>
    <w:p>
      <w:pPr>
        <w:pStyle w:val="ListParagraph"/>
        <w:numPr>
          <w:ilvl w:val="0"/>
          <w:numId w:val="17"/>
        </w:numPr>
        <w:tabs>
          <w:tab w:pos="938" w:val="left" w:leader="none"/>
        </w:tabs>
        <w:spacing w:line="240" w:lineRule="auto" w:before="296" w:after="0"/>
        <w:ind w:left="937" w:right="0" w:hanging="306"/>
        <w:jc w:val="left"/>
        <w:rPr>
          <w:sz w:val="27"/>
        </w:rPr>
      </w:pPr>
      <w:r>
        <w:rPr>
          <w:sz w:val="27"/>
        </w:rPr>
        <w:t>вопросник</w:t>
      </w:r>
    </w:p>
    <w:p>
      <w:pPr>
        <w:pStyle w:val="ListParagraph"/>
        <w:numPr>
          <w:ilvl w:val="0"/>
          <w:numId w:val="17"/>
        </w:numPr>
        <w:tabs>
          <w:tab w:pos="938" w:val="left" w:leader="none"/>
        </w:tabs>
        <w:spacing w:line="240" w:lineRule="auto" w:before="296" w:after="0"/>
        <w:ind w:left="937" w:right="0" w:hanging="306"/>
        <w:jc w:val="left"/>
        <w:rPr>
          <w:sz w:val="27"/>
        </w:rPr>
      </w:pPr>
      <w:r>
        <w:rPr>
          <w:sz w:val="27"/>
        </w:rPr>
        <w:t>другое</w:t>
      </w:r>
      <w:r>
        <w:rPr>
          <w:spacing w:val="39"/>
          <w:sz w:val="27"/>
        </w:rPr>
        <w:t> </w:t>
      </w:r>
      <w:r>
        <w:rPr>
          <w:sz w:val="27"/>
        </w:rPr>
        <w:t>(уточнить):</w:t>
      </w:r>
    </w:p>
    <w:p>
      <w:pPr>
        <w:pStyle w:val="BodyText"/>
        <w:spacing w:line="256" w:lineRule="auto" w:before="296"/>
        <w:ind w:left="380" w:right="128"/>
      </w:pPr>
      <w:r>
        <w:rPr>
          <w:b/>
        </w:rPr>
        <w:t>Назначение: </w:t>
      </w:r>
      <w:r>
        <w:rPr/>
        <w:t>клинический инструмент для прогнозирования риска ишемического инсульта и системного тромбоэмболизма при фибрилляции</w:t>
      </w:r>
      <w:r>
        <w:rPr>
          <w:spacing w:val="-8"/>
        </w:rPr>
        <w:t> </w:t>
      </w:r>
      <w:r>
        <w:rPr/>
        <w:t>предсердий</w:t>
      </w:r>
    </w:p>
    <w:p>
      <w:pPr>
        <w:pStyle w:val="BodyText"/>
        <w:spacing w:before="0"/>
        <w:ind w:left="0"/>
        <w:jc w:val="left"/>
        <w:rPr>
          <w:sz w:val="36"/>
        </w:rPr>
      </w:pPr>
    </w:p>
    <w:p>
      <w:pPr>
        <w:pStyle w:val="BodyText"/>
        <w:spacing w:before="0"/>
        <w:ind w:left="0"/>
        <w:jc w:val="left"/>
        <w:rPr>
          <w:sz w:val="33"/>
        </w:rPr>
      </w:pPr>
    </w:p>
    <w:p>
      <w:pPr>
        <w:pStyle w:val="Heading3"/>
        <w:spacing w:before="0"/>
        <w:ind w:left="380"/>
      </w:pPr>
      <w:r>
        <w:rPr/>
        <w:t>Содержание (шаблон):</w:t>
      </w:r>
    </w:p>
    <w:p>
      <w:pPr>
        <w:spacing w:after="0"/>
        <w:sectPr>
          <w:pgSz w:w="11900" w:h="16840"/>
          <w:pgMar w:top="20" w:bottom="28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173"/>
        <w:gridCol w:w="1261"/>
      </w:tblGrid>
      <w:tr>
        <w:trPr>
          <w:trHeight w:val="460" w:hRule="atLeast"/>
        </w:trPr>
        <w:tc>
          <w:tcPr>
            <w:tcW w:w="7173" w:type="dxa"/>
          </w:tcPr>
          <w:p>
            <w:pPr>
              <w:pStyle w:val="TableParagraph"/>
              <w:rPr>
                <w:b/>
                <w:sz w:val="16"/>
              </w:rPr>
            </w:pPr>
            <w:r>
              <w:rPr>
                <w:b/>
                <w:w w:val="105"/>
                <w:sz w:val="16"/>
              </w:rPr>
              <w:t>Фактор риска</w:t>
            </w:r>
          </w:p>
        </w:tc>
        <w:tc>
          <w:tcPr>
            <w:tcW w:w="1261" w:type="dxa"/>
          </w:tcPr>
          <w:p>
            <w:pPr>
              <w:pStyle w:val="TableParagraph"/>
              <w:rPr>
                <w:b/>
                <w:sz w:val="16"/>
              </w:rPr>
            </w:pPr>
            <w:r>
              <w:rPr>
                <w:b/>
                <w:w w:val="105"/>
                <w:sz w:val="16"/>
              </w:rPr>
              <w:t>Баллы</w:t>
            </w:r>
          </w:p>
        </w:tc>
      </w:tr>
      <w:tr>
        <w:trPr>
          <w:trHeight w:val="625" w:hRule="atLeast"/>
        </w:trPr>
        <w:tc>
          <w:tcPr>
            <w:tcW w:w="7173" w:type="dxa"/>
          </w:tcPr>
          <w:p>
            <w:pPr>
              <w:pStyle w:val="TableParagraph"/>
              <w:spacing w:line="204" w:lineRule="auto" w:before="161"/>
              <w:ind w:right="140"/>
              <w:rPr>
                <w:sz w:val="16"/>
              </w:rPr>
            </w:pPr>
            <w:r>
              <w:rPr>
                <w:w w:val="105"/>
                <w:sz w:val="16"/>
              </w:rPr>
              <w:t>Инсульт, транзиторная ишемическая атака или артериальная тромбоэмболия в анамнезе</w:t>
            </w:r>
          </w:p>
        </w:tc>
        <w:tc>
          <w:tcPr>
            <w:tcW w:w="1261" w:type="dxa"/>
          </w:tcPr>
          <w:p>
            <w:pPr>
              <w:pStyle w:val="TableParagraph"/>
              <w:rPr>
                <w:sz w:val="16"/>
              </w:rPr>
            </w:pPr>
            <w:r>
              <w:rPr>
                <w:w w:val="103"/>
                <w:sz w:val="16"/>
              </w:rPr>
              <w:t>2</w:t>
            </w:r>
          </w:p>
        </w:tc>
      </w:tr>
      <w:tr>
        <w:trPr>
          <w:trHeight w:val="460" w:hRule="atLeast"/>
        </w:trPr>
        <w:tc>
          <w:tcPr>
            <w:tcW w:w="7173" w:type="dxa"/>
          </w:tcPr>
          <w:p>
            <w:pPr>
              <w:pStyle w:val="TableParagraph"/>
              <w:rPr>
                <w:sz w:val="16"/>
              </w:rPr>
            </w:pPr>
            <w:r>
              <w:rPr>
                <w:w w:val="105"/>
                <w:sz w:val="16"/>
              </w:rPr>
              <w:t>Возраст ≥75 лет</w:t>
            </w:r>
          </w:p>
        </w:tc>
        <w:tc>
          <w:tcPr>
            <w:tcW w:w="1261" w:type="dxa"/>
          </w:tcPr>
          <w:p>
            <w:pPr>
              <w:pStyle w:val="TableParagraph"/>
              <w:rPr>
                <w:sz w:val="16"/>
              </w:rPr>
            </w:pPr>
            <w:r>
              <w:rPr>
                <w:w w:val="103"/>
                <w:sz w:val="16"/>
              </w:rPr>
              <w:t>2</w:t>
            </w:r>
          </w:p>
        </w:tc>
      </w:tr>
      <w:tr>
        <w:trPr>
          <w:trHeight w:val="460" w:hRule="atLeast"/>
        </w:trPr>
        <w:tc>
          <w:tcPr>
            <w:tcW w:w="7173" w:type="dxa"/>
          </w:tcPr>
          <w:p>
            <w:pPr>
              <w:pStyle w:val="TableParagraph"/>
              <w:rPr>
                <w:sz w:val="16"/>
              </w:rPr>
            </w:pPr>
            <w:r>
              <w:rPr>
                <w:w w:val="105"/>
                <w:sz w:val="16"/>
              </w:rPr>
              <w:t>Артериальная гипертензия</w:t>
            </w:r>
          </w:p>
        </w:tc>
        <w:tc>
          <w:tcPr>
            <w:tcW w:w="1261" w:type="dxa"/>
          </w:tcPr>
          <w:p>
            <w:pPr>
              <w:pStyle w:val="TableParagraph"/>
              <w:rPr>
                <w:sz w:val="16"/>
              </w:rPr>
            </w:pPr>
            <w:r>
              <w:rPr>
                <w:w w:val="103"/>
                <w:sz w:val="16"/>
              </w:rPr>
              <w:t>1</w:t>
            </w:r>
          </w:p>
        </w:tc>
      </w:tr>
      <w:tr>
        <w:trPr>
          <w:trHeight w:val="460" w:hRule="atLeast"/>
        </w:trPr>
        <w:tc>
          <w:tcPr>
            <w:tcW w:w="7173" w:type="dxa"/>
          </w:tcPr>
          <w:p>
            <w:pPr>
              <w:pStyle w:val="TableParagraph"/>
              <w:rPr>
                <w:sz w:val="16"/>
              </w:rPr>
            </w:pPr>
            <w:r>
              <w:rPr>
                <w:w w:val="105"/>
                <w:sz w:val="16"/>
              </w:rPr>
              <w:t>Сахарный диабет</w:t>
            </w:r>
          </w:p>
        </w:tc>
        <w:tc>
          <w:tcPr>
            <w:tcW w:w="1261" w:type="dxa"/>
          </w:tcPr>
          <w:p>
            <w:pPr>
              <w:pStyle w:val="TableParagraph"/>
              <w:rPr>
                <w:sz w:val="16"/>
              </w:rPr>
            </w:pPr>
            <w:r>
              <w:rPr>
                <w:w w:val="103"/>
                <w:sz w:val="16"/>
              </w:rPr>
              <w:t>1</w:t>
            </w:r>
          </w:p>
        </w:tc>
      </w:tr>
      <w:tr>
        <w:trPr>
          <w:trHeight w:val="625" w:hRule="atLeast"/>
        </w:trPr>
        <w:tc>
          <w:tcPr>
            <w:tcW w:w="7173" w:type="dxa"/>
          </w:tcPr>
          <w:p>
            <w:pPr>
              <w:pStyle w:val="TableParagraph"/>
              <w:spacing w:line="180" w:lineRule="exact"/>
              <w:rPr>
                <w:sz w:val="16"/>
              </w:rPr>
            </w:pPr>
            <w:r>
              <w:rPr>
                <w:w w:val="105"/>
                <w:sz w:val="16"/>
              </w:rPr>
              <w:t>Застойная сердечная недостаточность/ дисфункция ЛЖ (в частности,</w:t>
            </w:r>
            <w:r>
              <w:rPr>
                <w:spacing w:val="55"/>
                <w:w w:val="105"/>
                <w:sz w:val="16"/>
              </w:rPr>
              <w:t> </w:t>
            </w:r>
            <w:r>
              <w:rPr>
                <w:w w:val="105"/>
                <w:sz w:val="16"/>
              </w:rPr>
              <w:t>ФВ</w:t>
            </w:r>
          </w:p>
          <w:p>
            <w:pPr>
              <w:pStyle w:val="TableParagraph"/>
              <w:spacing w:line="180" w:lineRule="exact" w:before="0"/>
              <w:rPr>
                <w:sz w:val="16"/>
              </w:rPr>
            </w:pPr>
            <w:r>
              <w:rPr>
                <w:w w:val="105"/>
                <w:sz w:val="16"/>
              </w:rPr>
              <w:t>≤40%)</w:t>
            </w:r>
          </w:p>
        </w:tc>
        <w:tc>
          <w:tcPr>
            <w:tcW w:w="1261" w:type="dxa"/>
          </w:tcPr>
          <w:p>
            <w:pPr>
              <w:pStyle w:val="TableParagraph"/>
              <w:rPr>
                <w:sz w:val="16"/>
              </w:rPr>
            </w:pPr>
            <w:r>
              <w:rPr>
                <w:w w:val="103"/>
                <w:sz w:val="16"/>
              </w:rPr>
              <w:t>1</w:t>
            </w:r>
          </w:p>
        </w:tc>
      </w:tr>
      <w:tr>
        <w:trPr>
          <w:trHeight w:val="625" w:hRule="atLeast"/>
        </w:trPr>
        <w:tc>
          <w:tcPr>
            <w:tcW w:w="7173" w:type="dxa"/>
          </w:tcPr>
          <w:p>
            <w:pPr>
              <w:pStyle w:val="TableParagraph"/>
              <w:spacing w:line="204" w:lineRule="auto" w:before="161"/>
              <w:rPr>
                <w:sz w:val="16"/>
              </w:rPr>
            </w:pPr>
            <w:r>
              <w:rPr>
                <w:w w:val="105"/>
                <w:sz w:val="16"/>
              </w:rPr>
              <w:t>Сосудистое заболевание (инфаркт миокарда в анамнезе, периферический атеросклероз, атеросклеротические бляшки в аорте)</w:t>
            </w:r>
          </w:p>
        </w:tc>
        <w:tc>
          <w:tcPr>
            <w:tcW w:w="1261" w:type="dxa"/>
          </w:tcPr>
          <w:p>
            <w:pPr>
              <w:pStyle w:val="TableParagraph"/>
              <w:rPr>
                <w:sz w:val="16"/>
              </w:rPr>
            </w:pPr>
            <w:r>
              <w:rPr>
                <w:w w:val="103"/>
                <w:sz w:val="16"/>
              </w:rPr>
              <w:t>1</w:t>
            </w:r>
          </w:p>
        </w:tc>
      </w:tr>
      <w:tr>
        <w:trPr>
          <w:trHeight w:val="460" w:hRule="atLeast"/>
        </w:trPr>
        <w:tc>
          <w:tcPr>
            <w:tcW w:w="7173" w:type="dxa"/>
          </w:tcPr>
          <w:p>
            <w:pPr>
              <w:pStyle w:val="TableParagraph"/>
              <w:rPr>
                <w:sz w:val="16"/>
              </w:rPr>
            </w:pPr>
            <w:r>
              <w:rPr>
                <w:w w:val="105"/>
                <w:sz w:val="16"/>
              </w:rPr>
              <w:t>Возраст 65–74 года</w:t>
            </w:r>
          </w:p>
        </w:tc>
        <w:tc>
          <w:tcPr>
            <w:tcW w:w="1261" w:type="dxa"/>
          </w:tcPr>
          <w:p>
            <w:pPr>
              <w:pStyle w:val="TableParagraph"/>
              <w:rPr>
                <w:sz w:val="16"/>
              </w:rPr>
            </w:pPr>
            <w:r>
              <w:rPr>
                <w:w w:val="103"/>
                <w:sz w:val="16"/>
              </w:rPr>
              <w:t>1</w:t>
            </w:r>
          </w:p>
        </w:tc>
      </w:tr>
      <w:tr>
        <w:trPr>
          <w:trHeight w:val="460" w:hRule="atLeast"/>
        </w:trPr>
        <w:tc>
          <w:tcPr>
            <w:tcW w:w="7173" w:type="dxa"/>
          </w:tcPr>
          <w:p>
            <w:pPr>
              <w:pStyle w:val="TableParagraph"/>
              <w:rPr>
                <w:sz w:val="16"/>
              </w:rPr>
            </w:pPr>
            <w:r>
              <w:rPr>
                <w:w w:val="105"/>
                <w:sz w:val="16"/>
              </w:rPr>
              <w:t>Женский пол</w:t>
            </w:r>
          </w:p>
        </w:tc>
        <w:tc>
          <w:tcPr>
            <w:tcW w:w="1261" w:type="dxa"/>
          </w:tcPr>
          <w:p>
            <w:pPr>
              <w:pStyle w:val="TableParagraph"/>
              <w:rPr>
                <w:sz w:val="16"/>
              </w:rPr>
            </w:pPr>
            <w:r>
              <w:rPr>
                <w:w w:val="103"/>
                <w:sz w:val="16"/>
              </w:rPr>
              <w:t>1</w:t>
            </w:r>
          </w:p>
        </w:tc>
      </w:tr>
    </w:tbl>
    <w:p>
      <w:pPr>
        <w:spacing w:before="16"/>
        <w:ind w:left="380" w:right="0" w:firstLine="0"/>
        <w:jc w:val="left"/>
        <w:rPr>
          <w:b/>
          <w:sz w:val="27"/>
        </w:rPr>
      </w:pPr>
      <w:r>
        <w:rPr>
          <w:b/>
          <w:sz w:val="27"/>
        </w:rPr>
        <w:t>Ключ (интерпретация):</w:t>
      </w:r>
    </w:p>
    <w:p>
      <w:pPr>
        <w:pStyle w:val="BodyText"/>
        <w:spacing w:before="10"/>
        <w:ind w:left="0"/>
        <w:jc w:val="left"/>
        <w:rPr>
          <w:b/>
          <w:sz w:val="20"/>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127"/>
        <w:gridCol w:w="4307"/>
      </w:tblGrid>
      <w:tr>
        <w:trPr>
          <w:trHeight w:val="625" w:hRule="atLeast"/>
        </w:trPr>
        <w:tc>
          <w:tcPr>
            <w:tcW w:w="4127" w:type="dxa"/>
          </w:tcPr>
          <w:p>
            <w:pPr>
              <w:pStyle w:val="TableParagraph"/>
              <w:spacing w:line="204" w:lineRule="auto" w:before="161"/>
              <w:ind w:right="1579"/>
              <w:rPr>
                <w:b/>
                <w:sz w:val="16"/>
              </w:rPr>
            </w:pPr>
            <w:r>
              <w:rPr>
                <w:b/>
                <w:w w:val="105"/>
                <w:sz w:val="16"/>
              </w:rPr>
              <w:t>Сумма баллов по шкале CHA2DS2-VASc</w:t>
            </w:r>
          </w:p>
        </w:tc>
        <w:tc>
          <w:tcPr>
            <w:tcW w:w="4307" w:type="dxa"/>
          </w:tcPr>
          <w:p>
            <w:pPr>
              <w:pStyle w:val="TableParagraph"/>
              <w:ind w:left="154"/>
              <w:rPr>
                <w:b/>
                <w:sz w:val="16"/>
              </w:rPr>
            </w:pPr>
            <w:r>
              <w:rPr>
                <w:b/>
                <w:w w:val="105"/>
                <w:sz w:val="16"/>
              </w:rPr>
              <w:t>Ожидаемая частота инсультов за год</w:t>
            </w:r>
          </w:p>
        </w:tc>
      </w:tr>
      <w:tr>
        <w:trPr>
          <w:trHeight w:val="460" w:hRule="atLeast"/>
        </w:trPr>
        <w:tc>
          <w:tcPr>
            <w:tcW w:w="4127" w:type="dxa"/>
          </w:tcPr>
          <w:p>
            <w:pPr>
              <w:pStyle w:val="TableParagraph"/>
              <w:rPr>
                <w:sz w:val="16"/>
              </w:rPr>
            </w:pPr>
            <w:r>
              <w:rPr>
                <w:w w:val="103"/>
                <w:sz w:val="16"/>
              </w:rPr>
              <w:t>0</w:t>
            </w:r>
          </w:p>
        </w:tc>
        <w:tc>
          <w:tcPr>
            <w:tcW w:w="4307" w:type="dxa"/>
          </w:tcPr>
          <w:p>
            <w:pPr>
              <w:pStyle w:val="TableParagraph"/>
              <w:ind w:left="154"/>
              <w:rPr>
                <w:sz w:val="16"/>
              </w:rPr>
            </w:pPr>
            <w:r>
              <w:rPr>
                <w:w w:val="105"/>
                <w:sz w:val="16"/>
              </w:rPr>
              <w:t>0 %</w:t>
            </w:r>
          </w:p>
        </w:tc>
      </w:tr>
      <w:tr>
        <w:trPr>
          <w:trHeight w:val="460" w:hRule="atLeast"/>
        </w:trPr>
        <w:tc>
          <w:tcPr>
            <w:tcW w:w="4127" w:type="dxa"/>
          </w:tcPr>
          <w:p>
            <w:pPr>
              <w:pStyle w:val="TableParagraph"/>
              <w:rPr>
                <w:sz w:val="16"/>
              </w:rPr>
            </w:pPr>
            <w:r>
              <w:rPr>
                <w:w w:val="103"/>
                <w:sz w:val="16"/>
              </w:rPr>
              <w:t>1</w:t>
            </w:r>
          </w:p>
        </w:tc>
        <w:tc>
          <w:tcPr>
            <w:tcW w:w="4307" w:type="dxa"/>
          </w:tcPr>
          <w:p>
            <w:pPr>
              <w:pStyle w:val="TableParagraph"/>
              <w:ind w:left="154"/>
              <w:rPr>
                <w:sz w:val="16"/>
              </w:rPr>
            </w:pPr>
            <w:r>
              <w:rPr>
                <w:w w:val="105"/>
                <w:sz w:val="16"/>
              </w:rPr>
              <w:t>1,3 %</w:t>
            </w:r>
          </w:p>
        </w:tc>
      </w:tr>
      <w:tr>
        <w:trPr>
          <w:trHeight w:val="460" w:hRule="atLeast"/>
        </w:trPr>
        <w:tc>
          <w:tcPr>
            <w:tcW w:w="4127" w:type="dxa"/>
          </w:tcPr>
          <w:p>
            <w:pPr>
              <w:pStyle w:val="TableParagraph"/>
              <w:rPr>
                <w:sz w:val="16"/>
              </w:rPr>
            </w:pPr>
            <w:r>
              <w:rPr>
                <w:w w:val="103"/>
                <w:sz w:val="16"/>
              </w:rPr>
              <w:t>2</w:t>
            </w:r>
          </w:p>
        </w:tc>
        <w:tc>
          <w:tcPr>
            <w:tcW w:w="4307" w:type="dxa"/>
          </w:tcPr>
          <w:p>
            <w:pPr>
              <w:pStyle w:val="TableParagraph"/>
              <w:ind w:left="154"/>
              <w:rPr>
                <w:sz w:val="16"/>
              </w:rPr>
            </w:pPr>
            <w:r>
              <w:rPr>
                <w:w w:val="105"/>
                <w:sz w:val="16"/>
              </w:rPr>
              <w:t>2,2 %</w:t>
            </w:r>
          </w:p>
        </w:tc>
      </w:tr>
      <w:tr>
        <w:trPr>
          <w:trHeight w:val="460" w:hRule="atLeast"/>
        </w:trPr>
        <w:tc>
          <w:tcPr>
            <w:tcW w:w="4127" w:type="dxa"/>
          </w:tcPr>
          <w:p>
            <w:pPr>
              <w:pStyle w:val="TableParagraph"/>
              <w:rPr>
                <w:sz w:val="16"/>
              </w:rPr>
            </w:pPr>
            <w:r>
              <w:rPr>
                <w:w w:val="103"/>
                <w:sz w:val="16"/>
              </w:rPr>
              <w:t>3</w:t>
            </w:r>
          </w:p>
        </w:tc>
        <w:tc>
          <w:tcPr>
            <w:tcW w:w="4307" w:type="dxa"/>
          </w:tcPr>
          <w:p>
            <w:pPr>
              <w:pStyle w:val="TableParagraph"/>
              <w:ind w:left="154"/>
              <w:rPr>
                <w:sz w:val="16"/>
              </w:rPr>
            </w:pPr>
            <w:r>
              <w:rPr>
                <w:w w:val="105"/>
                <w:sz w:val="16"/>
              </w:rPr>
              <w:t>3,2 %</w:t>
            </w:r>
          </w:p>
        </w:tc>
      </w:tr>
      <w:tr>
        <w:trPr>
          <w:trHeight w:val="460" w:hRule="atLeast"/>
        </w:trPr>
        <w:tc>
          <w:tcPr>
            <w:tcW w:w="4127" w:type="dxa"/>
          </w:tcPr>
          <w:p>
            <w:pPr>
              <w:pStyle w:val="TableParagraph"/>
              <w:rPr>
                <w:sz w:val="16"/>
              </w:rPr>
            </w:pPr>
            <w:r>
              <w:rPr>
                <w:w w:val="103"/>
                <w:sz w:val="16"/>
              </w:rPr>
              <w:t>4</w:t>
            </w:r>
          </w:p>
        </w:tc>
        <w:tc>
          <w:tcPr>
            <w:tcW w:w="4307" w:type="dxa"/>
          </w:tcPr>
          <w:p>
            <w:pPr>
              <w:pStyle w:val="TableParagraph"/>
              <w:ind w:left="154"/>
              <w:rPr>
                <w:sz w:val="16"/>
              </w:rPr>
            </w:pPr>
            <w:r>
              <w:rPr>
                <w:w w:val="105"/>
                <w:sz w:val="16"/>
              </w:rPr>
              <w:t>4,0 %</w:t>
            </w:r>
          </w:p>
        </w:tc>
      </w:tr>
      <w:tr>
        <w:trPr>
          <w:trHeight w:val="460" w:hRule="atLeast"/>
        </w:trPr>
        <w:tc>
          <w:tcPr>
            <w:tcW w:w="4127" w:type="dxa"/>
          </w:tcPr>
          <w:p>
            <w:pPr>
              <w:pStyle w:val="TableParagraph"/>
              <w:rPr>
                <w:sz w:val="16"/>
              </w:rPr>
            </w:pPr>
            <w:r>
              <w:rPr>
                <w:w w:val="103"/>
                <w:sz w:val="16"/>
              </w:rPr>
              <w:t>5</w:t>
            </w:r>
          </w:p>
        </w:tc>
        <w:tc>
          <w:tcPr>
            <w:tcW w:w="4307" w:type="dxa"/>
          </w:tcPr>
          <w:p>
            <w:pPr>
              <w:pStyle w:val="TableParagraph"/>
              <w:ind w:left="154"/>
              <w:rPr>
                <w:sz w:val="16"/>
              </w:rPr>
            </w:pPr>
            <w:r>
              <w:rPr>
                <w:w w:val="105"/>
                <w:sz w:val="16"/>
              </w:rPr>
              <w:t>6,7 %</w:t>
            </w:r>
          </w:p>
        </w:tc>
      </w:tr>
      <w:tr>
        <w:trPr>
          <w:trHeight w:val="460" w:hRule="atLeast"/>
        </w:trPr>
        <w:tc>
          <w:tcPr>
            <w:tcW w:w="4127" w:type="dxa"/>
          </w:tcPr>
          <w:p>
            <w:pPr>
              <w:pStyle w:val="TableParagraph"/>
              <w:rPr>
                <w:sz w:val="16"/>
              </w:rPr>
            </w:pPr>
            <w:r>
              <w:rPr>
                <w:w w:val="103"/>
                <w:sz w:val="16"/>
              </w:rPr>
              <w:t>6</w:t>
            </w:r>
          </w:p>
        </w:tc>
        <w:tc>
          <w:tcPr>
            <w:tcW w:w="4307" w:type="dxa"/>
          </w:tcPr>
          <w:p>
            <w:pPr>
              <w:pStyle w:val="TableParagraph"/>
              <w:ind w:left="154"/>
              <w:rPr>
                <w:sz w:val="16"/>
              </w:rPr>
            </w:pPr>
            <w:r>
              <w:rPr>
                <w:w w:val="105"/>
                <w:sz w:val="16"/>
              </w:rPr>
              <w:t>9,8 %</w:t>
            </w:r>
          </w:p>
        </w:tc>
      </w:tr>
      <w:tr>
        <w:trPr>
          <w:trHeight w:val="460" w:hRule="atLeast"/>
        </w:trPr>
        <w:tc>
          <w:tcPr>
            <w:tcW w:w="4127" w:type="dxa"/>
          </w:tcPr>
          <w:p>
            <w:pPr>
              <w:pStyle w:val="TableParagraph"/>
              <w:rPr>
                <w:sz w:val="16"/>
              </w:rPr>
            </w:pPr>
            <w:r>
              <w:rPr>
                <w:w w:val="103"/>
                <w:sz w:val="16"/>
              </w:rPr>
              <w:t>7</w:t>
            </w:r>
          </w:p>
        </w:tc>
        <w:tc>
          <w:tcPr>
            <w:tcW w:w="4307" w:type="dxa"/>
          </w:tcPr>
          <w:p>
            <w:pPr>
              <w:pStyle w:val="TableParagraph"/>
              <w:ind w:left="154"/>
              <w:rPr>
                <w:sz w:val="16"/>
              </w:rPr>
            </w:pPr>
            <w:r>
              <w:rPr>
                <w:w w:val="105"/>
                <w:sz w:val="16"/>
              </w:rPr>
              <w:t>9,6 %</w:t>
            </w:r>
          </w:p>
        </w:tc>
      </w:tr>
      <w:tr>
        <w:trPr>
          <w:trHeight w:val="460" w:hRule="atLeast"/>
        </w:trPr>
        <w:tc>
          <w:tcPr>
            <w:tcW w:w="4127" w:type="dxa"/>
          </w:tcPr>
          <w:p>
            <w:pPr>
              <w:pStyle w:val="TableParagraph"/>
              <w:rPr>
                <w:sz w:val="16"/>
              </w:rPr>
            </w:pPr>
            <w:r>
              <w:rPr>
                <w:w w:val="103"/>
                <w:sz w:val="16"/>
              </w:rPr>
              <w:t>8</w:t>
            </w:r>
          </w:p>
        </w:tc>
        <w:tc>
          <w:tcPr>
            <w:tcW w:w="4307" w:type="dxa"/>
          </w:tcPr>
          <w:p>
            <w:pPr>
              <w:pStyle w:val="TableParagraph"/>
              <w:ind w:left="154"/>
              <w:rPr>
                <w:sz w:val="16"/>
              </w:rPr>
            </w:pPr>
            <w:r>
              <w:rPr>
                <w:w w:val="105"/>
                <w:sz w:val="16"/>
              </w:rPr>
              <w:t>6,7 %</w:t>
            </w:r>
          </w:p>
        </w:tc>
      </w:tr>
      <w:tr>
        <w:trPr>
          <w:trHeight w:val="460" w:hRule="atLeast"/>
        </w:trPr>
        <w:tc>
          <w:tcPr>
            <w:tcW w:w="4127" w:type="dxa"/>
          </w:tcPr>
          <w:p>
            <w:pPr>
              <w:pStyle w:val="TableParagraph"/>
              <w:rPr>
                <w:sz w:val="16"/>
              </w:rPr>
            </w:pPr>
            <w:r>
              <w:rPr>
                <w:w w:val="103"/>
                <w:sz w:val="16"/>
              </w:rPr>
              <w:t>9</w:t>
            </w:r>
          </w:p>
        </w:tc>
        <w:tc>
          <w:tcPr>
            <w:tcW w:w="4307" w:type="dxa"/>
          </w:tcPr>
          <w:p>
            <w:pPr>
              <w:pStyle w:val="TableParagraph"/>
              <w:ind w:left="154"/>
              <w:rPr>
                <w:sz w:val="16"/>
              </w:rPr>
            </w:pPr>
            <w:r>
              <w:rPr>
                <w:w w:val="105"/>
                <w:sz w:val="16"/>
              </w:rPr>
              <w:t>15,2 %</w:t>
            </w:r>
          </w:p>
        </w:tc>
      </w:tr>
    </w:tbl>
    <w:p>
      <w:pPr>
        <w:spacing w:before="16"/>
        <w:ind w:left="380" w:right="0" w:firstLine="0"/>
        <w:jc w:val="left"/>
        <w:rPr>
          <w:sz w:val="27"/>
        </w:rPr>
      </w:pPr>
      <w:r>
        <w:rPr>
          <w:b/>
          <w:w w:val="105"/>
          <w:sz w:val="27"/>
        </w:rPr>
        <w:t>Пояснения: </w:t>
      </w:r>
      <w:r>
        <w:rPr>
          <w:w w:val="105"/>
          <w:sz w:val="27"/>
        </w:rPr>
        <w:t>нет</w:t>
      </w:r>
    </w:p>
    <w:p>
      <w:pPr>
        <w:pStyle w:val="BodyText"/>
        <w:spacing w:before="0"/>
        <w:ind w:left="0"/>
        <w:jc w:val="left"/>
        <w:rPr>
          <w:sz w:val="36"/>
        </w:rPr>
      </w:pPr>
    </w:p>
    <w:p>
      <w:pPr>
        <w:pStyle w:val="BodyText"/>
        <w:spacing w:before="12"/>
        <w:ind w:left="0"/>
        <w:jc w:val="left"/>
        <w:rPr>
          <w:sz w:val="34"/>
        </w:rPr>
      </w:pPr>
    </w:p>
    <w:p>
      <w:pPr>
        <w:spacing w:line="434" w:lineRule="auto" w:before="0"/>
        <w:ind w:left="380" w:right="239" w:firstLine="0"/>
        <w:jc w:val="left"/>
        <w:rPr>
          <w:sz w:val="27"/>
        </w:rPr>
      </w:pPr>
      <w:r>
        <w:rPr>
          <w:b/>
          <w:spacing w:val="-3"/>
          <w:sz w:val="27"/>
        </w:rPr>
        <w:t>Таблица </w:t>
      </w:r>
      <w:r>
        <w:rPr>
          <w:b/>
          <w:sz w:val="27"/>
        </w:rPr>
        <w:t>П5/Г3. Шкала сонливости Эпворта (Epworth) Название на </w:t>
      </w:r>
      <w:r>
        <w:rPr>
          <w:b/>
          <w:spacing w:val="-3"/>
          <w:sz w:val="27"/>
        </w:rPr>
        <w:t>русском </w:t>
      </w:r>
      <w:r>
        <w:rPr>
          <w:b/>
          <w:sz w:val="27"/>
        </w:rPr>
        <w:t>языке: </w:t>
      </w:r>
      <w:r>
        <w:rPr>
          <w:sz w:val="27"/>
        </w:rPr>
        <w:t>Шкала сонливости Эпворта </w:t>
      </w:r>
      <w:r>
        <w:rPr>
          <w:b/>
          <w:sz w:val="27"/>
        </w:rPr>
        <w:t>Оригинальное название (если есть): </w:t>
      </w:r>
      <w:r>
        <w:rPr>
          <w:sz w:val="27"/>
        </w:rPr>
        <w:t>Epworth Sleepiness </w:t>
      </w:r>
      <w:r>
        <w:rPr>
          <w:spacing w:val="15"/>
          <w:sz w:val="27"/>
        </w:rPr>
        <w:t> </w:t>
      </w:r>
      <w:r>
        <w:rPr>
          <w:sz w:val="27"/>
        </w:rPr>
        <w:t>Scale</w:t>
      </w:r>
    </w:p>
    <w:p>
      <w:pPr>
        <w:spacing w:line="256" w:lineRule="auto" w:before="3"/>
        <w:ind w:left="380" w:right="0" w:firstLine="0"/>
        <w:jc w:val="left"/>
        <w:rPr>
          <w:sz w:val="27"/>
        </w:rPr>
      </w:pPr>
      <w:r>
        <w:rPr>
          <w:b/>
          <w:sz w:val="27"/>
        </w:rPr>
        <w:t>Источник (официальный сайт разработчиков, публикация с </w:t>
      </w:r>
      <w:r>
        <w:rPr>
          <w:b/>
          <w:w w:val="105"/>
          <w:sz w:val="27"/>
        </w:rPr>
        <w:t>валидацией):</w:t>
      </w:r>
      <w:r>
        <w:rPr>
          <w:b/>
          <w:spacing w:val="-23"/>
          <w:w w:val="105"/>
          <w:sz w:val="27"/>
        </w:rPr>
        <w:t> </w:t>
      </w:r>
      <w:r>
        <w:rPr>
          <w:w w:val="105"/>
          <w:sz w:val="27"/>
        </w:rPr>
        <w:t>https://epworthsleepinessscale.com/about-the-ess/</w:t>
      </w:r>
    </w:p>
    <w:p>
      <w:pPr>
        <w:pStyle w:val="Heading3"/>
        <w:ind w:left="380"/>
      </w:pPr>
      <w:r>
        <w:rPr/>
        <w:t>Тип (подчеркнуть):</w:t>
      </w:r>
    </w:p>
    <w:p>
      <w:pPr>
        <w:pStyle w:val="ListParagraph"/>
        <w:numPr>
          <w:ilvl w:val="0"/>
          <w:numId w:val="17"/>
        </w:numPr>
        <w:tabs>
          <w:tab w:pos="938" w:val="left" w:leader="none"/>
        </w:tabs>
        <w:spacing w:line="240" w:lineRule="auto" w:before="296" w:after="0"/>
        <w:ind w:left="937" w:right="0" w:hanging="306"/>
        <w:jc w:val="left"/>
        <w:rPr>
          <w:sz w:val="27"/>
        </w:rPr>
      </w:pPr>
      <w:r>
        <w:rPr>
          <w:sz w:val="27"/>
          <w:u w:val="single"/>
        </w:rPr>
        <w:t>шкала</w:t>
      </w:r>
      <w:r>
        <w:rPr>
          <w:spacing w:val="-3"/>
          <w:sz w:val="27"/>
          <w:u w:val="single"/>
        </w:rPr>
        <w:t> </w:t>
      </w:r>
      <w:r>
        <w:rPr>
          <w:sz w:val="27"/>
          <w:u w:val="single"/>
        </w:rPr>
        <w:t>оценки</w:t>
      </w:r>
    </w:p>
    <w:p>
      <w:pPr>
        <w:spacing w:after="0" w:line="240" w:lineRule="auto"/>
        <w:jc w:val="left"/>
        <w:rPr>
          <w:sz w:val="27"/>
        </w:rPr>
        <w:sectPr>
          <w:pgSz w:w="11900" w:h="16840"/>
          <w:pgMar w:top="0" w:bottom="280" w:left="1420" w:right="1520"/>
        </w:sectPr>
      </w:pPr>
    </w:p>
    <w:p>
      <w:pPr>
        <w:pStyle w:val="ListParagraph"/>
        <w:numPr>
          <w:ilvl w:val="0"/>
          <w:numId w:val="17"/>
        </w:numPr>
        <w:tabs>
          <w:tab w:pos="938" w:val="left" w:leader="none"/>
        </w:tabs>
        <w:spacing w:line="240" w:lineRule="auto" w:before="16" w:after="0"/>
        <w:ind w:left="937" w:right="0" w:hanging="306"/>
        <w:jc w:val="left"/>
        <w:rPr>
          <w:sz w:val="27"/>
        </w:rPr>
      </w:pPr>
      <w:r>
        <w:rPr>
          <w:w w:val="105"/>
          <w:sz w:val="27"/>
        </w:rPr>
        <w:t>индекс</w:t>
      </w:r>
    </w:p>
    <w:p>
      <w:pPr>
        <w:pStyle w:val="ListParagraph"/>
        <w:numPr>
          <w:ilvl w:val="0"/>
          <w:numId w:val="17"/>
        </w:numPr>
        <w:tabs>
          <w:tab w:pos="938" w:val="left" w:leader="none"/>
        </w:tabs>
        <w:spacing w:line="240" w:lineRule="auto" w:before="296" w:after="0"/>
        <w:ind w:left="937" w:right="0" w:hanging="306"/>
        <w:jc w:val="left"/>
        <w:rPr>
          <w:sz w:val="27"/>
        </w:rPr>
      </w:pPr>
      <w:r>
        <w:rPr>
          <w:sz w:val="27"/>
        </w:rPr>
        <w:t>вопросник</w:t>
      </w:r>
    </w:p>
    <w:p>
      <w:pPr>
        <w:pStyle w:val="ListParagraph"/>
        <w:numPr>
          <w:ilvl w:val="0"/>
          <w:numId w:val="17"/>
        </w:numPr>
        <w:tabs>
          <w:tab w:pos="938" w:val="left" w:leader="none"/>
        </w:tabs>
        <w:spacing w:line="240" w:lineRule="auto" w:before="296" w:after="0"/>
        <w:ind w:left="937" w:right="0" w:hanging="306"/>
        <w:jc w:val="left"/>
        <w:rPr>
          <w:sz w:val="27"/>
        </w:rPr>
      </w:pPr>
      <w:r>
        <w:rPr>
          <w:w w:val="105"/>
          <w:sz w:val="27"/>
        </w:rPr>
        <w:t>другое</w:t>
      </w:r>
      <w:r>
        <w:rPr>
          <w:spacing w:val="-7"/>
          <w:w w:val="105"/>
          <w:sz w:val="27"/>
        </w:rPr>
        <w:t> </w:t>
      </w:r>
      <w:r>
        <w:rPr>
          <w:w w:val="105"/>
          <w:sz w:val="27"/>
        </w:rPr>
        <w:t>(уточнить):</w:t>
      </w:r>
    </w:p>
    <w:p>
      <w:pPr>
        <w:pStyle w:val="BodyText"/>
        <w:spacing w:line="256" w:lineRule="auto" w:before="297"/>
        <w:ind w:left="380" w:right="129"/>
      </w:pPr>
      <w:r>
        <w:rPr>
          <w:b/>
        </w:rPr>
        <w:t>Назначение: </w:t>
      </w:r>
      <w:r>
        <w:rPr/>
        <w:t>серия вопросов, которые используют для изучения воздействия сна на дневной образ жизни.</w:t>
      </w:r>
    </w:p>
    <w:p>
      <w:pPr>
        <w:pStyle w:val="Heading3"/>
        <w:spacing w:before="270"/>
        <w:ind w:left="380"/>
        <w:jc w:val="both"/>
      </w:pPr>
      <w:r>
        <w:rPr/>
        <w:t>Содержание (шаблон):</w:t>
      </w:r>
    </w:p>
    <w:p>
      <w:pPr>
        <w:pStyle w:val="BodyText"/>
        <w:spacing w:line="256" w:lineRule="auto" w:before="296"/>
        <w:ind w:left="380" w:right="129"/>
      </w:pPr>
      <w:r>
        <w:rPr/>
        <w:t>Насколько вероятно то, что вы можете задремать или уснуть в ситуациях, описанных ниже, по сравнению с ощущением обычной</w:t>
      </w:r>
      <w:r>
        <w:rPr>
          <w:spacing w:val="63"/>
        </w:rPr>
        <w:t> </w:t>
      </w:r>
      <w:r>
        <w:rPr/>
        <w:t>усталости?</w:t>
      </w:r>
    </w:p>
    <w:p>
      <w:pPr>
        <w:pStyle w:val="BodyText"/>
        <w:spacing w:before="0"/>
        <w:ind w:left="0"/>
        <w:jc w:val="left"/>
        <w:rPr>
          <w:sz w:val="36"/>
        </w:rPr>
      </w:pPr>
    </w:p>
    <w:p>
      <w:pPr>
        <w:pStyle w:val="BodyText"/>
        <w:ind w:left="0"/>
        <w:jc w:val="left"/>
        <w:rPr>
          <w:sz w:val="33"/>
        </w:rPr>
      </w:pPr>
    </w:p>
    <w:p>
      <w:pPr>
        <w:pStyle w:val="BodyText"/>
        <w:spacing w:line="256" w:lineRule="auto" w:before="0"/>
        <w:ind w:left="380" w:right="134"/>
      </w:pPr>
      <w:r>
        <w:rPr/>
        <w:t>Речь идет об обычном вашем состоянии в последнее время. Даже если вы не были в подобных ситуациях в последнее время, то постарайтесь представить себе, как бы эти ситуации повлияли на вас. Используйте эту шкалу и выбирете наиболее подходящее число для каждой ситуации.</w:t>
      </w:r>
    </w:p>
    <w:p>
      <w:pPr>
        <w:pStyle w:val="BodyText"/>
        <w:spacing w:before="0"/>
        <w:ind w:left="0"/>
        <w:jc w:val="left"/>
        <w:rPr>
          <w:sz w:val="36"/>
        </w:rPr>
      </w:pPr>
    </w:p>
    <w:p>
      <w:pPr>
        <w:pStyle w:val="BodyText"/>
        <w:ind w:left="0"/>
        <w:jc w:val="left"/>
        <w:rPr>
          <w:sz w:val="33"/>
        </w:rPr>
      </w:pPr>
    </w:p>
    <w:p>
      <w:pPr>
        <w:pStyle w:val="ListParagraph"/>
        <w:numPr>
          <w:ilvl w:val="0"/>
          <w:numId w:val="18"/>
        </w:numPr>
        <w:tabs>
          <w:tab w:pos="681" w:val="left" w:leader="none"/>
        </w:tabs>
        <w:spacing w:line="240" w:lineRule="auto" w:before="1" w:after="0"/>
        <w:ind w:left="680" w:right="0" w:hanging="286"/>
        <w:jc w:val="left"/>
        <w:rPr>
          <w:sz w:val="27"/>
        </w:rPr>
      </w:pPr>
      <w:r>
        <w:rPr>
          <w:b/>
          <w:w w:val="105"/>
          <w:sz w:val="27"/>
        </w:rPr>
        <w:t>- </w:t>
      </w:r>
      <w:r>
        <w:rPr>
          <w:w w:val="105"/>
          <w:sz w:val="27"/>
        </w:rPr>
        <w:t>никогда бы не заснул/не</w:t>
      </w:r>
      <w:r>
        <w:rPr>
          <w:spacing w:val="-31"/>
          <w:w w:val="105"/>
          <w:sz w:val="27"/>
        </w:rPr>
        <w:t> </w:t>
      </w:r>
      <w:r>
        <w:rPr>
          <w:w w:val="105"/>
          <w:sz w:val="27"/>
        </w:rPr>
        <w:t>задремал</w:t>
      </w:r>
    </w:p>
    <w:p>
      <w:pPr>
        <w:pStyle w:val="ListParagraph"/>
        <w:numPr>
          <w:ilvl w:val="0"/>
          <w:numId w:val="18"/>
        </w:numPr>
        <w:tabs>
          <w:tab w:pos="681" w:val="left" w:leader="none"/>
        </w:tabs>
        <w:spacing w:line="240" w:lineRule="auto" w:before="26" w:after="0"/>
        <w:ind w:left="680" w:right="0" w:hanging="286"/>
        <w:jc w:val="left"/>
        <w:rPr>
          <w:sz w:val="27"/>
        </w:rPr>
      </w:pPr>
      <w:r>
        <w:rPr>
          <w:b/>
          <w:w w:val="105"/>
          <w:sz w:val="27"/>
        </w:rPr>
        <w:t>-</w:t>
      </w:r>
      <w:r>
        <w:rPr>
          <w:b/>
          <w:spacing w:val="-8"/>
          <w:w w:val="105"/>
          <w:sz w:val="27"/>
        </w:rPr>
        <w:t> </w:t>
      </w:r>
      <w:r>
        <w:rPr>
          <w:w w:val="105"/>
          <w:sz w:val="27"/>
        </w:rPr>
        <w:t>очень</w:t>
      </w:r>
      <w:r>
        <w:rPr>
          <w:spacing w:val="-14"/>
          <w:w w:val="105"/>
          <w:sz w:val="27"/>
        </w:rPr>
        <w:t> </w:t>
      </w:r>
      <w:r>
        <w:rPr>
          <w:w w:val="105"/>
          <w:sz w:val="27"/>
        </w:rPr>
        <w:t>небольшая</w:t>
      </w:r>
      <w:r>
        <w:rPr>
          <w:spacing w:val="-13"/>
          <w:w w:val="105"/>
          <w:sz w:val="27"/>
        </w:rPr>
        <w:t> </w:t>
      </w:r>
      <w:r>
        <w:rPr>
          <w:w w:val="105"/>
          <w:sz w:val="27"/>
        </w:rPr>
        <w:t>вероятность</w:t>
      </w:r>
      <w:r>
        <w:rPr>
          <w:spacing w:val="-14"/>
          <w:w w:val="105"/>
          <w:sz w:val="27"/>
        </w:rPr>
        <w:t> </w:t>
      </w:r>
      <w:r>
        <w:rPr>
          <w:w w:val="105"/>
          <w:sz w:val="27"/>
        </w:rPr>
        <w:t>заснуть</w:t>
      </w:r>
      <w:r>
        <w:rPr>
          <w:spacing w:val="-14"/>
          <w:w w:val="105"/>
          <w:sz w:val="27"/>
        </w:rPr>
        <w:t> </w:t>
      </w:r>
      <w:r>
        <w:rPr>
          <w:w w:val="105"/>
          <w:sz w:val="27"/>
        </w:rPr>
        <w:t>или</w:t>
      </w:r>
      <w:r>
        <w:rPr>
          <w:spacing w:val="-13"/>
          <w:w w:val="105"/>
          <w:sz w:val="27"/>
        </w:rPr>
        <w:t> </w:t>
      </w:r>
      <w:r>
        <w:rPr>
          <w:w w:val="105"/>
          <w:sz w:val="27"/>
        </w:rPr>
        <w:t>задремать</w:t>
      </w:r>
    </w:p>
    <w:p>
      <w:pPr>
        <w:pStyle w:val="ListParagraph"/>
        <w:numPr>
          <w:ilvl w:val="0"/>
          <w:numId w:val="18"/>
        </w:numPr>
        <w:tabs>
          <w:tab w:pos="681" w:val="left" w:leader="none"/>
        </w:tabs>
        <w:spacing w:line="240" w:lineRule="auto" w:before="25" w:after="0"/>
        <w:ind w:left="680" w:right="0" w:hanging="286"/>
        <w:jc w:val="left"/>
        <w:rPr>
          <w:sz w:val="27"/>
        </w:rPr>
      </w:pPr>
      <w:r>
        <w:rPr>
          <w:b/>
          <w:w w:val="105"/>
          <w:sz w:val="27"/>
        </w:rPr>
        <w:t>- </w:t>
      </w:r>
      <w:r>
        <w:rPr>
          <w:w w:val="105"/>
          <w:sz w:val="27"/>
        </w:rPr>
        <w:t>вероятно, засну или</w:t>
      </w:r>
      <w:r>
        <w:rPr>
          <w:spacing w:val="-33"/>
          <w:w w:val="105"/>
          <w:sz w:val="27"/>
        </w:rPr>
        <w:t> </w:t>
      </w:r>
      <w:r>
        <w:rPr>
          <w:w w:val="105"/>
          <w:sz w:val="27"/>
        </w:rPr>
        <w:t>задремлю</w:t>
      </w:r>
    </w:p>
    <w:p>
      <w:pPr>
        <w:pStyle w:val="ListParagraph"/>
        <w:numPr>
          <w:ilvl w:val="0"/>
          <w:numId w:val="18"/>
        </w:numPr>
        <w:tabs>
          <w:tab w:pos="681" w:val="left" w:leader="none"/>
        </w:tabs>
        <w:spacing w:line="240" w:lineRule="auto" w:before="26" w:after="0"/>
        <w:ind w:left="680" w:right="0" w:hanging="286"/>
        <w:jc w:val="left"/>
        <w:rPr>
          <w:sz w:val="27"/>
        </w:rPr>
      </w:pPr>
      <w:r>
        <w:rPr>
          <w:b/>
          <w:w w:val="105"/>
          <w:sz w:val="27"/>
        </w:rPr>
        <w:t>- </w:t>
      </w:r>
      <w:r>
        <w:rPr>
          <w:w w:val="105"/>
          <w:sz w:val="27"/>
        </w:rPr>
        <w:t>большая вероятность заснуть или</w:t>
      </w:r>
      <w:r>
        <w:rPr>
          <w:spacing w:val="-45"/>
          <w:w w:val="105"/>
          <w:sz w:val="27"/>
        </w:rPr>
        <w:t> </w:t>
      </w:r>
      <w:r>
        <w:rPr>
          <w:w w:val="105"/>
          <w:sz w:val="27"/>
        </w:rPr>
        <w:t>задремать</w:t>
      </w:r>
    </w:p>
    <w:p>
      <w:pPr>
        <w:pStyle w:val="BodyText"/>
        <w:spacing w:before="0"/>
        <w:ind w:left="0"/>
        <w:jc w:val="left"/>
        <w:rPr>
          <w:sz w:val="20"/>
        </w:rPr>
      </w:pPr>
    </w:p>
    <w:p>
      <w:pPr>
        <w:pStyle w:val="BodyText"/>
        <w:spacing w:before="0"/>
        <w:ind w:left="0"/>
        <w:jc w:val="left"/>
        <w:rPr>
          <w:sz w:val="20"/>
        </w:rPr>
      </w:pPr>
    </w:p>
    <w:p>
      <w:pPr>
        <w:pStyle w:val="BodyText"/>
        <w:spacing w:before="9"/>
        <w:ind w:left="0"/>
        <w:jc w:val="left"/>
        <w:rPr>
          <w:sz w:val="29"/>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81"/>
        <w:gridCol w:w="665"/>
        <w:gridCol w:w="4108"/>
        <w:gridCol w:w="325"/>
        <w:gridCol w:w="553"/>
        <w:gridCol w:w="657"/>
        <w:gridCol w:w="628"/>
        <w:gridCol w:w="821"/>
      </w:tblGrid>
      <w:tr>
        <w:trPr>
          <w:trHeight w:val="460" w:hRule="atLeast"/>
        </w:trPr>
        <w:tc>
          <w:tcPr>
            <w:tcW w:w="681" w:type="dxa"/>
            <w:tcBorders>
              <w:right w:val="nil"/>
            </w:tcBorders>
          </w:tcPr>
          <w:p>
            <w:pPr>
              <w:pStyle w:val="TableParagraph"/>
              <w:ind w:left="0" w:right="19"/>
              <w:jc w:val="right"/>
              <w:rPr>
                <w:sz w:val="16"/>
              </w:rPr>
            </w:pPr>
            <w:r>
              <w:rPr>
                <w:w w:val="105"/>
                <w:sz w:val="16"/>
              </w:rPr>
              <w:t>Когда</w:t>
            </w:r>
          </w:p>
        </w:tc>
        <w:tc>
          <w:tcPr>
            <w:tcW w:w="665" w:type="dxa"/>
            <w:tcBorders>
              <w:left w:val="nil"/>
              <w:right w:val="nil"/>
            </w:tcBorders>
          </w:tcPr>
          <w:p>
            <w:pPr>
              <w:pStyle w:val="TableParagraph"/>
              <w:ind w:left="12" w:right="15"/>
              <w:jc w:val="center"/>
              <w:rPr>
                <w:sz w:val="16"/>
              </w:rPr>
            </w:pPr>
            <w:r>
              <w:rPr>
                <w:w w:val="105"/>
                <w:sz w:val="16"/>
              </w:rPr>
              <w:t>сижу и</w:t>
            </w:r>
          </w:p>
        </w:tc>
        <w:tc>
          <w:tcPr>
            <w:tcW w:w="4108" w:type="dxa"/>
            <w:tcBorders>
              <w:left w:val="nil"/>
              <w:right w:val="nil"/>
            </w:tcBorders>
          </w:tcPr>
          <w:p>
            <w:pPr>
              <w:pStyle w:val="TableParagraph"/>
              <w:ind w:left="16"/>
              <w:rPr>
                <w:sz w:val="16"/>
              </w:rPr>
            </w:pPr>
            <w:r>
              <w:rPr>
                <w:w w:val="105"/>
                <w:sz w:val="16"/>
              </w:rPr>
              <w:t>читаю</w:t>
            </w:r>
          </w:p>
        </w:tc>
        <w:tc>
          <w:tcPr>
            <w:tcW w:w="325" w:type="dxa"/>
            <w:tcBorders>
              <w:left w:val="nil"/>
            </w:tcBorders>
          </w:tcPr>
          <w:p>
            <w:pPr>
              <w:pStyle w:val="TableParagraph"/>
              <w:spacing w:before="0"/>
              <w:ind w:left="0"/>
              <w:rPr>
                <w:rFonts w:ascii="Times New Roman"/>
                <w:sz w:val="22"/>
              </w:rPr>
            </w:pP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r>
        <w:trPr>
          <w:trHeight w:val="460" w:hRule="atLeast"/>
        </w:trPr>
        <w:tc>
          <w:tcPr>
            <w:tcW w:w="681" w:type="dxa"/>
            <w:tcBorders>
              <w:right w:val="nil"/>
            </w:tcBorders>
          </w:tcPr>
          <w:p>
            <w:pPr>
              <w:pStyle w:val="TableParagraph"/>
              <w:ind w:left="0" w:right="19"/>
              <w:jc w:val="right"/>
              <w:rPr>
                <w:sz w:val="16"/>
              </w:rPr>
            </w:pPr>
            <w:r>
              <w:rPr>
                <w:w w:val="105"/>
                <w:sz w:val="16"/>
              </w:rPr>
              <w:t>Когда</w:t>
            </w:r>
          </w:p>
        </w:tc>
        <w:tc>
          <w:tcPr>
            <w:tcW w:w="665" w:type="dxa"/>
            <w:tcBorders>
              <w:left w:val="nil"/>
              <w:right w:val="nil"/>
            </w:tcBorders>
          </w:tcPr>
          <w:p>
            <w:pPr>
              <w:pStyle w:val="TableParagraph"/>
              <w:ind w:left="33"/>
              <w:jc w:val="center"/>
              <w:rPr>
                <w:sz w:val="16"/>
              </w:rPr>
            </w:pPr>
            <w:r>
              <w:rPr>
                <w:sz w:val="16"/>
              </w:rPr>
              <w:t>смотрю</w:t>
            </w:r>
          </w:p>
        </w:tc>
        <w:tc>
          <w:tcPr>
            <w:tcW w:w="4108" w:type="dxa"/>
            <w:tcBorders>
              <w:left w:val="nil"/>
              <w:right w:val="nil"/>
            </w:tcBorders>
          </w:tcPr>
          <w:p>
            <w:pPr>
              <w:pStyle w:val="TableParagraph"/>
              <w:ind w:left="55"/>
              <w:rPr>
                <w:sz w:val="16"/>
              </w:rPr>
            </w:pPr>
            <w:r>
              <w:rPr>
                <w:w w:val="105"/>
                <w:sz w:val="16"/>
              </w:rPr>
              <w:t>телевизор</w:t>
            </w:r>
          </w:p>
        </w:tc>
        <w:tc>
          <w:tcPr>
            <w:tcW w:w="325" w:type="dxa"/>
            <w:tcBorders>
              <w:left w:val="nil"/>
            </w:tcBorders>
          </w:tcPr>
          <w:p>
            <w:pPr>
              <w:pStyle w:val="TableParagraph"/>
              <w:spacing w:before="0"/>
              <w:ind w:left="0"/>
              <w:rPr>
                <w:rFonts w:ascii="Times New Roman"/>
                <w:sz w:val="22"/>
              </w:rPr>
            </w:pP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r>
        <w:trPr>
          <w:trHeight w:val="625" w:hRule="atLeast"/>
        </w:trPr>
        <w:tc>
          <w:tcPr>
            <w:tcW w:w="5454" w:type="dxa"/>
            <w:gridSpan w:val="3"/>
            <w:tcBorders>
              <w:right w:val="nil"/>
            </w:tcBorders>
          </w:tcPr>
          <w:p>
            <w:pPr>
              <w:pStyle w:val="TableParagraph"/>
              <w:spacing w:line="204" w:lineRule="auto" w:before="161"/>
              <w:rPr>
                <w:sz w:val="16"/>
              </w:rPr>
            </w:pPr>
            <w:r>
              <w:rPr>
                <w:w w:val="105"/>
                <w:sz w:val="16"/>
              </w:rPr>
              <w:t>Когда сижу и не произвожу никаких активных действий общественном месте (например, в театре, на собрании):</w:t>
            </w:r>
          </w:p>
        </w:tc>
        <w:tc>
          <w:tcPr>
            <w:tcW w:w="325" w:type="dxa"/>
            <w:tcBorders>
              <w:left w:val="nil"/>
            </w:tcBorders>
          </w:tcPr>
          <w:p>
            <w:pPr>
              <w:pStyle w:val="TableParagraph"/>
              <w:ind w:left="61"/>
              <w:rPr>
                <w:sz w:val="16"/>
              </w:rPr>
            </w:pPr>
            <w:r>
              <w:rPr>
                <w:w w:val="103"/>
                <w:sz w:val="16"/>
              </w:rPr>
              <w:t>в</w:t>
            </w: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r>
        <w:trPr>
          <w:trHeight w:val="625" w:hRule="atLeast"/>
        </w:trPr>
        <w:tc>
          <w:tcPr>
            <w:tcW w:w="5779" w:type="dxa"/>
            <w:gridSpan w:val="4"/>
          </w:tcPr>
          <w:p>
            <w:pPr>
              <w:pStyle w:val="TableParagraph"/>
              <w:spacing w:line="204" w:lineRule="auto" w:before="161"/>
              <w:rPr>
                <w:sz w:val="16"/>
              </w:rPr>
            </w:pPr>
            <w:r>
              <w:rPr>
                <w:w w:val="105"/>
                <w:sz w:val="16"/>
              </w:rPr>
              <w:t>Когда еду в машине в качестве пассажира в течение часа без остановки</w:t>
            </w: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r>
        <w:trPr>
          <w:trHeight w:val="460" w:hRule="atLeast"/>
        </w:trPr>
        <w:tc>
          <w:tcPr>
            <w:tcW w:w="5779" w:type="dxa"/>
            <w:gridSpan w:val="4"/>
          </w:tcPr>
          <w:p>
            <w:pPr>
              <w:pStyle w:val="TableParagraph"/>
              <w:rPr>
                <w:sz w:val="16"/>
              </w:rPr>
            </w:pPr>
            <w:r>
              <w:rPr>
                <w:w w:val="105"/>
                <w:sz w:val="16"/>
              </w:rPr>
              <w:t>Когда лежу днем и отдыхаю, если позволяют обстоятельства:</w:t>
            </w: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r>
        <w:trPr>
          <w:trHeight w:val="460" w:hRule="atLeast"/>
        </w:trPr>
        <w:tc>
          <w:tcPr>
            <w:tcW w:w="5779" w:type="dxa"/>
            <w:gridSpan w:val="4"/>
          </w:tcPr>
          <w:p>
            <w:pPr>
              <w:pStyle w:val="TableParagraph"/>
              <w:rPr>
                <w:sz w:val="16"/>
              </w:rPr>
            </w:pPr>
            <w:r>
              <w:rPr>
                <w:w w:val="105"/>
                <w:sz w:val="16"/>
              </w:rPr>
              <w:t>Когда сижу и с кем-то разговариваю</w:t>
            </w: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r>
        <w:trPr>
          <w:trHeight w:val="460" w:hRule="atLeast"/>
        </w:trPr>
        <w:tc>
          <w:tcPr>
            <w:tcW w:w="5779" w:type="dxa"/>
            <w:gridSpan w:val="4"/>
          </w:tcPr>
          <w:p>
            <w:pPr>
              <w:pStyle w:val="TableParagraph"/>
              <w:rPr>
                <w:sz w:val="16"/>
              </w:rPr>
            </w:pPr>
            <w:r>
              <w:rPr>
                <w:w w:val="105"/>
                <w:sz w:val="16"/>
              </w:rPr>
              <w:t>Когда спокойно сижу после обеда (без алкоголя):</w:t>
            </w: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r>
        <w:trPr>
          <w:trHeight w:val="460" w:hRule="atLeast"/>
        </w:trPr>
        <w:tc>
          <w:tcPr>
            <w:tcW w:w="5779" w:type="dxa"/>
            <w:gridSpan w:val="4"/>
          </w:tcPr>
          <w:p>
            <w:pPr>
              <w:pStyle w:val="TableParagraph"/>
              <w:rPr>
                <w:sz w:val="16"/>
              </w:rPr>
            </w:pPr>
            <w:r>
              <w:rPr>
                <w:w w:val="105"/>
                <w:sz w:val="16"/>
              </w:rPr>
              <w:t>В машине, если она на несколько минут остановилась</w:t>
            </w:r>
          </w:p>
        </w:tc>
        <w:tc>
          <w:tcPr>
            <w:tcW w:w="553" w:type="dxa"/>
            <w:tcBorders>
              <w:right w:val="nil"/>
            </w:tcBorders>
          </w:tcPr>
          <w:p>
            <w:pPr>
              <w:pStyle w:val="TableParagraph"/>
              <w:ind w:left="153"/>
              <w:rPr>
                <w:sz w:val="16"/>
              </w:rPr>
            </w:pPr>
            <w:r>
              <w:rPr>
                <w:w w:val="103"/>
                <w:sz w:val="16"/>
              </w:rPr>
              <w:t>0</w:t>
            </w:r>
          </w:p>
        </w:tc>
        <w:tc>
          <w:tcPr>
            <w:tcW w:w="657" w:type="dxa"/>
            <w:tcBorders>
              <w:left w:val="nil"/>
              <w:right w:val="nil"/>
            </w:tcBorders>
          </w:tcPr>
          <w:p>
            <w:pPr>
              <w:pStyle w:val="TableParagraph"/>
              <w:ind w:left="39"/>
              <w:jc w:val="center"/>
              <w:rPr>
                <w:sz w:val="16"/>
              </w:rPr>
            </w:pPr>
            <w:r>
              <w:rPr>
                <w:w w:val="103"/>
                <w:sz w:val="16"/>
              </w:rPr>
              <w:t>1</w:t>
            </w:r>
          </w:p>
        </w:tc>
        <w:tc>
          <w:tcPr>
            <w:tcW w:w="628" w:type="dxa"/>
            <w:tcBorders>
              <w:left w:val="nil"/>
              <w:right w:val="nil"/>
            </w:tcBorders>
          </w:tcPr>
          <w:p>
            <w:pPr>
              <w:pStyle w:val="TableParagraph"/>
              <w:ind w:left="8"/>
              <w:jc w:val="center"/>
              <w:rPr>
                <w:sz w:val="16"/>
              </w:rPr>
            </w:pPr>
            <w:r>
              <w:rPr>
                <w:w w:val="103"/>
                <w:sz w:val="16"/>
              </w:rPr>
              <w:t>2</w:t>
            </w:r>
          </w:p>
        </w:tc>
        <w:tc>
          <w:tcPr>
            <w:tcW w:w="821" w:type="dxa"/>
            <w:tcBorders>
              <w:left w:val="nil"/>
            </w:tcBorders>
          </w:tcPr>
          <w:p>
            <w:pPr>
              <w:pStyle w:val="TableParagraph"/>
              <w:ind w:left="265"/>
              <w:rPr>
                <w:sz w:val="16"/>
              </w:rPr>
            </w:pPr>
            <w:r>
              <w:rPr>
                <w:w w:val="103"/>
                <w:sz w:val="16"/>
              </w:rPr>
              <w:t>3</w:t>
            </w:r>
          </w:p>
        </w:tc>
      </w:tr>
    </w:tbl>
    <w:p>
      <w:pPr>
        <w:pStyle w:val="BodyText"/>
        <w:spacing w:before="0"/>
        <w:ind w:left="0"/>
        <w:jc w:val="left"/>
        <w:rPr>
          <w:sz w:val="20"/>
        </w:rPr>
      </w:pPr>
    </w:p>
    <w:p>
      <w:pPr>
        <w:pStyle w:val="BodyText"/>
        <w:spacing w:before="13"/>
        <w:ind w:left="0"/>
        <w:jc w:val="left"/>
        <w:rPr>
          <w:sz w:val="22"/>
        </w:rPr>
      </w:pPr>
    </w:p>
    <w:p>
      <w:pPr>
        <w:pStyle w:val="Heading3"/>
        <w:spacing w:before="97"/>
        <w:ind w:left="380"/>
      </w:pPr>
      <w:r>
        <w:rPr/>
        <w:t>Ключ (интерпретация):</w:t>
      </w:r>
    </w:p>
    <w:p>
      <w:pPr>
        <w:spacing w:after="0"/>
        <w:sectPr>
          <w:pgSz w:w="11900" w:h="16840"/>
          <w:pgMar w:top="0" w:bottom="280" w:left="1420" w:right="1520"/>
        </w:sectPr>
      </w:pPr>
    </w:p>
    <w:p>
      <w:pPr>
        <w:pStyle w:val="BodyText"/>
        <w:tabs>
          <w:tab w:pos="2848" w:val="left" w:leader="none"/>
        </w:tabs>
        <w:spacing w:before="16"/>
        <w:ind w:left="380"/>
        <w:jc w:val="left"/>
      </w:pPr>
      <w:r>
        <w:rPr/>
        <w:pict>
          <v:shape style="position:absolute;margin-left:90.037003pt;margin-top:841.848022pt;width:422.45pt;height:.1pt;mso-position-horizontal-relative:page;mso-position-vertical-relative:page;z-index:15976960" coordorigin="1801,16837" coordsize="8449,1" path="m10249,16837l10249,16837,1801,16837,1801,16837,10249,16837xe" filled="true" fillcolor="#000000" stroked="false">
            <v:path arrowok="t"/>
            <v:fill type="solid"/>
            <w10:wrap type="none"/>
          </v:shape>
        </w:pict>
      </w:r>
      <w:r>
        <w:rPr/>
        <w:t>1 —</w:t>
      </w:r>
      <w:r>
        <w:rPr>
          <w:spacing w:val="-4"/>
        </w:rPr>
        <w:t> </w:t>
      </w:r>
      <w:r>
        <w:rPr/>
        <w:t>6</w:t>
      </w:r>
      <w:r>
        <w:rPr>
          <w:spacing w:val="-2"/>
        </w:rPr>
        <w:t> </w:t>
      </w:r>
      <w:r>
        <w:rPr/>
        <w:t>баллов:</w:t>
        <w:tab/>
        <w:t>Нормальный</w:t>
      </w:r>
      <w:r>
        <w:rPr>
          <w:spacing w:val="-2"/>
        </w:rPr>
        <w:t> </w:t>
      </w:r>
      <w:r>
        <w:rPr/>
        <w:t>сон</w:t>
      </w:r>
    </w:p>
    <w:p>
      <w:pPr>
        <w:pStyle w:val="BodyText"/>
        <w:tabs>
          <w:tab w:pos="2848" w:val="left" w:leader="none"/>
        </w:tabs>
        <w:spacing w:before="296"/>
        <w:ind w:left="380"/>
        <w:jc w:val="left"/>
      </w:pPr>
      <w:r>
        <w:rPr/>
        <w:t>7 —</w:t>
      </w:r>
      <w:r>
        <w:rPr>
          <w:spacing w:val="-4"/>
        </w:rPr>
        <w:t> </w:t>
      </w:r>
      <w:r>
        <w:rPr/>
        <w:t>8</w:t>
      </w:r>
      <w:r>
        <w:rPr>
          <w:spacing w:val="-2"/>
        </w:rPr>
        <w:t> </w:t>
      </w:r>
      <w:r>
        <w:rPr/>
        <w:t>баллов:</w:t>
        <w:tab/>
        <w:t>Умеренная</w:t>
      </w:r>
      <w:r>
        <w:rPr>
          <w:spacing w:val="-2"/>
        </w:rPr>
        <w:t> </w:t>
      </w:r>
      <w:r>
        <w:rPr/>
        <w:t>сонливость</w:t>
      </w:r>
    </w:p>
    <w:p>
      <w:pPr>
        <w:pStyle w:val="BodyText"/>
        <w:tabs>
          <w:tab w:pos="3498" w:val="left" w:leader="none"/>
        </w:tabs>
        <w:spacing w:line="256" w:lineRule="auto" w:before="296"/>
        <w:ind w:left="380" w:right="137"/>
      </w:pPr>
      <w:r>
        <w:rPr/>
        <w:t>9  —</w:t>
      </w:r>
      <w:r>
        <w:rPr>
          <w:spacing w:val="29"/>
        </w:rPr>
        <w:t> </w:t>
      </w:r>
      <w:r>
        <w:rPr/>
        <w:t>24</w:t>
      </w:r>
      <w:r>
        <w:rPr>
          <w:spacing w:val="49"/>
        </w:rPr>
        <w:t> </w:t>
      </w:r>
      <w:r>
        <w:rPr/>
        <w:t>баллов:</w:t>
        <w:tab/>
        <w:t>Аномальная (возможно, патологическая) сонливость</w:t>
      </w:r>
    </w:p>
    <w:p>
      <w:pPr>
        <w:spacing w:before="271"/>
        <w:ind w:left="380" w:right="0" w:firstLine="0"/>
        <w:jc w:val="left"/>
        <w:rPr>
          <w:sz w:val="27"/>
        </w:rPr>
      </w:pPr>
      <w:r>
        <w:rPr>
          <w:b/>
          <w:w w:val="105"/>
          <w:sz w:val="27"/>
        </w:rPr>
        <w:t>Пояснения: </w:t>
      </w:r>
      <w:r>
        <w:rPr>
          <w:w w:val="105"/>
          <w:sz w:val="27"/>
        </w:rPr>
        <w:t>нет</w:t>
      </w:r>
    </w:p>
    <w:p>
      <w:pPr>
        <w:pStyle w:val="BodyText"/>
        <w:spacing w:before="0"/>
        <w:ind w:left="0"/>
        <w:jc w:val="left"/>
        <w:rPr>
          <w:sz w:val="36"/>
        </w:rPr>
      </w:pPr>
    </w:p>
    <w:p>
      <w:pPr>
        <w:pStyle w:val="BodyText"/>
        <w:spacing w:before="12"/>
        <w:ind w:left="0"/>
        <w:jc w:val="left"/>
        <w:rPr>
          <w:sz w:val="34"/>
        </w:rPr>
      </w:pPr>
    </w:p>
    <w:p>
      <w:pPr>
        <w:pStyle w:val="Heading3"/>
        <w:spacing w:line="434" w:lineRule="auto" w:before="0"/>
        <w:ind w:left="380" w:right="2223"/>
        <w:jc w:val="both"/>
      </w:pPr>
      <w:r>
        <w:rPr/>
        <w:t>Таблица П6/Г3. Опросник «Возраст не помеха» Название на русском языке: </w:t>
      </w:r>
      <w:r>
        <w:rPr>
          <w:b w:val="0"/>
        </w:rPr>
        <w:t>Возраст не помеха </w:t>
      </w:r>
      <w:r>
        <w:rPr/>
        <w:t>Оригинальное название (если есть):</w:t>
      </w:r>
    </w:p>
    <w:p>
      <w:pPr>
        <w:spacing w:line="256" w:lineRule="auto" w:before="3"/>
        <w:ind w:left="380" w:right="136" w:firstLine="0"/>
        <w:jc w:val="both"/>
        <w:rPr>
          <w:sz w:val="27"/>
        </w:rPr>
      </w:pPr>
      <w:r>
        <w:rPr>
          <w:b/>
          <w:sz w:val="27"/>
        </w:rPr>
        <w:t>Источник (официальный сайт разработчиков, публикация с валидацией): </w:t>
      </w:r>
      <w:r>
        <w:rPr>
          <w:sz w:val="27"/>
        </w:rPr>
        <w:t>Общероссийская общественная организация</w:t>
      </w:r>
    </w:p>
    <w:p>
      <w:pPr>
        <w:pStyle w:val="BodyText"/>
        <w:spacing w:line="256" w:lineRule="auto"/>
        <w:ind w:left="380" w:right="130"/>
      </w:pPr>
      <w:r>
        <w:rPr/>
        <w:t>«Российская ассоциация геронтологов и гериатров «Клинические рекомендации «Старческая астения» 2018 г.</w:t>
      </w:r>
    </w:p>
    <w:p>
      <w:pPr>
        <w:pStyle w:val="Heading3"/>
        <w:ind w:left="380"/>
      </w:pPr>
      <w:r>
        <w:rPr/>
        <w:t>Тип (подчеркнуть):</w:t>
      </w:r>
    </w:p>
    <w:p>
      <w:pPr>
        <w:pStyle w:val="ListParagraph"/>
        <w:numPr>
          <w:ilvl w:val="0"/>
          <w:numId w:val="19"/>
        </w:numPr>
        <w:tabs>
          <w:tab w:pos="938" w:val="left" w:leader="none"/>
        </w:tabs>
        <w:spacing w:line="240" w:lineRule="auto" w:before="296" w:after="0"/>
        <w:ind w:left="937" w:right="0" w:hanging="306"/>
        <w:jc w:val="left"/>
        <w:rPr>
          <w:sz w:val="27"/>
        </w:rPr>
      </w:pPr>
      <w:r>
        <w:rPr>
          <w:sz w:val="27"/>
          <w:u w:val="single"/>
        </w:rPr>
        <w:t>шкала</w:t>
      </w:r>
      <w:r>
        <w:rPr>
          <w:spacing w:val="-3"/>
          <w:sz w:val="27"/>
          <w:u w:val="single"/>
        </w:rPr>
        <w:t> </w:t>
      </w:r>
      <w:r>
        <w:rPr>
          <w:sz w:val="27"/>
          <w:u w:val="single"/>
        </w:rPr>
        <w:t>оценки</w:t>
      </w:r>
    </w:p>
    <w:p>
      <w:pPr>
        <w:pStyle w:val="ListParagraph"/>
        <w:numPr>
          <w:ilvl w:val="0"/>
          <w:numId w:val="19"/>
        </w:numPr>
        <w:tabs>
          <w:tab w:pos="938" w:val="left" w:leader="none"/>
        </w:tabs>
        <w:spacing w:line="240" w:lineRule="auto" w:before="296" w:after="0"/>
        <w:ind w:left="937" w:right="0" w:hanging="306"/>
        <w:jc w:val="left"/>
        <w:rPr>
          <w:sz w:val="27"/>
        </w:rPr>
      </w:pPr>
      <w:r>
        <w:rPr>
          <w:w w:val="105"/>
          <w:sz w:val="27"/>
        </w:rPr>
        <w:t>индекс</w:t>
      </w:r>
    </w:p>
    <w:p>
      <w:pPr>
        <w:pStyle w:val="ListParagraph"/>
        <w:numPr>
          <w:ilvl w:val="0"/>
          <w:numId w:val="19"/>
        </w:numPr>
        <w:tabs>
          <w:tab w:pos="938" w:val="left" w:leader="none"/>
        </w:tabs>
        <w:spacing w:line="240" w:lineRule="auto" w:before="296" w:after="0"/>
        <w:ind w:left="937" w:right="0" w:hanging="306"/>
        <w:jc w:val="left"/>
        <w:rPr>
          <w:sz w:val="27"/>
        </w:rPr>
      </w:pPr>
      <w:r>
        <w:rPr>
          <w:sz w:val="27"/>
        </w:rPr>
        <w:t>вопросник</w:t>
      </w:r>
    </w:p>
    <w:p>
      <w:pPr>
        <w:pStyle w:val="ListParagraph"/>
        <w:numPr>
          <w:ilvl w:val="0"/>
          <w:numId w:val="19"/>
        </w:numPr>
        <w:tabs>
          <w:tab w:pos="938" w:val="left" w:leader="none"/>
        </w:tabs>
        <w:spacing w:line="240" w:lineRule="auto" w:before="296" w:after="0"/>
        <w:ind w:left="937" w:right="0" w:hanging="306"/>
        <w:jc w:val="left"/>
        <w:rPr>
          <w:sz w:val="27"/>
        </w:rPr>
      </w:pPr>
      <w:r>
        <w:rPr>
          <w:w w:val="105"/>
          <w:sz w:val="27"/>
        </w:rPr>
        <w:t>другое</w:t>
      </w:r>
      <w:r>
        <w:rPr>
          <w:spacing w:val="-7"/>
          <w:w w:val="105"/>
          <w:sz w:val="27"/>
        </w:rPr>
        <w:t> </w:t>
      </w:r>
      <w:r>
        <w:rPr>
          <w:w w:val="105"/>
          <w:sz w:val="27"/>
        </w:rPr>
        <w:t>(уточнить):</w:t>
      </w:r>
    </w:p>
    <w:p>
      <w:pPr>
        <w:pStyle w:val="BodyText"/>
        <w:spacing w:line="256" w:lineRule="auto" w:before="296"/>
        <w:ind w:left="380" w:right="129"/>
      </w:pPr>
      <w:r>
        <w:rPr>
          <w:b/>
        </w:rPr>
        <w:t>Назначение: </w:t>
      </w:r>
      <w:r>
        <w:rPr/>
        <w:t>серия вопросов, которые используют для изучения воздействия сна на дневной образ жизни.</w:t>
      </w:r>
    </w:p>
    <w:p>
      <w:pPr>
        <w:pStyle w:val="Heading3"/>
        <w:ind w:left="380"/>
      </w:pPr>
      <w:r>
        <w:rPr/>
        <w:t>Содержание (шаблон):</w:t>
      </w:r>
    </w:p>
    <w:p>
      <w:pPr>
        <w:pStyle w:val="BodyText"/>
        <w:spacing w:before="9"/>
        <w:ind w:left="0"/>
        <w:jc w:val="left"/>
        <w:rPr>
          <w:b/>
          <w:sz w:val="20"/>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1"/>
        <w:gridCol w:w="4682"/>
        <w:gridCol w:w="2131"/>
      </w:tblGrid>
      <w:tr>
        <w:trPr>
          <w:trHeight w:val="460" w:hRule="atLeast"/>
        </w:trPr>
        <w:tc>
          <w:tcPr>
            <w:tcW w:w="1621" w:type="dxa"/>
          </w:tcPr>
          <w:p>
            <w:pPr>
              <w:pStyle w:val="TableParagraph"/>
              <w:rPr>
                <w:b/>
                <w:sz w:val="16"/>
              </w:rPr>
            </w:pPr>
            <w:r>
              <w:rPr>
                <w:b/>
                <w:w w:val="103"/>
                <w:sz w:val="16"/>
              </w:rPr>
              <w:t>№</w:t>
            </w:r>
          </w:p>
        </w:tc>
        <w:tc>
          <w:tcPr>
            <w:tcW w:w="4682" w:type="dxa"/>
          </w:tcPr>
          <w:p>
            <w:pPr>
              <w:pStyle w:val="TableParagraph"/>
              <w:ind w:left="154"/>
              <w:rPr>
                <w:b/>
                <w:sz w:val="16"/>
              </w:rPr>
            </w:pPr>
            <w:r>
              <w:rPr>
                <w:b/>
                <w:w w:val="105"/>
                <w:sz w:val="16"/>
              </w:rPr>
              <w:t>Вопрос</w:t>
            </w:r>
          </w:p>
        </w:tc>
        <w:tc>
          <w:tcPr>
            <w:tcW w:w="2131" w:type="dxa"/>
          </w:tcPr>
          <w:p>
            <w:pPr>
              <w:pStyle w:val="TableParagraph"/>
              <w:ind w:left="154"/>
              <w:rPr>
                <w:b/>
                <w:sz w:val="16"/>
              </w:rPr>
            </w:pPr>
            <w:r>
              <w:rPr>
                <w:b/>
                <w:w w:val="105"/>
                <w:sz w:val="16"/>
              </w:rPr>
              <w:t>Ответ</w:t>
            </w:r>
          </w:p>
        </w:tc>
      </w:tr>
      <w:tr>
        <w:trPr>
          <w:trHeight w:val="625" w:hRule="atLeast"/>
        </w:trPr>
        <w:tc>
          <w:tcPr>
            <w:tcW w:w="1621" w:type="dxa"/>
          </w:tcPr>
          <w:p>
            <w:pPr>
              <w:pStyle w:val="TableParagraph"/>
              <w:rPr>
                <w:b/>
                <w:sz w:val="16"/>
              </w:rPr>
            </w:pPr>
            <w:r>
              <w:rPr>
                <w:b/>
                <w:w w:val="103"/>
                <w:sz w:val="16"/>
              </w:rPr>
              <w:t>1</w:t>
            </w:r>
          </w:p>
        </w:tc>
        <w:tc>
          <w:tcPr>
            <w:tcW w:w="4682" w:type="dxa"/>
          </w:tcPr>
          <w:p>
            <w:pPr>
              <w:pStyle w:val="TableParagraph"/>
              <w:spacing w:line="204" w:lineRule="auto" w:before="161"/>
              <w:ind w:left="154"/>
              <w:rPr>
                <w:sz w:val="16"/>
              </w:rPr>
            </w:pPr>
            <w:r>
              <w:rPr>
                <w:w w:val="105"/>
                <w:sz w:val="16"/>
              </w:rPr>
              <w:t>Похудели ли Вы на 5 кг и более за последние 6 месяцев?*</w:t>
            </w:r>
          </w:p>
        </w:tc>
        <w:tc>
          <w:tcPr>
            <w:tcW w:w="2131" w:type="dxa"/>
          </w:tcPr>
          <w:p>
            <w:pPr>
              <w:pStyle w:val="TableParagraph"/>
              <w:ind w:left="154"/>
              <w:rPr>
                <w:sz w:val="16"/>
              </w:rPr>
            </w:pPr>
            <w:r>
              <w:rPr>
                <w:w w:val="105"/>
                <w:sz w:val="16"/>
              </w:rPr>
              <w:t>да/нет</w:t>
            </w:r>
          </w:p>
        </w:tc>
      </w:tr>
      <w:tr>
        <w:trPr>
          <w:trHeight w:val="790" w:hRule="atLeast"/>
        </w:trPr>
        <w:tc>
          <w:tcPr>
            <w:tcW w:w="1621" w:type="dxa"/>
          </w:tcPr>
          <w:p>
            <w:pPr>
              <w:pStyle w:val="TableParagraph"/>
              <w:rPr>
                <w:b/>
                <w:sz w:val="16"/>
              </w:rPr>
            </w:pPr>
            <w:r>
              <w:rPr>
                <w:b/>
                <w:w w:val="103"/>
                <w:sz w:val="16"/>
              </w:rPr>
              <w:t>2</w:t>
            </w:r>
          </w:p>
        </w:tc>
        <w:tc>
          <w:tcPr>
            <w:tcW w:w="4682" w:type="dxa"/>
          </w:tcPr>
          <w:p>
            <w:pPr>
              <w:pStyle w:val="TableParagraph"/>
              <w:spacing w:line="204" w:lineRule="auto" w:before="161"/>
              <w:ind w:left="154" w:right="145"/>
              <w:jc w:val="both"/>
              <w:rPr>
                <w:sz w:val="16"/>
              </w:rPr>
            </w:pPr>
            <w:r>
              <w:rPr>
                <w:w w:val="105"/>
                <w:sz w:val="16"/>
              </w:rPr>
              <w:t>Испытываете ли Вы какие-либо ограничения в повседневной жизни из-за снижения зрения или слуха?</w:t>
            </w:r>
          </w:p>
        </w:tc>
        <w:tc>
          <w:tcPr>
            <w:tcW w:w="2131" w:type="dxa"/>
          </w:tcPr>
          <w:p>
            <w:pPr>
              <w:pStyle w:val="TableParagraph"/>
              <w:ind w:left="154"/>
              <w:rPr>
                <w:sz w:val="16"/>
              </w:rPr>
            </w:pPr>
            <w:r>
              <w:rPr>
                <w:w w:val="105"/>
                <w:sz w:val="16"/>
              </w:rPr>
              <w:t>да/нет</w:t>
            </w:r>
          </w:p>
        </w:tc>
      </w:tr>
      <w:tr>
        <w:trPr>
          <w:trHeight w:val="625" w:hRule="atLeast"/>
        </w:trPr>
        <w:tc>
          <w:tcPr>
            <w:tcW w:w="1621" w:type="dxa"/>
          </w:tcPr>
          <w:p>
            <w:pPr>
              <w:pStyle w:val="TableParagraph"/>
              <w:rPr>
                <w:b/>
                <w:sz w:val="16"/>
              </w:rPr>
            </w:pPr>
            <w:r>
              <w:rPr>
                <w:b/>
                <w:w w:val="103"/>
                <w:sz w:val="16"/>
              </w:rPr>
              <w:t>3</w:t>
            </w:r>
          </w:p>
        </w:tc>
        <w:tc>
          <w:tcPr>
            <w:tcW w:w="4682" w:type="dxa"/>
          </w:tcPr>
          <w:p>
            <w:pPr>
              <w:pStyle w:val="TableParagraph"/>
              <w:spacing w:line="204" w:lineRule="auto" w:before="161"/>
              <w:ind w:left="154" w:right="55"/>
              <w:rPr>
                <w:sz w:val="16"/>
              </w:rPr>
            </w:pPr>
            <w:r>
              <w:rPr>
                <w:w w:val="105"/>
                <w:sz w:val="16"/>
              </w:rPr>
              <w:t>Были ли у Вас в течение последнего года травмы, связанные с падением, или падения без травм?</w:t>
            </w:r>
          </w:p>
        </w:tc>
        <w:tc>
          <w:tcPr>
            <w:tcW w:w="2131" w:type="dxa"/>
          </w:tcPr>
          <w:p>
            <w:pPr>
              <w:pStyle w:val="TableParagraph"/>
              <w:ind w:left="154"/>
              <w:rPr>
                <w:sz w:val="16"/>
              </w:rPr>
            </w:pPr>
            <w:r>
              <w:rPr>
                <w:w w:val="105"/>
                <w:sz w:val="16"/>
              </w:rPr>
              <w:t>да/нет</w:t>
            </w:r>
          </w:p>
        </w:tc>
      </w:tr>
      <w:tr>
        <w:trPr>
          <w:trHeight w:val="790" w:hRule="atLeast"/>
        </w:trPr>
        <w:tc>
          <w:tcPr>
            <w:tcW w:w="1621" w:type="dxa"/>
          </w:tcPr>
          <w:p>
            <w:pPr>
              <w:pStyle w:val="TableParagraph"/>
              <w:rPr>
                <w:b/>
                <w:sz w:val="16"/>
              </w:rPr>
            </w:pPr>
            <w:r>
              <w:rPr>
                <w:b/>
                <w:w w:val="103"/>
                <w:sz w:val="16"/>
              </w:rPr>
              <w:t>4</w:t>
            </w:r>
          </w:p>
        </w:tc>
        <w:tc>
          <w:tcPr>
            <w:tcW w:w="4682" w:type="dxa"/>
          </w:tcPr>
          <w:p>
            <w:pPr>
              <w:pStyle w:val="TableParagraph"/>
              <w:spacing w:line="204" w:lineRule="auto" w:before="161"/>
              <w:ind w:left="154" w:right="140"/>
              <w:jc w:val="both"/>
              <w:rPr>
                <w:sz w:val="16"/>
              </w:rPr>
            </w:pPr>
            <w:r>
              <w:rPr>
                <w:w w:val="105"/>
                <w:sz w:val="16"/>
              </w:rPr>
              <w:t>Чувствуете ли Вы себя подавленным, грустным или встревоженным на протяжении последних недель?</w:t>
            </w:r>
          </w:p>
        </w:tc>
        <w:tc>
          <w:tcPr>
            <w:tcW w:w="2131" w:type="dxa"/>
          </w:tcPr>
          <w:p>
            <w:pPr>
              <w:pStyle w:val="TableParagraph"/>
              <w:ind w:left="154"/>
              <w:rPr>
                <w:sz w:val="16"/>
              </w:rPr>
            </w:pPr>
            <w:r>
              <w:rPr>
                <w:w w:val="105"/>
                <w:sz w:val="16"/>
              </w:rPr>
              <w:t>да/нет</w:t>
            </w:r>
          </w:p>
        </w:tc>
      </w:tr>
      <w:tr>
        <w:trPr>
          <w:trHeight w:val="625" w:hRule="atLeast"/>
        </w:trPr>
        <w:tc>
          <w:tcPr>
            <w:tcW w:w="1621" w:type="dxa"/>
          </w:tcPr>
          <w:p>
            <w:pPr>
              <w:pStyle w:val="TableParagraph"/>
              <w:rPr>
                <w:b/>
                <w:sz w:val="16"/>
              </w:rPr>
            </w:pPr>
            <w:r>
              <w:rPr>
                <w:b/>
                <w:w w:val="103"/>
                <w:sz w:val="16"/>
              </w:rPr>
              <w:t>5</w:t>
            </w:r>
          </w:p>
        </w:tc>
        <w:tc>
          <w:tcPr>
            <w:tcW w:w="4682" w:type="dxa"/>
          </w:tcPr>
          <w:p>
            <w:pPr>
              <w:pStyle w:val="TableParagraph"/>
              <w:spacing w:line="204" w:lineRule="auto" w:before="161"/>
              <w:ind w:left="154"/>
              <w:rPr>
                <w:sz w:val="16"/>
              </w:rPr>
            </w:pPr>
            <w:r>
              <w:rPr>
                <w:w w:val="105"/>
                <w:sz w:val="16"/>
              </w:rPr>
              <w:t>Есть ли у Вас проблемы с памятью, пониманием, ориентацией или способностью планировать?</w:t>
            </w:r>
          </w:p>
        </w:tc>
        <w:tc>
          <w:tcPr>
            <w:tcW w:w="2131" w:type="dxa"/>
          </w:tcPr>
          <w:p>
            <w:pPr>
              <w:pStyle w:val="TableParagraph"/>
              <w:ind w:left="154"/>
              <w:rPr>
                <w:sz w:val="16"/>
              </w:rPr>
            </w:pPr>
            <w:r>
              <w:rPr>
                <w:w w:val="105"/>
                <w:sz w:val="16"/>
              </w:rPr>
              <w:t>да/нет</w:t>
            </w:r>
          </w:p>
        </w:tc>
      </w:tr>
    </w:tbl>
    <w:p>
      <w:pPr>
        <w:spacing w:after="0"/>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21"/>
        <w:gridCol w:w="4682"/>
        <w:gridCol w:w="2131"/>
      </w:tblGrid>
      <w:tr>
        <w:trPr>
          <w:trHeight w:val="460" w:hRule="atLeast"/>
        </w:trPr>
        <w:tc>
          <w:tcPr>
            <w:tcW w:w="1621" w:type="dxa"/>
          </w:tcPr>
          <w:p>
            <w:pPr>
              <w:pStyle w:val="TableParagraph"/>
              <w:rPr>
                <w:b/>
                <w:sz w:val="16"/>
              </w:rPr>
            </w:pPr>
            <w:r>
              <w:rPr>
                <w:b/>
                <w:w w:val="103"/>
                <w:sz w:val="16"/>
              </w:rPr>
              <w:t>6</w:t>
            </w:r>
          </w:p>
        </w:tc>
        <w:tc>
          <w:tcPr>
            <w:tcW w:w="4682" w:type="dxa"/>
          </w:tcPr>
          <w:p>
            <w:pPr>
              <w:pStyle w:val="TableParagraph"/>
              <w:ind w:left="154"/>
              <w:rPr>
                <w:sz w:val="16"/>
              </w:rPr>
            </w:pPr>
            <w:r>
              <w:rPr>
                <w:w w:val="105"/>
                <w:sz w:val="16"/>
              </w:rPr>
              <w:t>Страдаете ли Вы недержанием мочи?</w:t>
            </w:r>
          </w:p>
        </w:tc>
        <w:tc>
          <w:tcPr>
            <w:tcW w:w="2131" w:type="dxa"/>
          </w:tcPr>
          <w:p>
            <w:pPr>
              <w:pStyle w:val="TableParagraph"/>
              <w:ind w:left="154"/>
              <w:rPr>
                <w:sz w:val="16"/>
              </w:rPr>
            </w:pPr>
            <w:r>
              <w:rPr>
                <w:w w:val="105"/>
                <w:sz w:val="16"/>
              </w:rPr>
              <w:t>да/нет</w:t>
            </w:r>
          </w:p>
        </w:tc>
      </w:tr>
      <w:tr>
        <w:trPr>
          <w:trHeight w:val="790" w:hRule="atLeast"/>
        </w:trPr>
        <w:tc>
          <w:tcPr>
            <w:tcW w:w="1621" w:type="dxa"/>
          </w:tcPr>
          <w:p>
            <w:pPr>
              <w:pStyle w:val="TableParagraph"/>
              <w:rPr>
                <w:b/>
                <w:sz w:val="16"/>
              </w:rPr>
            </w:pPr>
            <w:r>
              <w:rPr>
                <w:b/>
                <w:w w:val="103"/>
                <w:sz w:val="16"/>
              </w:rPr>
              <w:t>7</w:t>
            </w:r>
          </w:p>
        </w:tc>
        <w:tc>
          <w:tcPr>
            <w:tcW w:w="4682" w:type="dxa"/>
          </w:tcPr>
          <w:p>
            <w:pPr>
              <w:pStyle w:val="TableParagraph"/>
              <w:spacing w:line="204" w:lineRule="auto" w:before="161"/>
              <w:ind w:left="154" w:right="138"/>
              <w:jc w:val="both"/>
              <w:rPr>
                <w:sz w:val="16"/>
              </w:rPr>
            </w:pPr>
            <w:r>
              <w:rPr>
                <w:w w:val="105"/>
                <w:sz w:val="16"/>
              </w:rPr>
              <w:t>Испытываете ли Вы трудности в перемещении по дому или на улице? (Ходьба до 100 метров или подъем на 1 лестничный пролет)</w:t>
            </w:r>
          </w:p>
        </w:tc>
        <w:tc>
          <w:tcPr>
            <w:tcW w:w="2131" w:type="dxa"/>
          </w:tcPr>
          <w:p>
            <w:pPr>
              <w:pStyle w:val="TableParagraph"/>
              <w:ind w:left="154"/>
              <w:rPr>
                <w:sz w:val="16"/>
              </w:rPr>
            </w:pPr>
            <w:r>
              <w:rPr>
                <w:w w:val="105"/>
                <w:sz w:val="16"/>
              </w:rPr>
              <w:t>да/нет</w:t>
            </w:r>
          </w:p>
        </w:tc>
      </w:tr>
    </w:tbl>
    <w:p>
      <w:pPr>
        <w:spacing w:before="16"/>
        <w:ind w:left="380" w:right="0" w:firstLine="0"/>
        <w:jc w:val="left"/>
        <w:rPr>
          <w:b/>
          <w:sz w:val="27"/>
        </w:rPr>
      </w:pPr>
      <w:r>
        <w:rPr>
          <w:b/>
          <w:sz w:val="27"/>
        </w:rPr>
        <w:t>Ключ (интерпретация):</w:t>
      </w:r>
    </w:p>
    <w:p>
      <w:pPr>
        <w:pStyle w:val="BodyText"/>
        <w:spacing w:before="296"/>
        <w:ind w:left="380"/>
        <w:jc w:val="left"/>
      </w:pPr>
      <w:r>
        <w:rPr/>
        <w:t>за каждый положительный ответ начисляется 1 балл.</w:t>
      </w:r>
    </w:p>
    <w:p>
      <w:pPr>
        <w:pStyle w:val="BodyText"/>
        <w:spacing w:line="256" w:lineRule="auto" w:before="296"/>
        <w:ind w:left="380"/>
        <w:jc w:val="left"/>
      </w:pPr>
      <w:r>
        <w:rPr/>
        <w:t>3 балла и более — высокая вероятность синдрома старческой астении, необходима консультация гериатра</w:t>
      </w:r>
    </w:p>
    <w:p>
      <w:pPr>
        <w:pStyle w:val="BodyText"/>
        <w:spacing w:line="434" w:lineRule="auto" w:before="271"/>
        <w:ind w:left="380" w:right="309"/>
        <w:jc w:val="left"/>
      </w:pPr>
      <w:r>
        <w:rPr/>
        <w:t>1–2 балла — вероятен синдром старческой астении (преастения) 0 баллов — нет ССА</w:t>
      </w:r>
    </w:p>
    <w:p>
      <w:pPr>
        <w:pStyle w:val="BodyText"/>
        <w:spacing w:line="256" w:lineRule="auto" w:before="2"/>
        <w:ind w:left="380" w:right="134" w:firstLine="72"/>
      </w:pPr>
      <w:r>
        <w:rPr>
          <w:b/>
        </w:rPr>
        <w:t>Пояснения: * </w:t>
      </w:r>
      <w:r>
        <w:rPr/>
        <w:t>имеется в виду непреднамеренное снижение веса. Если пациент похудел намеренно — за счет соблюдения специальной диеты или регулярной физической активности, балл не засчитывается.</w:t>
      </w:r>
    </w:p>
    <w:p>
      <w:pPr>
        <w:pStyle w:val="BodyText"/>
        <w:spacing w:line="256" w:lineRule="auto" w:before="272"/>
        <w:ind w:left="380" w:right="129"/>
      </w:pPr>
      <w:r>
        <w:rPr/>
        <w:t>Приложение Г4. принципы антигипертензивной терапии и диспансерное наблюдение больных с АГ</w:t>
      </w:r>
    </w:p>
    <w:p>
      <w:pPr>
        <w:pStyle w:val="Heading3"/>
        <w:spacing w:line="256" w:lineRule="auto"/>
        <w:ind w:left="380" w:right="131"/>
        <w:jc w:val="both"/>
      </w:pPr>
      <w:r>
        <w:rPr/>
        <w:t>Таблица П1/Г4. Начало антигипертензивной терапии (изменение образа жизни и лекарственные препараты) при различных значениях АД, измеренного в медицинском учреждении</w:t>
      </w:r>
    </w:p>
    <w:p>
      <w:pPr>
        <w:pStyle w:val="BodyText"/>
        <w:spacing w:before="0"/>
        <w:ind w:left="0"/>
        <w:jc w:val="left"/>
        <w:rPr>
          <w:b/>
          <w:sz w:val="20"/>
        </w:rPr>
      </w:pPr>
    </w:p>
    <w:p>
      <w:pPr>
        <w:pStyle w:val="BodyText"/>
        <w:spacing w:before="8"/>
        <w:ind w:left="0"/>
        <w:jc w:val="left"/>
        <w:rPr>
          <w:b/>
          <w:sz w:val="11"/>
        </w:rPr>
      </w:pPr>
      <w:r>
        <w:rPr/>
        <w:drawing>
          <wp:anchor distT="0" distB="0" distL="0" distR="0" allowOverlap="1" layoutInCell="1" locked="0" behindDoc="0" simplePos="0" relativeHeight="486">
            <wp:simplePos x="0" y="0"/>
            <wp:positionH relativeFrom="page">
              <wp:posOffset>1267357</wp:posOffset>
            </wp:positionH>
            <wp:positionV relativeFrom="paragraph">
              <wp:posOffset>124129</wp:posOffset>
            </wp:positionV>
            <wp:extent cx="4381499" cy="2524125"/>
            <wp:effectExtent l="0" t="0" r="0" b="0"/>
            <wp:wrapTopAndBottom/>
            <wp:docPr id="43" name="image16.png"/>
            <wp:cNvGraphicFramePr>
              <a:graphicFrameLocks noChangeAspect="1"/>
            </wp:cNvGraphicFramePr>
            <a:graphic>
              <a:graphicData uri="http://schemas.openxmlformats.org/drawingml/2006/picture">
                <pic:pic>
                  <pic:nvPicPr>
                    <pic:cNvPr id="44" name="image16.png"/>
                    <pic:cNvPicPr/>
                  </pic:nvPicPr>
                  <pic:blipFill>
                    <a:blip r:embed="rId25" cstate="print"/>
                    <a:stretch>
                      <a:fillRect/>
                    </a:stretch>
                  </pic:blipFill>
                  <pic:spPr>
                    <a:xfrm>
                      <a:off x="0" y="0"/>
                      <a:ext cx="4381499" cy="2524125"/>
                    </a:xfrm>
                    <a:prstGeom prst="rect">
                      <a:avLst/>
                    </a:prstGeom>
                  </pic:spPr>
                </pic:pic>
              </a:graphicData>
            </a:graphic>
          </wp:anchor>
        </w:drawing>
      </w:r>
    </w:p>
    <w:p>
      <w:pPr>
        <w:pStyle w:val="BodyText"/>
        <w:spacing w:before="0"/>
        <w:ind w:left="0"/>
        <w:jc w:val="left"/>
        <w:rPr>
          <w:b/>
          <w:sz w:val="22"/>
        </w:rPr>
      </w:pPr>
    </w:p>
    <w:p>
      <w:pPr>
        <w:spacing w:line="256" w:lineRule="auto" w:before="97"/>
        <w:ind w:left="380" w:right="129" w:firstLine="0"/>
        <w:jc w:val="both"/>
        <w:rPr>
          <w:b/>
          <w:sz w:val="27"/>
        </w:rPr>
      </w:pPr>
      <w:r>
        <w:rPr>
          <w:b/>
          <w:sz w:val="27"/>
        </w:rPr>
        <w:t>Таблица П2/Г4. Показания к началу антигипертензивной терапии в зависимости от возраста и сопутствующих заболеваний</w:t>
      </w:r>
    </w:p>
    <w:p>
      <w:pPr>
        <w:pStyle w:val="BodyText"/>
        <w:spacing w:before="8"/>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5223"/>
        <w:gridCol w:w="1667"/>
      </w:tblGrid>
      <w:tr>
        <w:trPr>
          <w:trHeight w:val="460" w:hRule="atLeast"/>
        </w:trPr>
        <w:tc>
          <w:tcPr>
            <w:tcW w:w="1546" w:type="dxa"/>
            <w:vMerge w:val="restart"/>
            <w:tcBorders>
              <w:bottom w:val="nil"/>
            </w:tcBorders>
          </w:tcPr>
          <w:p>
            <w:pPr>
              <w:pStyle w:val="TableParagraph"/>
              <w:spacing w:before="141"/>
              <w:rPr>
                <w:sz w:val="16"/>
              </w:rPr>
            </w:pPr>
            <w:r>
              <w:rPr>
                <w:w w:val="105"/>
                <w:sz w:val="16"/>
              </w:rPr>
              <w:t>Возраст</w:t>
            </w:r>
          </w:p>
        </w:tc>
        <w:tc>
          <w:tcPr>
            <w:tcW w:w="5223" w:type="dxa"/>
          </w:tcPr>
          <w:p>
            <w:pPr>
              <w:pStyle w:val="TableParagraph"/>
              <w:spacing w:before="141"/>
              <w:ind w:left="154"/>
              <w:rPr>
                <w:sz w:val="16"/>
              </w:rPr>
            </w:pPr>
            <w:r>
              <w:rPr>
                <w:w w:val="105"/>
                <w:sz w:val="16"/>
              </w:rPr>
              <w:t>Пороговое значение САД (мм рт. ст.)</w:t>
            </w:r>
          </w:p>
        </w:tc>
        <w:tc>
          <w:tcPr>
            <w:tcW w:w="1667" w:type="dxa"/>
            <w:vMerge w:val="restart"/>
            <w:tcBorders>
              <w:bottom w:val="nil"/>
            </w:tcBorders>
          </w:tcPr>
          <w:p>
            <w:pPr>
              <w:pStyle w:val="TableParagraph"/>
              <w:spacing w:line="204" w:lineRule="auto" w:before="165"/>
              <w:ind w:left="153"/>
              <w:rPr>
                <w:sz w:val="16"/>
              </w:rPr>
            </w:pPr>
            <w:r>
              <w:rPr>
                <w:w w:val="105"/>
                <w:sz w:val="16"/>
              </w:rPr>
              <w:t>Пороговое значение ДАД, измеренного в</w:t>
            </w:r>
          </w:p>
        </w:tc>
      </w:tr>
      <w:tr>
        <w:trPr>
          <w:trHeight w:val="595" w:hRule="atLeast"/>
        </w:trPr>
        <w:tc>
          <w:tcPr>
            <w:tcW w:w="1546" w:type="dxa"/>
            <w:vMerge/>
            <w:tcBorders>
              <w:top w:val="nil"/>
              <w:bottom w:val="nil"/>
            </w:tcBorders>
          </w:tcPr>
          <w:p>
            <w:pPr>
              <w:rPr>
                <w:sz w:val="2"/>
                <w:szCs w:val="2"/>
              </w:rPr>
            </w:pPr>
          </w:p>
        </w:tc>
        <w:tc>
          <w:tcPr>
            <w:tcW w:w="5223" w:type="dxa"/>
            <w:tcBorders>
              <w:bottom w:val="single" w:sz="2" w:space="0" w:color="000000"/>
            </w:tcBorders>
          </w:tcPr>
          <w:p>
            <w:pPr>
              <w:pStyle w:val="TableParagraph"/>
              <w:spacing w:before="0"/>
              <w:ind w:left="0"/>
              <w:rPr>
                <w:rFonts w:ascii="Times New Roman"/>
                <w:sz w:val="24"/>
              </w:rPr>
            </w:pPr>
          </w:p>
        </w:tc>
        <w:tc>
          <w:tcPr>
            <w:tcW w:w="1667" w:type="dxa"/>
            <w:vMerge/>
            <w:tcBorders>
              <w:top w:val="nil"/>
              <w:bottom w:val="nil"/>
            </w:tcBorders>
          </w:tcPr>
          <w:p>
            <w:pPr>
              <w:rPr>
                <w:sz w:val="2"/>
                <w:szCs w:val="2"/>
              </w:rPr>
            </w:pPr>
          </w:p>
        </w:tc>
      </w:tr>
    </w:tbl>
    <w:p>
      <w:pPr>
        <w:spacing w:after="0"/>
        <w:rPr>
          <w:sz w:val="2"/>
          <w:szCs w:val="2"/>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546"/>
        <w:gridCol w:w="961"/>
        <w:gridCol w:w="1081"/>
        <w:gridCol w:w="1096"/>
        <w:gridCol w:w="856"/>
        <w:gridCol w:w="1231"/>
        <w:gridCol w:w="1666"/>
      </w:tblGrid>
      <w:tr>
        <w:trPr>
          <w:trHeight w:val="625" w:hRule="atLeast"/>
        </w:trPr>
        <w:tc>
          <w:tcPr>
            <w:tcW w:w="1546" w:type="dxa"/>
            <w:tcBorders>
              <w:top w:val="nil"/>
            </w:tcBorders>
          </w:tcPr>
          <w:p>
            <w:pPr>
              <w:pStyle w:val="TableParagraph"/>
              <w:spacing w:before="0"/>
              <w:ind w:left="0"/>
              <w:rPr>
                <w:rFonts w:ascii="Times New Roman"/>
                <w:sz w:val="18"/>
              </w:rPr>
            </w:pPr>
          </w:p>
        </w:tc>
        <w:tc>
          <w:tcPr>
            <w:tcW w:w="961" w:type="dxa"/>
          </w:tcPr>
          <w:p>
            <w:pPr>
              <w:pStyle w:val="TableParagraph"/>
              <w:ind w:left="154"/>
              <w:rPr>
                <w:sz w:val="16"/>
              </w:rPr>
            </w:pPr>
            <w:r>
              <w:rPr>
                <w:w w:val="105"/>
                <w:sz w:val="16"/>
              </w:rPr>
              <w:t>АГ</w:t>
            </w:r>
          </w:p>
        </w:tc>
        <w:tc>
          <w:tcPr>
            <w:tcW w:w="1081" w:type="dxa"/>
          </w:tcPr>
          <w:p>
            <w:pPr>
              <w:pStyle w:val="TableParagraph"/>
              <w:ind w:left="154"/>
              <w:rPr>
                <w:sz w:val="16"/>
              </w:rPr>
            </w:pPr>
            <w:r>
              <w:rPr>
                <w:w w:val="105"/>
                <w:sz w:val="16"/>
              </w:rPr>
              <w:t>+СД</w:t>
            </w:r>
          </w:p>
        </w:tc>
        <w:tc>
          <w:tcPr>
            <w:tcW w:w="1096" w:type="dxa"/>
          </w:tcPr>
          <w:p>
            <w:pPr>
              <w:pStyle w:val="TableParagraph"/>
              <w:ind w:left="153"/>
              <w:rPr>
                <w:sz w:val="16"/>
              </w:rPr>
            </w:pPr>
            <w:r>
              <w:rPr>
                <w:w w:val="105"/>
                <w:sz w:val="16"/>
              </w:rPr>
              <w:t>+ХБП</w:t>
            </w:r>
          </w:p>
        </w:tc>
        <w:tc>
          <w:tcPr>
            <w:tcW w:w="856" w:type="dxa"/>
          </w:tcPr>
          <w:p>
            <w:pPr>
              <w:pStyle w:val="TableParagraph"/>
              <w:ind w:left="153"/>
              <w:rPr>
                <w:sz w:val="16"/>
              </w:rPr>
            </w:pPr>
            <w:r>
              <w:rPr>
                <w:w w:val="105"/>
                <w:sz w:val="16"/>
              </w:rPr>
              <w:t>+ИБС</w:t>
            </w:r>
          </w:p>
        </w:tc>
        <w:tc>
          <w:tcPr>
            <w:tcW w:w="1231" w:type="dxa"/>
          </w:tcPr>
          <w:p>
            <w:pPr>
              <w:pStyle w:val="TableParagraph"/>
              <w:spacing w:line="204" w:lineRule="auto" w:before="161"/>
              <w:ind w:left="152"/>
              <w:rPr>
                <w:sz w:val="16"/>
              </w:rPr>
            </w:pPr>
            <w:r>
              <w:rPr>
                <w:sz w:val="16"/>
              </w:rPr>
              <w:t>+Инсульт/ </w:t>
            </w:r>
            <w:r>
              <w:rPr>
                <w:w w:val="105"/>
                <w:sz w:val="16"/>
              </w:rPr>
              <w:t>ТИА</w:t>
            </w:r>
          </w:p>
        </w:tc>
        <w:tc>
          <w:tcPr>
            <w:tcW w:w="1666" w:type="dxa"/>
            <w:tcBorders>
              <w:top w:val="nil"/>
            </w:tcBorders>
          </w:tcPr>
          <w:p>
            <w:pPr>
              <w:pStyle w:val="TableParagraph"/>
              <w:spacing w:line="204" w:lineRule="auto" w:before="0"/>
              <w:ind w:left="151" w:right="138"/>
              <w:rPr>
                <w:sz w:val="16"/>
              </w:rPr>
            </w:pPr>
            <w:r>
              <w:rPr>
                <w:sz w:val="16"/>
              </w:rPr>
              <w:t>медицинском </w:t>
            </w:r>
            <w:r>
              <w:rPr>
                <w:w w:val="105"/>
                <w:sz w:val="16"/>
              </w:rPr>
              <w:t>учреждении (мм рт. ст.)</w:t>
            </w:r>
          </w:p>
        </w:tc>
      </w:tr>
      <w:tr>
        <w:trPr>
          <w:trHeight w:val="460" w:hRule="atLeast"/>
        </w:trPr>
        <w:tc>
          <w:tcPr>
            <w:tcW w:w="1546" w:type="dxa"/>
          </w:tcPr>
          <w:p>
            <w:pPr>
              <w:pStyle w:val="TableParagraph"/>
              <w:rPr>
                <w:sz w:val="16"/>
              </w:rPr>
            </w:pPr>
            <w:r>
              <w:rPr>
                <w:w w:val="105"/>
                <w:sz w:val="16"/>
              </w:rPr>
              <w:t>18–64 лет</w:t>
            </w:r>
          </w:p>
        </w:tc>
        <w:tc>
          <w:tcPr>
            <w:tcW w:w="961" w:type="dxa"/>
          </w:tcPr>
          <w:p>
            <w:pPr>
              <w:pStyle w:val="TableParagraph"/>
              <w:ind w:left="154"/>
              <w:rPr>
                <w:sz w:val="16"/>
              </w:rPr>
            </w:pPr>
            <w:r>
              <w:rPr>
                <w:w w:val="105"/>
                <w:sz w:val="16"/>
              </w:rPr>
              <w:t>≥140</w:t>
            </w:r>
          </w:p>
        </w:tc>
        <w:tc>
          <w:tcPr>
            <w:tcW w:w="1081" w:type="dxa"/>
          </w:tcPr>
          <w:p>
            <w:pPr>
              <w:pStyle w:val="TableParagraph"/>
              <w:ind w:left="154"/>
              <w:rPr>
                <w:sz w:val="16"/>
              </w:rPr>
            </w:pPr>
            <w:r>
              <w:rPr>
                <w:w w:val="105"/>
                <w:sz w:val="16"/>
              </w:rPr>
              <w:t>≥140</w:t>
            </w:r>
          </w:p>
        </w:tc>
        <w:tc>
          <w:tcPr>
            <w:tcW w:w="1096" w:type="dxa"/>
          </w:tcPr>
          <w:p>
            <w:pPr>
              <w:pStyle w:val="TableParagraph"/>
              <w:ind w:left="153"/>
              <w:rPr>
                <w:sz w:val="16"/>
              </w:rPr>
            </w:pPr>
            <w:r>
              <w:rPr>
                <w:w w:val="105"/>
                <w:sz w:val="16"/>
              </w:rPr>
              <w:t>≥140</w:t>
            </w:r>
          </w:p>
        </w:tc>
        <w:tc>
          <w:tcPr>
            <w:tcW w:w="856" w:type="dxa"/>
          </w:tcPr>
          <w:p>
            <w:pPr>
              <w:pStyle w:val="TableParagraph"/>
              <w:ind w:left="153"/>
              <w:rPr>
                <w:sz w:val="16"/>
              </w:rPr>
            </w:pPr>
            <w:r>
              <w:rPr>
                <w:w w:val="105"/>
                <w:sz w:val="16"/>
              </w:rPr>
              <w:t>≥140</w:t>
            </w:r>
          </w:p>
        </w:tc>
        <w:tc>
          <w:tcPr>
            <w:tcW w:w="1231" w:type="dxa"/>
          </w:tcPr>
          <w:p>
            <w:pPr>
              <w:pStyle w:val="TableParagraph"/>
              <w:ind w:left="152"/>
              <w:rPr>
                <w:sz w:val="16"/>
              </w:rPr>
            </w:pPr>
            <w:r>
              <w:rPr>
                <w:w w:val="105"/>
                <w:sz w:val="16"/>
              </w:rPr>
              <w:t>≥140</w:t>
            </w:r>
          </w:p>
        </w:tc>
        <w:tc>
          <w:tcPr>
            <w:tcW w:w="1666" w:type="dxa"/>
          </w:tcPr>
          <w:p>
            <w:pPr>
              <w:pStyle w:val="TableParagraph"/>
              <w:ind w:left="151"/>
              <w:rPr>
                <w:sz w:val="16"/>
              </w:rPr>
            </w:pPr>
            <w:r>
              <w:rPr>
                <w:w w:val="105"/>
                <w:sz w:val="16"/>
              </w:rPr>
              <w:t>≥90</w:t>
            </w:r>
          </w:p>
        </w:tc>
      </w:tr>
      <w:tr>
        <w:trPr>
          <w:trHeight w:val="460" w:hRule="atLeast"/>
        </w:trPr>
        <w:tc>
          <w:tcPr>
            <w:tcW w:w="1546" w:type="dxa"/>
          </w:tcPr>
          <w:p>
            <w:pPr>
              <w:pStyle w:val="TableParagraph"/>
              <w:rPr>
                <w:sz w:val="16"/>
              </w:rPr>
            </w:pPr>
            <w:r>
              <w:rPr>
                <w:w w:val="105"/>
                <w:sz w:val="16"/>
              </w:rPr>
              <w:t>65–79 лет</w:t>
            </w:r>
          </w:p>
        </w:tc>
        <w:tc>
          <w:tcPr>
            <w:tcW w:w="961" w:type="dxa"/>
          </w:tcPr>
          <w:p>
            <w:pPr>
              <w:pStyle w:val="TableParagraph"/>
              <w:ind w:left="154"/>
              <w:rPr>
                <w:sz w:val="16"/>
              </w:rPr>
            </w:pPr>
            <w:r>
              <w:rPr>
                <w:w w:val="105"/>
                <w:sz w:val="16"/>
              </w:rPr>
              <w:t>≥140</w:t>
            </w:r>
          </w:p>
        </w:tc>
        <w:tc>
          <w:tcPr>
            <w:tcW w:w="1081" w:type="dxa"/>
          </w:tcPr>
          <w:p>
            <w:pPr>
              <w:pStyle w:val="TableParagraph"/>
              <w:ind w:left="154"/>
              <w:rPr>
                <w:sz w:val="16"/>
              </w:rPr>
            </w:pPr>
            <w:r>
              <w:rPr>
                <w:w w:val="105"/>
                <w:sz w:val="16"/>
              </w:rPr>
              <w:t>≥140</w:t>
            </w:r>
          </w:p>
        </w:tc>
        <w:tc>
          <w:tcPr>
            <w:tcW w:w="1096" w:type="dxa"/>
          </w:tcPr>
          <w:p>
            <w:pPr>
              <w:pStyle w:val="TableParagraph"/>
              <w:ind w:left="153"/>
              <w:rPr>
                <w:sz w:val="16"/>
              </w:rPr>
            </w:pPr>
            <w:r>
              <w:rPr>
                <w:w w:val="105"/>
                <w:sz w:val="16"/>
              </w:rPr>
              <w:t>≥140</w:t>
            </w:r>
          </w:p>
        </w:tc>
        <w:tc>
          <w:tcPr>
            <w:tcW w:w="856" w:type="dxa"/>
          </w:tcPr>
          <w:p>
            <w:pPr>
              <w:pStyle w:val="TableParagraph"/>
              <w:ind w:left="153"/>
              <w:rPr>
                <w:sz w:val="16"/>
              </w:rPr>
            </w:pPr>
            <w:r>
              <w:rPr>
                <w:w w:val="105"/>
                <w:sz w:val="16"/>
              </w:rPr>
              <w:t>≥140</w:t>
            </w:r>
          </w:p>
        </w:tc>
        <w:tc>
          <w:tcPr>
            <w:tcW w:w="1231" w:type="dxa"/>
          </w:tcPr>
          <w:p>
            <w:pPr>
              <w:pStyle w:val="TableParagraph"/>
              <w:ind w:left="152"/>
              <w:rPr>
                <w:sz w:val="16"/>
              </w:rPr>
            </w:pPr>
            <w:r>
              <w:rPr>
                <w:w w:val="105"/>
                <w:sz w:val="16"/>
              </w:rPr>
              <w:t>≥140</w:t>
            </w:r>
          </w:p>
        </w:tc>
        <w:tc>
          <w:tcPr>
            <w:tcW w:w="1666" w:type="dxa"/>
          </w:tcPr>
          <w:p>
            <w:pPr>
              <w:pStyle w:val="TableParagraph"/>
              <w:ind w:left="151"/>
              <w:rPr>
                <w:sz w:val="16"/>
              </w:rPr>
            </w:pPr>
            <w:r>
              <w:rPr>
                <w:w w:val="105"/>
                <w:sz w:val="16"/>
              </w:rPr>
              <w:t>≥90</w:t>
            </w:r>
          </w:p>
        </w:tc>
      </w:tr>
      <w:tr>
        <w:trPr>
          <w:trHeight w:val="460" w:hRule="atLeast"/>
        </w:trPr>
        <w:tc>
          <w:tcPr>
            <w:tcW w:w="1546" w:type="dxa"/>
          </w:tcPr>
          <w:p>
            <w:pPr>
              <w:pStyle w:val="TableParagraph"/>
              <w:rPr>
                <w:sz w:val="16"/>
              </w:rPr>
            </w:pPr>
            <w:r>
              <w:rPr>
                <w:w w:val="105"/>
                <w:sz w:val="16"/>
              </w:rPr>
              <w:t>≥80 лет</w:t>
            </w:r>
          </w:p>
        </w:tc>
        <w:tc>
          <w:tcPr>
            <w:tcW w:w="961" w:type="dxa"/>
          </w:tcPr>
          <w:p>
            <w:pPr>
              <w:pStyle w:val="TableParagraph"/>
              <w:ind w:left="154"/>
              <w:rPr>
                <w:sz w:val="16"/>
              </w:rPr>
            </w:pPr>
            <w:r>
              <w:rPr>
                <w:w w:val="105"/>
                <w:sz w:val="16"/>
              </w:rPr>
              <w:t>≥160</w:t>
            </w:r>
          </w:p>
        </w:tc>
        <w:tc>
          <w:tcPr>
            <w:tcW w:w="1081" w:type="dxa"/>
          </w:tcPr>
          <w:p>
            <w:pPr>
              <w:pStyle w:val="TableParagraph"/>
              <w:ind w:left="154"/>
              <w:rPr>
                <w:sz w:val="16"/>
              </w:rPr>
            </w:pPr>
            <w:r>
              <w:rPr>
                <w:w w:val="105"/>
                <w:sz w:val="16"/>
              </w:rPr>
              <w:t>≥160</w:t>
            </w:r>
          </w:p>
        </w:tc>
        <w:tc>
          <w:tcPr>
            <w:tcW w:w="1096" w:type="dxa"/>
          </w:tcPr>
          <w:p>
            <w:pPr>
              <w:pStyle w:val="TableParagraph"/>
              <w:ind w:left="153"/>
              <w:rPr>
                <w:sz w:val="16"/>
              </w:rPr>
            </w:pPr>
            <w:r>
              <w:rPr>
                <w:w w:val="105"/>
                <w:sz w:val="16"/>
              </w:rPr>
              <w:t>≥160</w:t>
            </w:r>
          </w:p>
        </w:tc>
        <w:tc>
          <w:tcPr>
            <w:tcW w:w="856" w:type="dxa"/>
          </w:tcPr>
          <w:p>
            <w:pPr>
              <w:pStyle w:val="TableParagraph"/>
              <w:ind w:left="153"/>
              <w:rPr>
                <w:sz w:val="16"/>
              </w:rPr>
            </w:pPr>
            <w:r>
              <w:rPr>
                <w:w w:val="105"/>
                <w:sz w:val="16"/>
              </w:rPr>
              <w:t>≥160</w:t>
            </w:r>
          </w:p>
        </w:tc>
        <w:tc>
          <w:tcPr>
            <w:tcW w:w="1231" w:type="dxa"/>
          </w:tcPr>
          <w:p>
            <w:pPr>
              <w:pStyle w:val="TableParagraph"/>
              <w:ind w:left="152"/>
              <w:rPr>
                <w:sz w:val="16"/>
              </w:rPr>
            </w:pPr>
            <w:r>
              <w:rPr>
                <w:w w:val="105"/>
                <w:sz w:val="16"/>
              </w:rPr>
              <w:t>≥160</w:t>
            </w:r>
          </w:p>
        </w:tc>
        <w:tc>
          <w:tcPr>
            <w:tcW w:w="1666" w:type="dxa"/>
          </w:tcPr>
          <w:p>
            <w:pPr>
              <w:pStyle w:val="TableParagraph"/>
              <w:ind w:left="151"/>
              <w:rPr>
                <w:sz w:val="16"/>
              </w:rPr>
            </w:pPr>
            <w:r>
              <w:rPr>
                <w:w w:val="105"/>
                <w:sz w:val="16"/>
              </w:rPr>
              <w:t>≥90</w:t>
            </w:r>
          </w:p>
        </w:tc>
      </w:tr>
      <w:tr>
        <w:trPr>
          <w:trHeight w:val="1615" w:hRule="atLeast"/>
        </w:trPr>
        <w:tc>
          <w:tcPr>
            <w:tcW w:w="1546" w:type="dxa"/>
          </w:tcPr>
          <w:p>
            <w:pPr>
              <w:pStyle w:val="TableParagraph"/>
              <w:spacing w:line="204" w:lineRule="auto" w:before="161"/>
              <w:ind w:right="186"/>
              <w:rPr>
                <w:sz w:val="16"/>
              </w:rPr>
            </w:pPr>
            <w:r>
              <w:rPr>
                <w:sz w:val="16"/>
              </w:rPr>
              <w:t>Пороговое </w:t>
            </w:r>
            <w:r>
              <w:rPr>
                <w:w w:val="105"/>
                <w:sz w:val="16"/>
              </w:rPr>
              <w:t>значение ДАД,</w:t>
            </w:r>
          </w:p>
          <w:p>
            <w:pPr>
              <w:pStyle w:val="TableParagraph"/>
              <w:spacing w:line="204" w:lineRule="auto" w:before="0"/>
              <w:ind w:right="186"/>
              <w:rPr>
                <w:sz w:val="16"/>
              </w:rPr>
            </w:pPr>
            <w:r>
              <w:rPr>
                <w:w w:val="105"/>
                <w:sz w:val="16"/>
              </w:rPr>
              <w:t>измеренного в </w:t>
            </w:r>
            <w:r>
              <w:rPr>
                <w:sz w:val="16"/>
              </w:rPr>
              <w:t>медицинском </w:t>
            </w:r>
            <w:r>
              <w:rPr>
                <w:w w:val="105"/>
                <w:sz w:val="16"/>
              </w:rPr>
              <w:t>учреждении (мм рт. ст.)</w:t>
            </w:r>
          </w:p>
        </w:tc>
        <w:tc>
          <w:tcPr>
            <w:tcW w:w="961" w:type="dxa"/>
          </w:tcPr>
          <w:p>
            <w:pPr>
              <w:pStyle w:val="TableParagraph"/>
              <w:ind w:left="154"/>
              <w:rPr>
                <w:sz w:val="16"/>
              </w:rPr>
            </w:pPr>
            <w:r>
              <w:rPr>
                <w:w w:val="105"/>
                <w:sz w:val="16"/>
              </w:rPr>
              <w:t>≥90</w:t>
            </w:r>
          </w:p>
        </w:tc>
        <w:tc>
          <w:tcPr>
            <w:tcW w:w="1081" w:type="dxa"/>
          </w:tcPr>
          <w:p>
            <w:pPr>
              <w:pStyle w:val="TableParagraph"/>
              <w:ind w:left="154"/>
              <w:rPr>
                <w:sz w:val="16"/>
              </w:rPr>
            </w:pPr>
            <w:r>
              <w:rPr>
                <w:w w:val="105"/>
                <w:sz w:val="16"/>
              </w:rPr>
              <w:t>≥90</w:t>
            </w:r>
          </w:p>
        </w:tc>
        <w:tc>
          <w:tcPr>
            <w:tcW w:w="1096" w:type="dxa"/>
          </w:tcPr>
          <w:p>
            <w:pPr>
              <w:pStyle w:val="TableParagraph"/>
              <w:ind w:left="153"/>
              <w:rPr>
                <w:sz w:val="16"/>
              </w:rPr>
            </w:pPr>
            <w:r>
              <w:rPr>
                <w:w w:val="105"/>
                <w:sz w:val="16"/>
              </w:rPr>
              <w:t>≥90</w:t>
            </w:r>
          </w:p>
        </w:tc>
        <w:tc>
          <w:tcPr>
            <w:tcW w:w="856" w:type="dxa"/>
          </w:tcPr>
          <w:p>
            <w:pPr>
              <w:pStyle w:val="TableParagraph"/>
              <w:ind w:left="153"/>
              <w:rPr>
                <w:sz w:val="16"/>
              </w:rPr>
            </w:pPr>
            <w:r>
              <w:rPr>
                <w:w w:val="105"/>
                <w:sz w:val="16"/>
              </w:rPr>
              <w:t>≥90</w:t>
            </w:r>
          </w:p>
        </w:tc>
        <w:tc>
          <w:tcPr>
            <w:tcW w:w="1231" w:type="dxa"/>
          </w:tcPr>
          <w:p>
            <w:pPr>
              <w:pStyle w:val="TableParagraph"/>
              <w:ind w:left="152"/>
              <w:rPr>
                <w:sz w:val="16"/>
              </w:rPr>
            </w:pPr>
            <w:r>
              <w:rPr>
                <w:w w:val="105"/>
                <w:sz w:val="16"/>
              </w:rPr>
              <w:t>≥90</w:t>
            </w:r>
          </w:p>
        </w:tc>
        <w:tc>
          <w:tcPr>
            <w:tcW w:w="1666" w:type="dxa"/>
          </w:tcPr>
          <w:p>
            <w:pPr>
              <w:pStyle w:val="TableParagraph"/>
              <w:spacing w:before="0"/>
              <w:ind w:left="0"/>
              <w:rPr>
                <w:rFonts w:ascii="Times New Roman"/>
                <w:sz w:val="18"/>
              </w:rPr>
            </w:pPr>
          </w:p>
        </w:tc>
      </w:tr>
    </w:tbl>
    <w:p>
      <w:pPr>
        <w:pStyle w:val="Heading3"/>
        <w:spacing w:line="256" w:lineRule="auto" w:before="16"/>
        <w:ind w:left="380" w:right="134"/>
        <w:jc w:val="both"/>
      </w:pPr>
      <w:r>
        <w:rPr/>
        <w:pict>
          <v:shape style="position:absolute;margin-left:90.037003pt;margin-top:841.85199pt;width:422.45pt;height:.1pt;mso-position-horizontal-relative:page;mso-position-vertical-relative:page;z-index:15977984" coordorigin="1801,16837" coordsize="8449,1" path="m10249,16837l10249,16837,1801,16837,1801,16837,10249,16837xe" filled="true" fillcolor="#000000" stroked="false">
            <v:path arrowok="t"/>
            <v:fill type="solid"/>
            <w10:wrap type="none"/>
          </v:shape>
        </w:pict>
      </w:r>
      <w:r>
        <w:rPr/>
        <w:pict>
          <v:shape style="position:absolute;margin-left:90.037827pt;margin-top:71.994522pt;width:423.2pt;height:269.4pt;mso-position-horizontal-relative:page;mso-position-vertical-relative:paragraph;z-index:15978496"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56"/>
                    <w:gridCol w:w="1621"/>
                    <w:gridCol w:w="1621"/>
                    <w:gridCol w:w="1621"/>
                    <w:gridCol w:w="1621"/>
                    <w:gridCol w:w="503"/>
                  </w:tblGrid>
                  <w:tr>
                    <w:trPr>
                      <w:trHeight w:val="670" w:hRule="atLeast"/>
                    </w:trPr>
                    <w:tc>
                      <w:tcPr>
                        <w:tcW w:w="1456" w:type="dxa"/>
                        <w:vMerge w:val="restart"/>
                      </w:tcPr>
                      <w:p>
                        <w:pPr>
                          <w:pStyle w:val="TableParagraph"/>
                          <w:rPr>
                            <w:sz w:val="16"/>
                          </w:rPr>
                        </w:pPr>
                        <w:r>
                          <w:rPr>
                            <w:w w:val="105"/>
                            <w:sz w:val="16"/>
                          </w:rPr>
                          <w:t>Возраст</w:t>
                        </w:r>
                      </w:p>
                    </w:tc>
                    <w:tc>
                      <w:tcPr>
                        <w:tcW w:w="6987" w:type="dxa"/>
                        <w:gridSpan w:val="5"/>
                        <w:tcBorders>
                          <w:right w:val="nil"/>
                        </w:tcBorders>
                      </w:tcPr>
                      <w:p>
                        <w:pPr>
                          <w:pStyle w:val="TableParagraph"/>
                          <w:ind w:left="154"/>
                          <w:rPr>
                            <w:sz w:val="16"/>
                          </w:rPr>
                        </w:pPr>
                        <w:r>
                          <w:rPr>
                            <w:w w:val="105"/>
                            <w:sz w:val="16"/>
                          </w:rPr>
                          <w:t>Целевое значение САД (мм рт. ст.)</w:t>
                        </w:r>
                      </w:p>
                    </w:tc>
                  </w:tr>
                  <w:tr>
                    <w:trPr>
                      <w:trHeight w:val="925" w:hRule="atLeast"/>
                    </w:trPr>
                    <w:tc>
                      <w:tcPr>
                        <w:tcW w:w="1456" w:type="dxa"/>
                        <w:vMerge/>
                        <w:tcBorders>
                          <w:top w:val="nil"/>
                        </w:tcBorders>
                      </w:tcPr>
                      <w:p>
                        <w:pPr>
                          <w:rPr>
                            <w:sz w:val="2"/>
                            <w:szCs w:val="2"/>
                          </w:rPr>
                        </w:pPr>
                      </w:p>
                    </w:tc>
                    <w:tc>
                      <w:tcPr>
                        <w:tcW w:w="1621" w:type="dxa"/>
                      </w:tcPr>
                      <w:p>
                        <w:pPr>
                          <w:pStyle w:val="TableParagraph"/>
                          <w:ind w:left="154"/>
                          <w:rPr>
                            <w:sz w:val="16"/>
                          </w:rPr>
                        </w:pPr>
                        <w:r>
                          <w:rPr>
                            <w:w w:val="105"/>
                            <w:sz w:val="16"/>
                          </w:rPr>
                          <w:t>АГ</w:t>
                        </w:r>
                      </w:p>
                    </w:tc>
                    <w:tc>
                      <w:tcPr>
                        <w:tcW w:w="1621" w:type="dxa"/>
                      </w:tcPr>
                      <w:p>
                        <w:pPr>
                          <w:pStyle w:val="TableParagraph"/>
                          <w:ind w:left="154"/>
                          <w:rPr>
                            <w:sz w:val="16"/>
                          </w:rPr>
                        </w:pPr>
                        <w:r>
                          <w:rPr>
                            <w:w w:val="105"/>
                            <w:sz w:val="16"/>
                          </w:rPr>
                          <w:t>+СД</w:t>
                        </w:r>
                      </w:p>
                    </w:tc>
                    <w:tc>
                      <w:tcPr>
                        <w:tcW w:w="1621" w:type="dxa"/>
                      </w:tcPr>
                      <w:p>
                        <w:pPr>
                          <w:pStyle w:val="TableParagraph"/>
                          <w:ind w:left="154"/>
                          <w:rPr>
                            <w:sz w:val="16"/>
                          </w:rPr>
                        </w:pPr>
                        <w:r>
                          <w:rPr>
                            <w:w w:val="105"/>
                            <w:sz w:val="16"/>
                          </w:rPr>
                          <w:t>+ХБП</w:t>
                        </w:r>
                      </w:p>
                    </w:tc>
                    <w:tc>
                      <w:tcPr>
                        <w:tcW w:w="1621" w:type="dxa"/>
                      </w:tcPr>
                      <w:p>
                        <w:pPr>
                          <w:pStyle w:val="TableParagraph"/>
                          <w:ind w:left="153"/>
                          <w:rPr>
                            <w:sz w:val="16"/>
                          </w:rPr>
                        </w:pPr>
                        <w:r>
                          <w:rPr>
                            <w:w w:val="105"/>
                            <w:sz w:val="16"/>
                          </w:rPr>
                          <w:t>+ИБС</w:t>
                        </w:r>
                      </w:p>
                    </w:tc>
                    <w:tc>
                      <w:tcPr>
                        <w:tcW w:w="503" w:type="dxa"/>
                        <w:tcBorders>
                          <w:right w:val="nil"/>
                        </w:tcBorders>
                      </w:tcPr>
                      <w:p>
                        <w:pPr>
                          <w:pStyle w:val="TableParagraph"/>
                          <w:spacing w:line="204" w:lineRule="auto" w:before="161"/>
                          <w:ind w:left="153" w:right="-33"/>
                          <w:rPr>
                            <w:sz w:val="16"/>
                          </w:rPr>
                        </w:pPr>
                        <w:r>
                          <w:rPr>
                            <w:sz w:val="16"/>
                          </w:rPr>
                          <w:t>+Ин </w:t>
                        </w:r>
                        <w:r>
                          <w:rPr>
                            <w:w w:val="105"/>
                            <w:sz w:val="16"/>
                          </w:rPr>
                          <w:t>ТИА</w:t>
                        </w:r>
                      </w:p>
                    </w:tc>
                  </w:tr>
                  <w:tr>
                    <w:trPr>
                      <w:trHeight w:val="790" w:hRule="atLeast"/>
                    </w:trPr>
                    <w:tc>
                      <w:tcPr>
                        <w:tcW w:w="1456" w:type="dxa"/>
                      </w:tcPr>
                      <w:p>
                        <w:pPr>
                          <w:pStyle w:val="TableParagraph"/>
                          <w:rPr>
                            <w:sz w:val="16"/>
                          </w:rPr>
                        </w:pPr>
                        <w:r>
                          <w:rPr>
                            <w:w w:val="105"/>
                            <w:sz w:val="16"/>
                          </w:rPr>
                          <w:t>18–64 лет</w:t>
                        </w:r>
                      </w:p>
                    </w:tc>
                    <w:tc>
                      <w:tcPr>
                        <w:tcW w:w="1621" w:type="dxa"/>
                      </w:tcPr>
                      <w:p>
                        <w:pPr>
                          <w:pStyle w:val="TableParagraph"/>
                          <w:spacing w:line="204" w:lineRule="auto" w:before="161"/>
                          <w:ind w:left="154" w:right="142"/>
                          <w:jc w:val="both"/>
                          <w:rPr>
                            <w:sz w:val="16"/>
                          </w:rPr>
                        </w:pPr>
                        <w:r>
                          <w:rPr>
                            <w:w w:val="105"/>
                            <w:sz w:val="16"/>
                          </w:rPr>
                          <w:t>£130 при </w:t>
                        </w:r>
                        <w:r>
                          <w:rPr>
                            <w:sz w:val="16"/>
                          </w:rPr>
                          <w:t>переносимости </w:t>
                        </w:r>
                        <w:r>
                          <w:rPr>
                            <w:w w:val="105"/>
                            <w:sz w:val="16"/>
                          </w:rPr>
                          <w:t>Не &lt;120</w:t>
                        </w:r>
                      </w:p>
                    </w:tc>
                    <w:tc>
                      <w:tcPr>
                        <w:tcW w:w="1621" w:type="dxa"/>
                      </w:tcPr>
                      <w:p>
                        <w:pPr>
                          <w:pStyle w:val="TableParagraph"/>
                          <w:spacing w:line="204" w:lineRule="auto" w:before="161"/>
                          <w:ind w:left="154" w:right="142"/>
                          <w:jc w:val="both"/>
                          <w:rPr>
                            <w:sz w:val="16"/>
                          </w:rPr>
                        </w:pPr>
                        <w:r>
                          <w:rPr>
                            <w:w w:val="105"/>
                            <w:sz w:val="16"/>
                          </w:rPr>
                          <w:t>£130 при </w:t>
                        </w:r>
                        <w:r>
                          <w:rPr>
                            <w:sz w:val="16"/>
                          </w:rPr>
                          <w:t>переносимости </w:t>
                        </w:r>
                        <w:r>
                          <w:rPr>
                            <w:w w:val="105"/>
                            <w:sz w:val="16"/>
                          </w:rPr>
                          <w:t>Не &lt;120</w:t>
                        </w:r>
                      </w:p>
                    </w:tc>
                    <w:tc>
                      <w:tcPr>
                        <w:tcW w:w="1621" w:type="dxa"/>
                      </w:tcPr>
                      <w:p>
                        <w:pPr>
                          <w:pStyle w:val="TableParagraph"/>
                          <w:spacing w:line="180" w:lineRule="exact"/>
                          <w:ind w:left="154"/>
                          <w:rPr>
                            <w:sz w:val="16"/>
                          </w:rPr>
                        </w:pPr>
                        <w:r>
                          <w:rPr>
                            <w:w w:val="105"/>
                            <w:sz w:val="16"/>
                          </w:rPr>
                          <w:t>&lt;140   до </w:t>
                        </w:r>
                        <w:r>
                          <w:rPr>
                            <w:spacing w:val="13"/>
                            <w:w w:val="105"/>
                            <w:sz w:val="16"/>
                          </w:rPr>
                          <w:t> </w:t>
                        </w:r>
                        <w:r>
                          <w:rPr>
                            <w:w w:val="105"/>
                            <w:sz w:val="16"/>
                          </w:rPr>
                          <w:t>130</w:t>
                        </w:r>
                      </w:p>
                      <w:p>
                        <w:pPr>
                          <w:pStyle w:val="TableParagraph"/>
                          <w:spacing w:line="204" w:lineRule="auto" w:before="10"/>
                          <w:ind w:left="154"/>
                          <w:rPr>
                            <w:sz w:val="16"/>
                          </w:rPr>
                        </w:pPr>
                        <w:r>
                          <w:rPr>
                            <w:w w:val="105"/>
                            <w:sz w:val="16"/>
                          </w:rPr>
                          <w:t>при </w:t>
                        </w:r>
                        <w:r>
                          <w:rPr>
                            <w:sz w:val="16"/>
                          </w:rPr>
                          <w:t>переносимости</w:t>
                        </w:r>
                      </w:p>
                    </w:tc>
                    <w:tc>
                      <w:tcPr>
                        <w:tcW w:w="1621" w:type="dxa"/>
                      </w:tcPr>
                      <w:p>
                        <w:pPr>
                          <w:pStyle w:val="TableParagraph"/>
                          <w:spacing w:line="204" w:lineRule="auto" w:before="161"/>
                          <w:ind w:left="153" w:right="143"/>
                          <w:jc w:val="both"/>
                          <w:rPr>
                            <w:sz w:val="16"/>
                          </w:rPr>
                        </w:pPr>
                        <w:r>
                          <w:rPr>
                            <w:w w:val="105"/>
                            <w:sz w:val="16"/>
                          </w:rPr>
                          <w:t>£130 при </w:t>
                        </w:r>
                        <w:r>
                          <w:rPr>
                            <w:sz w:val="16"/>
                          </w:rPr>
                          <w:t>переносимости </w:t>
                        </w:r>
                        <w:r>
                          <w:rPr>
                            <w:w w:val="105"/>
                            <w:sz w:val="16"/>
                          </w:rPr>
                          <w:t>Не &lt;120</w:t>
                        </w:r>
                      </w:p>
                    </w:tc>
                    <w:tc>
                      <w:tcPr>
                        <w:tcW w:w="503" w:type="dxa"/>
                        <w:tcBorders>
                          <w:right w:val="nil"/>
                        </w:tcBorders>
                      </w:tcPr>
                      <w:p>
                        <w:pPr>
                          <w:pStyle w:val="TableParagraph"/>
                          <w:spacing w:line="204" w:lineRule="auto" w:before="161"/>
                          <w:ind w:left="153" w:right="22"/>
                          <w:jc w:val="both"/>
                          <w:rPr>
                            <w:sz w:val="16"/>
                          </w:rPr>
                        </w:pPr>
                        <w:r>
                          <w:rPr>
                            <w:sz w:val="16"/>
                          </w:rPr>
                          <w:t>£13 </w:t>
                        </w:r>
                        <w:r>
                          <w:rPr>
                            <w:w w:val="105"/>
                            <w:sz w:val="16"/>
                          </w:rPr>
                          <w:t>пер Не</w:t>
                        </w:r>
                      </w:p>
                    </w:tc>
                  </w:tr>
                  <w:tr>
                    <w:trPr>
                      <w:trHeight w:val="625" w:hRule="atLeast"/>
                    </w:trPr>
                    <w:tc>
                      <w:tcPr>
                        <w:tcW w:w="1456" w:type="dxa"/>
                      </w:tcPr>
                      <w:p>
                        <w:pPr>
                          <w:pStyle w:val="TableParagraph"/>
                          <w:spacing w:before="56"/>
                          <w:rPr>
                            <w:sz w:val="16"/>
                          </w:rPr>
                        </w:pPr>
                        <w:r>
                          <w:rPr>
                            <w:w w:val="105"/>
                            <w:sz w:val="16"/>
                          </w:rPr>
                          <w:t>65–79 лет</w:t>
                        </w:r>
                        <w:r>
                          <w:rPr>
                            <w:w w:val="105"/>
                            <w:position w:val="8"/>
                            <w:sz w:val="16"/>
                          </w:rPr>
                          <w:t>b</w:t>
                        </w:r>
                      </w:p>
                    </w:tc>
                    <w:tc>
                      <w:tcPr>
                        <w:tcW w:w="1621" w:type="dxa"/>
                      </w:tcPr>
                      <w:p>
                        <w:pPr>
                          <w:pStyle w:val="TableParagraph"/>
                          <w:tabs>
                            <w:tab w:pos="1142" w:val="left" w:leader="none"/>
                          </w:tabs>
                          <w:spacing w:line="204" w:lineRule="auto" w:before="161"/>
                          <w:ind w:left="154" w:right="142"/>
                          <w:rPr>
                            <w:sz w:val="16"/>
                          </w:rPr>
                        </w:pPr>
                        <w:r>
                          <w:rPr>
                            <w:w w:val="105"/>
                            <w:sz w:val="16"/>
                          </w:rPr>
                          <w:t>130–139</w:t>
                          <w:tab/>
                        </w:r>
                        <w:r>
                          <w:rPr>
                            <w:spacing w:val="-6"/>
                            <w:w w:val="105"/>
                            <w:sz w:val="16"/>
                          </w:rPr>
                          <w:t>при </w:t>
                        </w:r>
                        <w:r>
                          <w:rPr>
                            <w:sz w:val="16"/>
                          </w:rPr>
                          <w:t>переносимости</w:t>
                        </w:r>
                      </w:p>
                    </w:tc>
                    <w:tc>
                      <w:tcPr>
                        <w:tcW w:w="1621" w:type="dxa"/>
                      </w:tcPr>
                      <w:p>
                        <w:pPr>
                          <w:pStyle w:val="TableParagraph"/>
                          <w:tabs>
                            <w:tab w:pos="1141" w:val="left" w:leader="none"/>
                          </w:tabs>
                          <w:spacing w:line="204" w:lineRule="auto" w:before="161"/>
                          <w:ind w:left="154" w:right="143"/>
                          <w:rPr>
                            <w:sz w:val="16"/>
                          </w:rPr>
                        </w:pPr>
                        <w:r>
                          <w:rPr>
                            <w:w w:val="105"/>
                            <w:sz w:val="16"/>
                          </w:rPr>
                          <w:t>130–139</w:t>
                          <w:tab/>
                        </w:r>
                        <w:r>
                          <w:rPr>
                            <w:spacing w:val="-6"/>
                            <w:w w:val="105"/>
                            <w:sz w:val="16"/>
                          </w:rPr>
                          <w:t>при </w:t>
                        </w:r>
                        <w:r>
                          <w:rPr>
                            <w:sz w:val="16"/>
                          </w:rPr>
                          <w:t>переносимости</w:t>
                        </w:r>
                      </w:p>
                    </w:tc>
                    <w:tc>
                      <w:tcPr>
                        <w:tcW w:w="1621" w:type="dxa"/>
                      </w:tcPr>
                      <w:p>
                        <w:pPr>
                          <w:pStyle w:val="TableParagraph"/>
                          <w:tabs>
                            <w:tab w:pos="1141" w:val="left" w:leader="none"/>
                          </w:tabs>
                          <w:spacing w:line="204" w:lineRule="auto" w:before="161"/>
                          <w:ind w:left="154" w:right="143"/>
                          <w:rPr>
                            <w:sz w:val="16"/>
                          </w:rPr>
                        </w:pPr>
                        <w:r>
                          <w:rPr>
                            <w:w w:val="105"/>
                            <w:sz w:val="16"/>
                          </w:rPr>
                          <w:t>130–139</w:t>
                          <w:tab/>
                        </w:r>
                        <w:r>
                          <w:rPr>
                            <w:spacing w:val="-6"/>
                            <w:w w:val="105"/>
                            <w:sz w:val="16"/>
                          </w:rPr>
                          <w:t>при </w:t>
                        </w:r>
                        <w:r>
                          <w:rPr>
                            <w:sz w:val="16"/>
                          </w:rPr>
                          <w:t>переносимости</w:t>
                        </w:r>
                      </w:p>
                    </w:tc>
                    <w:tc>
                      <w:tcPr>
                        <w:tcW w:w="1621" w:type="dxa"/>
                      </w:tcPr>
                      <w:p>
                        <w:pPr>
                          <w:pStyle w:val="TableParagraph"/>
                          <w:tabs>
                            <w:tab w:pos="1141" w:val="left" w:leader="none"/>
                          </w:tabs>
                          <w:spacing w:line="204" w:lineRule="auto" w:before="161"/>
                          <w:ind w:left="153" w:right="143"/>
                          <w:rPr>
                            <w:sz w:val="16"/>
                          </w:rPr>
                        </w:pPr>
                        <w:r>
                          <w:rPr>
                            <w:w w:val="105"/>
                            <w:sz w:val="16"/>
                          </w:rPr>
                          <w:t>130–139</w:t>
                          <w:tab/>
                        </w:r>
                        <w:r>
                          <w:rPr>
                            <w:spacing w:val="-6"/>
                            <w:w w:val="105"/>
                            <w:sz w:val="16"/>
                          </w:rPr>
                          <w:t>при </w:t>
                        </w:r>
                        <w:r>
                          <w:rPr>
                            <w:sz w:val="16"/>
                          </w:rPr>
                          <w:t>переносимости</w:t>
                        </w:r>
                      </w:p>
                    </w:tc>
                    <w:tc>
                      <w:tcPr>
                        <w:tcW w:w="503" w:type="dxa"/>
                        <w:tcBorders>
                          <w:right w:val="nil"/>
                        </w:tcBorders>
                      </w:tcPr>
                      <w:p>
                        <w:pPr>
                          <w:pStyle w:val="TableParagraph"/>
                          <w:spacing w:line="180" w:lineRule="exact"/>
                          <w:ind w:left="153"/>
                          <w:rPr>
                            <w:sz w:val="16"/>
                          </w:rPr>
                        </w:pPr>
                        <w:r>
                          <w:rPr>
                            <w:w w:val="105"/>
                            <w:sz w:val="16"/>
                          </w:rPr>
                          <w:t>130</w:t>
                        </w:r>
                      </w:p>
                      <w:p>
                        <w:pPr>
                          <w:pStyle w:val="TableParagraph"/>
                          <w:spacing w:line="180" w:lineRule="exact" w:before="0"/>
                          <w:ind w:left="153"/>
                          <w:rPr>
                            <w:sz w:val="16"/>
                          </w:rPr>
                        </w:pPr>
                        <w:r>
                          <w:rPr>
                            <w:w w:val="105"/>
                            <w:sz w:val="16"/>
                          </w:rPr>
                          <w:t>пер</w:t>
                        </w:r>
                      </w:p>
                    </w:tc>
                  </w:tr>
                  <w:tr>
                    <w:trPr>
                      <w:trHeight w:val="625" w:hRule="atLeast"/>
                    </w:trPr>
                    <w:tc>
                      <w:tcPr>
                        <w:tcW w:w="1456" w:type="dxa"/>
                      </w:tcPr>
                      <w:p>
                        <w:pPr>
                          <w:pStyle w:val="TableParagraph"/>
                          <w:spacing w:before="56"/>
                          <w:rPr>
                            <w:sz w:val="16"/>
                          </w:rPr>
                        </w:pPr>
                        <w:r>
                          <w:rPr>
                            <w:w w:val="105"/>
                            <w:sz w:val="16"/>
                          </w:rPr>
                          <w:t>≥80 лет</w:t>
                        </w:r>
                        <w:r>
                          <w:rPr>
                            <w:w w:val="105"/>
                            <w:position w:val="8"/>
                            <w:sz w:val="16"/>
                          </w:rPr>
                          <w:t>b</w:t>
                        </w:r>
                      </w:p>
                    </w:tc>
                    <w:tc>
                      <w:tcPr>
                        <w:tcW w:w="1621" w:type="dxa"/>
                      </w:tcPr>
                      <w:p>
                        <w:pPr>
                          <w:pStyle w:val="TableParagraph"/>
                          <w:tabs>
                            <w:tab w:pos="1142" w:val="left" w:leader="none"/>
                          </w:tabs>
                          <w:spacing w:line="204" w:lineRule="auto" w:before="161"/>
                          <w:ind w:left="154" w:right="142"/>
                          <w:rPr>
                            <w:sz w:val="16"/>
                          </w:rPr>
                        </w:pPr>
                        <w:r>
                          <w:rPr>
                            <w:w w:val="105"/>
                            <w:sz w:val="16"/>
                          </w:rPr>
                          <w:t>130–139</w:t>
                          <w:tab/>
                        </w:r>
                        <w:r>
                          <w:rPr>
                            <w:spacing w:val="-6"/>
                            <w:w w:val="105"/>
                            <w:sz w:val="16"/>
                          </w:rPr>
                          <w:t>при </w:t>
                        </w:r>
                        <w:r>
                          <w:rPr>
                            <w:sz w:val="16"/>
                          </w:rPr>
                          <w:t>переносимости</w:t>
                        </w:r>
                      </w:p>
                    </w:tc>
                    <w:tc>
                      <w:tcPr>
                        <w:tcW w:w="1621" w:type="dxa"/>
                      </w:tcPr>
                      <w:p>
                        <w:pPr>
                          <w:pStyle w:val="TableParagraph"/>
                          <w:tabs>
                            <w:tab w:pos="1141" w:val="left" w:leader="none"/>
                          </w:tabs>
                          <w:spacing w:line="204" w:lineRule="auto" w:before="161"/>
                          <w:ind w:left="154" w:right="143"/>
                          <w:rPr>
                            <w:sz w:val="16"/>
                          </w:rPr>
                        </w:pPr>
                        <w:r>
                          <w:rPr>
                            <w:w w:val="105"/>
                            <w:sz w:val="16"/>
                          </w:rPr>
                          <w:t>130–139</w:t>
                          <w:tab/>
                        </w:r>
                        <w:r>
                          <w:rPr>
                            <w:spacing w:val="-6"/>
                            <w:w w:val="105"/>
                            <w:sz w:val="16"/>
                          </w:rPr>
                          <w:t>при </w:t>
                        </w:r>
                        <w:r>
                          <w:rPr>
                            <w:sz w:val="16"/>
                          </w:rPr>
                          <w:t>переносимости</w:t>
                        </w:r>
                      </w:p>
                    </w:tc>
                    <w:tc>
                      <w:tcPr>
                        <w:tcW w:w="1621" w:type="dxa"/>
                      </w:tcPr>
                      <w:p>
                        <w:pPr>
                          <w:pStyle w:val="TableParagraph"/>
                          <w:tabs>
                            <w:tab w:pos="1141" w:val="left" w:leader="none"/>
                          </w:tabs>
                          <w:spacing w:line="204" w:lineRule="auto" w:before="161"/>
                          <w:ind w:left="154" w:right="143"/>
                          <w:rPr>
                            <w:sz w:val="16"/>
                          </w:rPr>
                        </w:pPr>
                        <w:r>
                          <w:rPr>
                            <w:w w:val="105"/>
                            <w:sz w:val="16"/>
                          </w:rPr>
                          <w:t>130–139</w:t>
                          <w:tab/>
                        </w:r>
                        <w:r>
                          <w:rPr>
                            <w:spacing w:val="-6"/>
                            <w:w w:val="105"/>
                            <w:sz w:val="16"/>
                          </w:rPr>
                          <w:t>при </w:t>
                        </w:r>
                        <w:r>
                          <w:rPr>
                            <w:sz w:val="16"/>
                          </w:rPr>
                          <w:t>переносимости</w:t>
                        </w:r>
                      </w:p>
                    </w:tc>
                    <w:tc>
                      <w:tcPr>
                        <w:tcW w:w="1621" w:type="dxa"/>
                      </w:tcPr>
                      <w:p>
                        <w:pPr>
                          <w:pStyle w:val="TableParagraph"/>
                          <w:tabs>
                            <w:tab w:pos="1141" w:val="left" w:leader="none"/>
                          </w:tabs>
                          <w:spacing w:line="204" w:lineRule="auto" w:before="161"/>
                          <w:ind w:left="153" w:right="143"/>
                          <w:rPr>
                            <w:sz w:val="16"/>
                          </w:rPr>
                        </w:pPr>
                        <w:r>
                          <w:rPr>
                            <w:w w:val="105"/>
                            <w:sz w:val="16"/>
                          </w:rPr>
                          <w:t>130–139</w:t>
                          <w:tab/>
                        </w:r>
                        <w:r>
                          <w:rPr>
                            <w:spacing w:val="-6"/>
                            <w:w w:val="105"/>
                            <w:sz w:val="16"/>
                          </w:rPr>
                          <w:t>при </w:t>
                        </w:r>
                        <w:r>
                          <w:rPr>
                            <w:sz w:val="16"/>
                          </w:rPr>
                          <w:t>переносимости</w:t>
                        </w:r>
                      </w:p>
                    </w:tc>
                    <w:tc>
                      <w:tcPr>
                        <w:tcW w:w="503" w:type="dxa"/>
                        <w:tcBorders>
                          <w:right w:val="nil"/>
                        </w:tcBorders>
                      </w:tcPr>
                      <w:p>
                        <w:pPr>
                          <w:pStyle w:val="TableParagraph"/>
                          <w:spacing w:line="180" w:lineRule="exact"/>
                          <w:ind w:left="153"/>
                          <w:rPr>
                            <w:sz w:val="16"/>
                          </w:rPr>
                        </w:pPr>
                        <w:r>
                          <w:rPr>
                            <w:w w:val="105"/>
                            <w:sz w:val="16"/>
                          </w:rPr>
                          <w:t>130</w:t>
                        </w:r>
                      </w:p>
                      <w:p>
                        <w:pPr>
                          <w:pStyle w:val="TableParagraph"/>
                          <w:spacing w:line="180" w:lineRule="exact" w:before="0"/>
                          <w:ind w:left="153"/>
                          <w:rPr>
                            <w:sz w:val="16"/>
                          </w:rPr>
                        </w:pPr>
                        <w:r>
                          <w:rPr>
                            <w:w w:val="105"/>
                            <w:sz w:val="16"/>
                          </w:rPr>
                          <w:t>пер</w:t>
                        </w:r>
                      </w:p>
                    </w:tc>
                  </w:tr>
                  <w:tr>
                    <w:trPr>
                      <w:trHeight w:val="1615" w:hRule="atLeast"/>
                    </w:trPr>
                    <w:tc>
                      <w:tcPr>
                        <w:tcW w:w="1456" w:type="dxa"/>
                      </w:tcPr>
                      <w:p>
                        <w:pPr>
                          <w:pStyle w:val="TableParagraph"/>
                          <w:spacing w:line="204" w:lineRule="auto" w:before="161"/>
                          <w:ind w:right="100"/>
                          <w:rPr>
                            <w:sz w:val="16"/>
                          </w:rPr>
                        </w:pPr>
                        <w:r>
                          <w:rPr>
                            <w:w w:val="105"/>
                            <w:sz w:val="16"/>
                          </w:rPr>
                          <w:t>Целевое </w:t>
                        </w:r>
                        <w:r>
                          <w:rPr>
                            <w:sz w:val="16"/>
                          </w:rPr>
                          <w:t>значение </w:t>
                        </w:r>
                        <w:r>
                          <w:rPr>
                            <w:w w:val="105"/>
                            <w:sz w:val="16"/>
                          </w:rPr>
                          <w:t>ДАД,</w:t>
                        </w:r>
                      </w:p>
                      <w:p>
                        <w:pPr>
                          <w:pStyle w:val="TableParagraph"/>
                          <w:spacing w:line="204" w:lineRule="auto" w:before="0"/>
                          <w:ind w:right="100"/>
                          <w:rPr>
                            <w:sz w:val="16"/>
                          </w:rPr>
                        </w:pPr>
                        <w:r>
                          <w:rPr>
                            <w:w w:val="105"/>
                            <w:sz w:val="16"/>
                          </w:rPr>
                          <w:t>измеренного в </w:t>
                        </w:r>
                        <w:r>
                          <w:rPr>
                            <w:sz w:val="16"/>
                          </w:rPr>
                          <w:t>медицинском </w:t>
                        </w:r>
                        <w:r>
                          <w:rPr>
                            <w:w w:val="105"/>
                            <w:sz w:val="16"/>
                          </w:rPr>
                          <w:t>учреждении (мм рт. ст.)</w:t>
                        </w:r>
                      </w:p>
                    </w:tc>
                    <w:tc>
                      <w:tcPr>
                        <w:tcW w:w="1621" w:type="dxa"/>
                      </w:tcPr>
                      <w:p>
                        <w:pPr>
                          <w:pStyle w:val="TableParagraph"/>
                          <w:ind w:left="154"/>
                          <w:rPr>
                            <w:sz w:val="16"/>
                          </w:rPr>
                        </w:pPr>
                        <w:r>
                          <w:rPr>
                            <w:w w:val="105"/>
                            <w:sz w:val="16"/>
                          </w:rPr>
                          <w:t>70–79</w:t>
                        </w:r>
                      </w:p>
                    </w:tc>
                    <w:tc>
                      <w:tcPr>
                        <w:tcW w:w="1621" w:type="dxa"/>
                      </w:tcPr>
                      <w:p>
                        <w:pPr>
                          <w:pStyle w:val="TableParagraph"/>
                          <w:ind w:left="154"/>
                          <w:rPr>
                            <w:sz w:val="16"/>
                          </w:rPr>
                        </w:pPr>
                        <w:r>
                          <w:rPr>
                            <w:w w:val="105"/>
                            <w:sz w:val="16"/>
                          </w:rPr>
                          <w:t>70–79</w:t>
                        </w:r>
                      </w:p>
                    </w:tc>
                    <w:tc>
                      <w:tcPr>
                        <w:tcW w:w="1621" w:type="dxa"/>
                      </w:tcPr>
                      <w:p>
                        <w:pPr>
                          <w:pStyle w:val="TableParagraph"/>
                          <w:ind w:left="154"/>
                          <w:rPr>
                            <w:sz w:val="16"/>
                          </w:rPr>
                        </w:pPr>
                        <w:r>
                          <w:rPr>
                            <w:w w:val="105"/>
                            <w:sz w:val="16"/>
                          </w:rPr>
                          <w:t>70–79</w:t>
                        </w:r>
                      </w:p>
                    </w:tc>
                    <w:tc>
                      <w:tcPr>
                        <w:tcW w:w="1621" w:type="dxa"/>
                      </w:tcPr>
                      <w:p>
                        <w:pPr>
                          <w:pStyle w:val="TableParagraph"/>
                          <w:ind w:left="153"/>
                          <w:rPr>
                            <w:sz w:val="16"/>
                          </w:rPr>
                        </w:pPr>
                        <w:r>
                          <w:rPr>
                            <w:w w:val="105"/>
                            <w:sz w:val="16"/>
                          </w:rPr>
                          <w:t>70–79</w:t>
                        </w:r>
                      </w:p>
                    </w:tc>
                    <w:tc>
                      <w:tcPr>
                        <w:tcW w:w="503" w:type="dxa"/>
                        <w:tcBorders>
                          <w:right w:val="nil"/>
                        </w:tcBorders>
                      </w:tcPr>
                      <w:p>
                        <w:pPr>
                          <w:pStyle w:val="TableParagraph"/>
                          <w:ind w:left="153"/>
                          <w:rPr>
                            <w:sz w:val="16"/>
                          </w:rPr>
                        </w:pPr>
                        <w:r>
                          <w:rPr>
                            <w:w w:val="105"/>
                            <w:sz w:val="16"/>
                          </w:rPr>
                          <w:t>70–</w:t>
                        </w:r>
                      </w:p>
                    </w:tc>
                  </w:tr>
                </w:tbl>
                <w:p>
                  <w:pPr>
                    <w:pStyle w:val="BodyText"/>
                    <w:spacing w:before="0"/>
                    <w:ind w:left="0"/>
                    <w:jc w:val="left"/>
                  </w:pPr>
                </w:p>
              </w:txbxContent>
            </v:textbox>
            <w10:wrap type="none"/>
          </v:shape>
        </w:pict>
      </w:r>
      <w:r>
        <w:rPr>
          <w:w w:val="105"/>
        </w:rPr>
        <w:t>Таблица П3/Г4. Целевые значения АД, измеренного в медицинском учреждении, в зависимости от возраста и сопутствующих заболеваний.</w:t>
      </w: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spacing w:before="0"/>
        <w:ind w:left="0"/>
        <w:jc w:val="left"/>
        <w:rPr>
          <w:b/>
          <w:sz w:val="36"/>
        </w:rPr>
      </w:pPr>
    </w:p>
    <w:p>
      <w:pPr>
        <w:pStyle w:val="BodyText"/>
        <w:ind w:left="0"/>
        <w:jc w:val="left"/>
        <w:rPr>
          <w:b/>
          <w:sz w:val="49"/>
        </w:rPr>
      </w:pPr>
    </w:p>
    <w:p>
      <w:pPr>
        <w:pStyle w:val="BodyText"/>
        <w:spacing w:line="256" w:lineRule="auto" w:before="0"/>
        <w:ind w:left="380" w:right="134"/>
      </w:pPr>
      <w:r>
        <w:rPr>
          <w:position w:val="14"/>
        </w:rPr>
        <w:t>а</w:t>
      </w:r>
      <w:r>
        <w:rPr/>
        <w:t>Относится к пациентам с инсультом в анамнезе, а не к показателям АД в остром периоде инсульта.</w:t>
      </w:r>
    </w:p>
    <w:p>
      <w:pPr>
        <w:pStyle w:val="BodyText"/>
        <w:spacing w:line="256" w:lineRule="auto" w:before="131"/>
        <w:ind w:left="380" w:right="137"/>
        <w:rPr>
          <w:b/>
        </w:rPr>
      </w:pPr>
      <w:r>
        <w:rPr>
          <w:position w:val="14"/>
        </w:rPr>
        <w:t>b</w:t>
      </w:r>
      <w:r>
        <w:rPr/>
        <w:t>Целевые значения могут меняться у пожилых пациентов с синдромом старческой астении</w:t>
      </w:r>
      <w:r>
        <w:rPr>
          <w:b/>
        </w:rPr>
        <w:t>.</w:t>
      </w:r>
    </w:p>
    <w:p>
      <w:pPr>
        <w:pStyle w:val="Heading3"/>
        <w:spacing w:line="256" w:lineRule="auto"/>
        <w:ind w:left="380" w:right="132"/>
        <w:jc w:val="both"/>
      </w:pPr>
      <w:r>
        <w:rPr/>
        <w:t>Таблица П4/Г4. Противопоказания к назначению отдельных классов антигипертензивных препаратов</w:t>
      </w:r>
    </w:p>
    <w:p>
      <w:pPr>
        <w:pStyle w:val="BodyText"/>
        <w:spacing w:before="11"/>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45"/>
        <w:gridCol w:w="376"/>
        <w:gridCol w:w="3436"/>
        <w:gridCol w:w="2776"/>
      </w:tblGrid>
      <w:tr>
        <w:trPr>
          <w:trHeight w:val="460" w:hRule="atLeast"/>
        </w:trPr>
        <w:tc>
          <w:tcPr>
            <w:tcW w:w="2221" w:type="dxa"/>
            <w:gridSpan w:val="2"/>
            <w:vMerge w:val="restart"/>
          </w:tcPr>
          <w:p>
            <w:pPr>
              <w:pStyle w:val="TableParagraph"/>
              <w:rPr>
                <w:b/>
                <w:sz w:val="16"/>
              </w:rPr>
            </w:pPr>
            <w:r>
              <w:rPr>
                <w:b/>
                <w:w w:val="105"/>
                <w:sz w:val="16"/>
              </w:rPr>
              <w:t>Препараты</w:t>
            </w:r>
          </w:p>
        </w:tc>
        <w:tc>
          <w:tcPr>
            <w:tcW w:w="6212" w:type="dxa"/>
            <w:gridSpan w:val="2"/>
          </w:tcPr>
          <w:p>
            <w:pPr>
              <w:pStyle w:val="TableParagraph"/>
              <w:rPr>
                <w:b/>
                <w:sz w:val="16"/>
              </w:rPr>
            </w:pPr>
            <w:r>
              <w:rPr>
                <w:b/>
                <w:w w:val="105"/>
                <w:sz w:val="16"/>
              </w:rPr>
              <w:t>Противопоказания</w:t>
            </w:r>
          </w:p>
        </w:tc>
      </w:tr>
      <w:tr>
        <w:trPr>
          <w:trHeight w:val="460" w:hRule="atLeast"/>
        </w:trPr>
        <w:tc>
          <w:tcPr>
            <w:tcW w:w="2221" w:type="dxa"/>
            <w:gridSpan w:val="2"/>
            <w:vMerge/>
            <w:tcBorders>
              <w:top w:val="nil"/>
            </w:tcBorders>
          </w:tcPr>
          <w:p>
            <w:pPr>
              <w:rPr>
                <w:sz w:val="2"/>
                <w:szCs w:val="2"/>
              </w:rPr>
            </w:pPr>
          </w:p>
        </w:tc>
        <w:tc>
          <w:tcPr>
            <w:tcW w:w="3436" w:type="dxa"/>
          </w:tcPr>
          <w:p>
            <w:pPr>
              <w:pStyle w:val="TableParagraph"/>
              <w:rPr>
                <w:b/>
                <w:sz w:val="16"/>
              </w:rPr>
            </w:pPr>
            <w:r>
              <w:rPr>
                <w:b/>
                <w:w w:val="105"/>
                <w:sz w:val="16"/>
              </w:rPr>
              <w:t>Абсолютные</w:t>
            </w:r>
          </w:p>
        </w:tc>
        <w:tc>
          <w:tcPr>
            <w:tcW w:w="2776" w:type="dxa"/>
          </w:tcPr>
          <w:p>
            <w:pPr>
              <w:pStyle w:val="TableParagraph"/>
              <w:rPr>
                <w:b/>
                <w:sz w:val="16"/>
              </w:rPr>
            </w:pPr>
            <w:r>
              <w:rPr>
                <w:b/>
                <w:w w:val="105"/>
                <w:sz w:val="16"/>
              </w:rPr>
              <w:t>Относительные</w:t>
            </w:r>
          </w:p>
        </w:tc>
      </w:tr>
      <w:tr>
        <w:trPr>
          <w:trHeight w:val="314" w:hRule="atLeast"/>
        </w:trPr>
        <w:tc>
          <w:tcPr>
            <w:tcW w:w="1845" w:type="dxa"/>
            <w:tcBorders>
              <w:bottom w:val="nil"/>
              <w:right w:val="nil"/>
            </w:tcBorders>
          </w:tcPr>
          <w:p>
            <w:pPr>
              <w:pStyle w:val="TableParagraph"/>
              <w:spacing w:line="158" w:lineRule="exact"/>
              <w:rPr>
                <w:sz w:val="16"/>
              </w:rPr>
            </w:pPr>
            <w:r>
              <w:rPr>
                <w:w w:val="105"/>
                <w:sz w:val="16"/>
              </w:rPr>
              <w:t>Диуретики</w:t>
            </w:r>
          </w:p>
        </w:tc>
        <w:tc>
          <w:tcPr>
            <w:tcW w:w="376" w:type="dxa"/>
            <w:tcBorders>
              <w:left w:val="nil"/>
              <w:bottom w:val="nil"/>
            </w:tcBorders>
          </w:tcPr>
          <w:p>
            <w:pPr>
              <w:pStyle w:val="TableParagraph"/>
              <w:spacing w:before="0"/>
              <w:ind w:left="0"/>
              <w:rPr>
                <w:rFonts w:ascii="Times New Roman"/>
                <w:sz w:val="18"/>
              </w:rPr>
            </w:pPr>
          </w:p>
        </w:tc>
        <w:tc>
          <w:tcPr>
            <w:tcW w:w="3436" w:type="dxa"/>
            <w:tcBorders>
              <w:bottom w:val="nil"/>
            </w:tcBorders>
          </w:tcPr>
          <w:p>
            <w:pPr>
              <w:pStyle w:val="TableParagraph"/>
              <w:spacing w:line="158" w:lineRule="exact"/>
              <w:rPr>
                <w:sz w:val="16"/>
              </w:rPr>
            </w:pPr>
            <w:r>
              <w:rPr>
                <w:w w:val="105"/>
                <w:sz w:val="16"/>
              </w:rPr>
              <w:t>Подагра</w:t>
            </w:r>
          </w:p>
        </w:tc>
        <w:tc>
          <w:tcPr>
            <w:tcW w:w="2776" w:type="dxa"/>
            <w:tcBorders>
              <w:bottom w:val="nil"/>
            </w:tcBorders>
          </w:tcPr>
          <w:p>
            <w:pPr>
              <w:pStyle w:val="TableParagraph"/>
              <w:spacing w:line="158" w:lineRule="exact"/>
              <w:rPr>
                <w:sz w:val="16"/>
              </w:rPr>
            </w:pPr>
            <w:r>
              <w:rPr>
                <w:w w:val="105"/>
                <w:sz w:val="16"/>
              </w:rPr>
              <w:t>Метаболический синдром</w:t>
            </w:r>
          </w:p>
        </w:tc>
      </w:tr>
      <w:tr>
        <w:trPr>
          <w:trHeight w:val="165" w:hRule="atLeast"/>
        </w:trPr>
        <w:tc>
          <w:tcPr>
            <w:tcW w:w="1845" w:type="dxa"/>
            <w:tcBorders>
              <w:top w:val="nil"/>
              <w:bottom w:val="nil"/>
              <w:right w:val="nil"/>
            </w:tcBorders>
          </w:tcPr>
          <w:p>
            <w:pPr>
              <w:pStyle w:val="TableParagraph"/>
              <w:spacing w:line="145" w:lineRule="exact" w:before="0"/>
              <w:rPr>
                <w:sz w:val="16"/>
              </w:rPr>
            </w:pPr>
            <w:r>
              <w:rPr>
                <w:w w:val="105"/>
                <w:sz w:val="16"/>
              </w:rPr>
              <w:t>(тиазидовые/</w:t>
            </w:r>
          </w:p>
        </w:tc>
        <w:tc>
          <w:tcPr>
            <w:tcW w:w="376" w:type="dxa"/>
            <w:tcBorders>
              <w:top w:val="nil"/>
              <w:left w:val="nil"/>
              <w:bottom w:val="nil"/>
            </w:tcBorders>
          </w:tcPr>
          <w:p>
            <w:pPr>
              <w:pStyle w:val="TableParagraph"/>
              <w:spacing w:before="0"/>
              <w:ind w:left="0"/>
              <w:rPr>
                <w:rFonts w:ascii="Times New Roman"/>
                <w:sz w:val="10"/>
              </w:rPr>
            </w:pPr>
          </w:p>
        </w:tc>
        <w:tc>
          <w:tcPr>
            <w:tcW w:w="3436" w:type="dxa"/>
            <w:tcBorders>
              <w:top w:val="nil"/>
              <w:bottom w:val="nil"/>
            </w:tcBorders>
          </w:tcPr>
          <w:p>
            <w:pPr>
              <w:pStyle w:val="TableParagraph"/>
              <w:spacing w:before="0"/>
              <w:ind w:left="0"/>
              <w:rPr>
                <w:rFonts w:ascii="Times New Roman"/>
                <w:sz w:val="10"/>
              </w:rPr>
            </w:pPr>
          </w:p>
        </w:tc>
        <w:tc>
          <w:tcPr>
            <w:tcW w:w="2776" w:type="dxa"/>
            <w:tcBorders>
              <w:top w:val="nil"/>
              <w:bottom w:val="nil"/>
            </w:tcBorders>
          </w:tcPr>
          <w:p>
            <w:pPr>
              <w:pStyle w:val="TableParagraph"/>
              <w:spacing w:line="145" w:lineRule="exact" w:before="0"/>
              <w:rPr>
                <w:sz w:val="16"/>
              </w:rPr>
            </w:pPr>
            <w:r>
              <w:rPr>
                <w:w w:val="105"/>
                <w:sz w:val="16"/>
              </w:rPr>
              <w:t>Нарушение толерантности к</w:t>
            </w:r>
          </w:p>
        </w:tc>
      </w:tr>
      <w:tr>
        <w:trPr>
          <w:trHeight w:val="165" w:hRule="atLeast"/>
        </w:trPr>
        <w:tc>
          <w:tcPr>
            <w:tcW w:w="1845" w:type="dxa"/>
            <w:tcBorders>
              <w:top w:val="nil"/>
              <w:bottom w:val="nil"/>
              <w:right w:val="nil"/>
            </w:tcBorders>
          </w:tcPr>
          <w:p>
            <w:pPr>
              <w:pStyle w:val="TableParagraph"/>
              <w:spacing w:line="145" w:lineRule="exact" w:before="0"/>
              <w:rPr>
                <w:sz w:val="16"/>
              </w:rPr>
            </w:pPr>
            <w:r>
              <w:rPr>
                <w:w w:val="105"/>
                <w:sz w:val="16"/>
              </w:rPr>
              <w:t>тиазидоподобные,</w:t>
            </w:r>
          </w:p>
        </w:tc>
        <w:tc>
          <w:tcPr>
            <w:tcW w:w="376" w:type="dxa"/>
            <w:tcBorders>
              <w:top w:val="nil"/>
              <w:left w:val="nil"/>
              <w:bottom w:val="nil"/>
            </w:tcBorders>
          </w:tcPr>
          <w:p>
            <w:pPr>
              <w:pStyle w:val="TableParagraph"/>
              <w:spacing w:before="0"/>
              <w:ind w:left="0"/>
              <w:rPr>
                <w:rFonts w:ascii="Times New Roman"/>
                <w:sz w:val="10"/>
              </w:rPr>
            </w:pPr>
          </w:p>
        </w:tc>
        <w:tc>
          <w:tcPr>
            <w:tcW w:w="3436" w:type="dxa"/>
            <w:tcBorders>
              <w:top w:val="nil"/>
              <w:bottom w:val="nil"/>
            </w:tcBorders>
          </w:tcPr>
          <w:p>
            <w:pPr>
              <w:pStyle w:val="TableParagraph"/>
              <w:spacing w:before="0"/>
              <w:ind w:left="0"/>
              <w:rPr>
                <w:rFonts w:ascii="Times New Roman"/>
                <w:sz w:val="10"/>
              </w:rPr>
            </w:pPr>
          </w:p>
        </w:tc>
        <w:tc>
          <w:tcPr>
            <w:tcW w:w="2776" w:type="dxa"/>
            <w:tcBorders>
              <w:top w:val="nil"/>
              <w:bottom w:val="nil"/>
            </w:tcBorders>
          </w:tcPr>
          <w:p>
            <w:pPr>
              <w:pStyle w:val="TableParagraph"/>
              <w:spacing w:line="145" w:lineRule="exact" w:before="0"/>
              <w:rPr>
                <w:sz w:val="16"/>
              </w:rPr>
            </w:pPr>
            <w:r>
              <w:rPr>
                <w:w w:val="105"/>
                <w:sz w:val="16"/>
              </w:rPr>
              <w:t>глюкозе</w:t>
            </w:r>
          </w:p>
        </w:tc>
      </w:tr>
      <w:tr>
        <w:trPr>
          <w:trHeight w:val="165" w:hRule="atLeast"/>
        </w:trPr>
        <w:tc>
          <w:tcPr>
            <w:tcW w:w="1845" w:type="dxa"/>
            <w:tcBorders>
              <w:top w:val="nil"/>
              <w:bottom w:val="nil"/>
              <w:right w:val="nil"/>
            </w:tcBorders>
          </w:tcPr>
          <w:p>
            <w:pPr>
              <w:pStyle w:val="TableParagraph"/>
              <w:spacing w:line="145" w:lineRule="exact" w:before="0"/>
              <w:rPr>
                <w:sz w:val="16"/>
              </w:rPr>
            </w:pPr>
            <w:r>
              <w:rPr>
                <w:w w:val="105"/>
                <w:sz w:val="16"/>
              </w:rPr>
              <w:t>например,</w:t>
            </w:r>
          </w:p>
        </w:tc>
        <w:tc>
          <w:tcPr>
            <w:tcW w:w="376" w:type="dxa"/>
            <w:tcBorders>
              <w:top w:val="nil"/>
              <w:left w:val="nil"/>
              <w:bottom w:val="nil"/>
            </w:tcBorders>
          </w:tcPr>
          <w:p>
            <w:pPr>
              <w:pStyle w:val="TableParagraph"/>
              <w:spacing w:before="0"/>
              <w:ind w:left="0"/>
              <w:rPr>
                <w:rFonts w:ascii="Times New Roman"/>
                <w:sz w:val="10"/>
              </w:rPr>
            </w:pPr>
          </w:p>
        </w:tc>
        <w:tc>
          <w:tcPr>
            <w:tcW w:w="3436" w:type="dxa"/>
            <w:tcBorders>
              <w:top w:val="nil"/>
              <w:bottom w:val="nil"/>
            </w:tcBorders>
          </w:tcPr>
          <w:p>
            <w:pPr>
              <w:pStyle w:val="TableParagraph"/>
              <w:spacing w:before="0"/>
              <w:ind w:left="0"/>
              <w:rPr>
                <w:rFonts w:ascii="Times New Roman"/>
                <w:sz w:val="10"/>
              </w:rPr>
            </w:pPr>
          </w:p>
        </w:tc>
        <w:tc>
          <w:tcPr>
            <w:tcW w:w="2776" w:type="dxa"/>
            <w:tcBorders>
              <w:top w:val="nil"/>
              <w:bottom w:val="nil"/>
            </w:tcBorders>
          </w:tcPr>
          <w:p>
            <w:pPr>
              <w:pStyle w:val="TableParagraph"/>
              <w:spacing w:line="145" w:lineRule="exact" w:before="0"/>
              <w:rPr>
                <w:sz w:val="16"/>
              </w:rPr>
            </w:pPr>
            <w:r>
              <w:rPr>
                <w:w w:val="105"/>
                <w:sz w:val="16"/>
              </w:rPr>
              <w:t>Беременность</w:t>
            </w:r>
          </w:p>
        </w:tc>
      </w:tr>
      <w:tr>
        <w:trPr>
          <w:trHeight w:val="165" w:hRule="atLeast"/>
        </w:trPr>
        <w:tc>
          <w:tcPr>
            <w:tcW w:w="1845" w:type="dxa"/>
            <w:tcBorders>
              <w:top w:val="nil"/>
              <w:bottom w:val="nil"/>
              <w:right w:val="nil"/>
            </w:tcBorders>
          </w:tcPr>
          <w:p>
            <w:pPr>
              <w:pStyle w:val="TableParagraph"/>
              <w:spacing w:line="145" w:lineRule="exact" w:before="0"/>
              <w:rPr>
                <w:sz w:val="16"/>
              </w:rPr>
            </w:pPr>
            <w:r>
              <w:rPr>
                <w:w w:val="105"/>
                <w:sz w:val="16"/>
              </w:rPr>
              <w:t>хлорталидон</w:t>
            </w:r>
          </w:p>
        </w:tc>
        <w:tc>
          <w:tcPr>
            <w:tcW w:w="376" w:type="dxa"/>
            <w:tcBorders>
              <w:top w:val="nil"/>
              <w:left w:val="nil"/>
              <w:bottom w:val="nil"/>
            </w:tcBorders>
          </w:tcPr>
          <w:p>
            <w:pPr>
              <w:pStyle w:val="TableParagraph"/>
              <w:spacing w:line="145" w:lineRule="exact" w:before="0"/>
              <w:ind w:left="108"/>
              <w:rPr>
                <w:sz w:val="16"/>
              </w:rPr>
            </w:pPr>
            <w:r>
              <w:rPr>
                <w:w w:val="103"/>
                <w:sz w:val="16"/>
              </w:rPr>
              <w:t>и</w:t>
            </w:r>
          </w:p>
        </w:tc>
        <w:tc>
          <w:tcPr>
            <w:tcW w:w="3436" w:type="dxa"/>
            <w:tcBorders>
              <w:top w:val="nil"/>
              <w:bottom w:val="nil"/>
            </w:tcBorders>
          </w:tcPr>
          <w:p>
            <w:pPr>
              <w:pStyle w:val="TableParagraph"/>
              <w:spacing w:before="0"/>
              <w:ind w:left="0"/>
              <w:rPr>
                <w:rFonts w:ascii="Times New Roman"/>
                <w:sz w:val="10"/>
              </w:rPr>
            </w:pPr>
          </w:p>
        </w:tc>
        <w:tc>
          <w:tcPr>
            <w:tcW w:w="2776" w:type="dxa"/>
            <w:tcBorders>
              <w:top w:val="nil"/>
              <w:bottom w:val="nil"/>
            </w:tcBorders>
          </w:tcPr>
          <w:p>
            <w:pPr>
              <w:pStyle w:val="TableParagraph"/>
              <w:spacing w:line="145" w:lineRule="exact" w:before="0"/>
              <w:rPr>
                <w:sz w:val="16"/>
              </w:rPr>
            </w:pPr>
            <w:r>
              <w:rPr>
                <w:w w:val="105"/>
                <w:sz w:val="16"/>
              </w:rPr>
              <w:t>Гиперкальциемия</w:t>
            </w:r>
          </w:p>
        </w:tc>
      </w:tr>
      <w:tr>
        <w:trPr>
          <w:trHeight w:val="310" w:hRule="atLeast"/>
        </w:trPr>
        <w:tc>
          <w:tcPr>
            <w:tcW w:w="1845" w:type="dxa"/>
            <w:tcBorders>
              <w:top w:val="nil"/>
              <w:right w:val="nil"/>
            </w:tcBorders>
          </w:tcPr>
          <w:p>
            <w:pPr>
              <w:pStyle w:val="TableParagraph"/>
              <w:spacing w:line="182" w:lineRule="exact" w:before="0"/>
              <w:rPr>
                <w:sz w:val="16"/>
              </w:rPr>
            </w:pPr>
            <w:r>
              <w:rPr>
                <w:w w:val="105"/>
                <w:sz w:val="16"/>
              </w:rPr>
              <w:t>индапамид)</w:t>
            </w:r>
          </w:p>
        </w:tc>
        <w:tc>
          <w:tcPr>
            <w:tcW w:w="376" w:type="dxa"/>
            <w:tcBorders>
              <w:top w:val="nil"/>
              <w:left w:val="nil"/>
            </w:tcBorders>
          </w:tcPr>
          <w:p>
            <w:pPr>
              <w:pStyle w:val="TableParagraph"/>
              <w:spacing w:before="0"/>
              <w:ind w:left="0"/>
              <w:rPr>
                <w:rFonts w:ascii="Times New Roman"/>
                <w:sz w:val="18"/>
              </w:rPr>
            </w:pPr>
          </w:p>
        </w:tc>
        <w:tc>
          <w:tcPr>
            <w:tcW w:w="3436" w:type="dxa"/>
            <w:tcBorders>
              <w:top w:val="nil"/>
            </w:tcBorders>
          </w:tcPr>
          <w:p>
            <w:pPr>
              <w:pStyle w:val="TableParagraph"/>
              <w:spacing w:before="0"/>
              <w:ind w:left="0"/>
              <w:rPr>
                <w:rFonts w:ascii="Times New Roman"/>
                <w:sz w:val="18"/>
              </w:rPr>
            </w:pPr>
          </w:p>
        </w:tc>
        <w:tc>
          <w:tcPr>
            <w:tcW w:w="2776" w:type="dxa"/>
            <w:tcBorders>
              <w:top w:val="nil"/>
            </w:tcBorders>
          </w:tcPr>
          <w:p>
            <w:pPr>
              <w:pStyle w:val="TableParagraph"/>
              <w:spacing w:line="182" w:lineRule="exact" w:before="0"/>
              <w:rPr>
                <w:sz w:val="16"/>
              </w:rPr>
            </w:pPr>
            <w:r>
              <w:rPr>
                <w:w w:val="105"/>
                <w:sz w:val="16"/>
              </w:rPr>
              <w:t>Гипокалиемия</w:t>
            </w:r>
          </w:p>
        </w:tc>
      </w:tr>
    </w:tbl>
    <w:p>
      <w:pPr>
        <w:spacing w:after="0" w:line="182" w:lineRule="exact"/>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21"/>
        <w:gridCol w:w="3437"/>
        <w:gridCol w:w="2777"/>
      </w:tblGrid>
      <w:tr>
        <w:trPr>
          <w:trHeight w:val="1120" w:hRule="atLeast"/>
        </w:trPr>
        <w:tc>
          <w:tcPr>
            <w:tcW w:w="2221" w:type="dxa"/>
          </w:tcPr>
          <w:p>
            <w:pPr>
              <w:pStyle w:val="TableParagraph"/>
              <w:spacing w:line="204" w:lineRule="auto" w:before="161"/>
              <w:ind w:right="141"/>
              <w:rPr>
                <w:sz w:val="16"/>
              </w:rPr>
            </w:pPr>
            <w:r>
              <w:rPr>
                <w:w w:val="105"/>
                <w:sz w:val="16"/>
              </w:rPr>
              <w:t>Бета- </w:t>
            </w:r>
            <w:r>
              <w:rPr>
                <w:sz w:val="16"/>
              </w:rPr>
              <w:t>адреноблокаторы</w:t>
            </w:r>
          </w:p>
        </w:tc>
        <w:tc>
          <w:tcPr>
            <w:tcW w:w="3437" w:type="dxa"/>
          </w:tcPr>
          <w:p>
            <w:pPr>
              <w:pStyle w:val="TableParagraph"/>
              <w:tabs>
                <w:tab w:pos="2948" w:val="left" w:leader="none"/>
              </w:tabs>
              <w:spacing w:line="204" w:lineRule="auto" w:before="161"/>
              <w:ind w:right="151"/>
              <w:rPr>
                <w:sz w:val="16"/>
              </w:rPr>
            </w:pPr>
            <w:r>
              <w:rPr>
                <w:w w:val="105"/>
                <w:sz w:val="16"/>
              </w:rPr>
              <w:t>Бронхиальная астма Синоатриальная</w:t>
              <w:tab/>
            </w:r>
            <w:r>
              <w:rPr>
                <w:spacing w:val="-6"/>
                <w:w w:val="105"/>
                <w:sz w:val="16"/>
              </w:rPr>
              <w:t>или </w:t>
            </w:r>
            <w:r>
              <w:rPr>
                <w:w w:val="105"/>
                <w:sz w:val="16"/>
              </w:rPr>
              <w:t>атриовентрикулярная блокада</w:t>
            </w:r>
            <w:r>
              <w:rPr>
                <w:spacing w:val="-31"/>
                <w:w w:val="105"/>
                <w:sz w:val="16"/>
              </w:rPr>
              <w:t> </w:t>
            </w:r>
            <w:r>
              <w:rPr>
                <w:spacing w:val="-5"/>
                <w:w w:val="105"/>
                <w:sz w:val="16"/>
              </w:rPr>
              <w:t>2–3- </w:t>
            </w:r>
            <w:r>
              <w:rPr>
                <w:w w:val="105"/>
                <w:sz w:val="16"/>
              </w:rPr>
              <w:t>й</w:t>
            </w:r>
            <w:r>
              <w:rPr>
                <w:spacing w:val="-3"/>
                <w:w w:val="105"/>
                <w:sz w:val="16"/>
              </w:rPr>
              <w:t> </w:t>
            </w:r>
            <w:r>
              <w:rPr>
                <w:w w:val="105"/>
                <w:sz w:val="16"/>
              </w:rPr>
              <w:t>степени</w:t>
            </w:r>
          </w:p>
          <w:p>
            <w:pPr>
              <w:pStyle w:val="TableParagraph"/>
              <w:spacing w:line="169" w:lineRule="exact" w:before="0"/>
              <w:rPr>
                <w:sz w:val="16"/>
              </w:rPr>
            </w:pPr>
            <w:r>
              <w:rPr>
                <w:w w:val="105"/>
                <w:sz w:val="16"/>
              </w:rPr>
              <w:t>Брадикардия (ЧСС &lt;60 в минуту)</w:t>
            </w:r>
          </w:p>
        </w:tc>
        <w:tc>
          <w:tcPr>
            <w:tcW w:w="2777" w:type="dxa"/>
          </w:tcPr>
          <w:p>
            <w:pPr>
              <w:pStyle w:val="TableParagraph"/>
              <w:spacing w:line="204" w:lineRule="auto" w:before="161"/>
              <w:ind w:left="154"/>
              <w:rPr>
                <w:sz w:val="16"/>
              </w:rPr>
            </w:pPr>
            <w:r>
              <w:rPr>
                <w:w w:val="105"/>
                <w:sz w:val="16"/>
              </w:rPr>
              <w:t>Метаболический синдром Нарушение толерантности к глюкозе</w:t>
            </w:r>
          </w:p>
          <w:p>
            <w:pPr>
              <w:pStyle w:val="TableParagraph"/>
              <w:spacing w:line="204" w:lineRule="auto" w:before="0"/>
              <w:ind w:left="154"/>
              <w:rPr>
                <w:sz w:val="16"/>
              </w:rPr>
            </w:pPr>
            <w:r>
              <w:rPr>
                <w:w w:val="105"/>
                <w:sz w:val="16"/>
              </w:rPr>
              <w:t>Спортсмены и физически активные лица</w:t>
            </w:r>
          </w:p>
        </w:tc>
      </w:tr>
      <w:tr>
        <w:trPr>
          <w:trHeight w:val="1120" w:hRule="atLeast"/>
        </w:trPr>
        <w:tc>
          <w:tcPr>
            <w:tcW w:w="2221" w:type="dxa"/>
          </w:tcPr>
          <w:p>
            <w:pPr>
              <w:pStyle w:val="TableParagraph"/>
              <w:spacing w:line="204" w:lineRule="auto" w:before="161"/>
              <w:ind w:right="141"/>
              <w:rPr>
                <w:sz w:val="16"/>
              </w:rPr>
            </w:pPr>
            <w:r>
              <w:rPr>
                <w:w w:val="105"/>
                <w:sz w:val="16"/>
              </w:rPr>
              <w:t>Антагонисты кальция (дигидропиридины)</w:t>
            </w:r>
          </w:p>
        </w:tc>
        <w:tc>
          <w:tcPr>
            <w:tcW w:w="3437" w:type="dxa"/>
          </w:tcPr>
          <w:p>
            <w:pPr>
              <w:pStyle w:val="TableParagraph"/>
              <w:spacing w:before="0"/>
              <w:ind w:left="0"/>
              <w:rPr>
                <w:rFonts w:ascii="Times New Roman"/>
                <w:sz w:val="16"/>
              </w:rPr>
            </w:pPr>
          </w:p>
        </w:tc>
        <w:tc>
          <w:tcPr>
            <w:tcW w:w="2777" w:type="dxa"/>
          </w:tcPr>
          <w:p>
            <w:pPr>
              <w:pStyle w:val="TableParagraph"/>
              <w:spacing w:line="180" w:lineRule="exact"/>
              <w:ind w:left="154"/>
              <w:rPr>
                <w:sz w:val="16"/>
              </w:rPr>
            </w:pPr>
            <w:r>
              <w:rPr>
                <w:w w:val="105"/>
                <w:sz w:val="16"/>
              </w:rPr>
              <w:t>Тахиаритмии</w:t>
            </w:r>
          </w:p>
          <w:p>
            <w:pPr>
              <w:pStyle w:val="TableParagraph"/>
              <w:spacing w:line="204" w:lineRule="auto" w:before="10"/>
              <w:ind w:left="154" w:right="146"/>
              <w:rPr>
                <w:sz w:val="16"/>
              </w:rPr>
            </w:pPr>
            <w:r>
              <w:rPr>
                <w:w w:val="105"/>
                <w:sz w:val="16"/>
              </w:rPr>
              <w:t>Сердечная недостаточность (с низкой ФВ, ФК III–IV) Существующие выраженные отеки н/к</w:t>
            </w:r>
          </w:p>
        </w:tc>
      </w:tr>
      <w:tr>
        <w:trPr>
          <w:trHeight w:val="1285" w:hRule="atLeast"/>
        </w:trPr>
        <w:tc>
          <w:tcPr>
            <w:tcW w:w="2221" w:type="dxa"/>
          </w:tcPr>
          <w:p>
            <w:pPr>
              <w:pStyle w:val="TableParagraph"/>
              <w:spacing w:line="204" w:lineRule="auto" w:before="161"/>
              <w:ind w:right="141"/>
              <w:rPr>
                <w:sz w:val="16"/>
              </w:rPr>
            </w:pPr>
            <w:r>
              <w:rPr>
                <w:w w:val="105"/>
                <w:sz w:val="16"/>
              </w:rPr>
              <w:t>Антагонисты кальция (верапамил, дилтиазем)</w:t>
            </w:r>
          </w:p>
        </w:tc>
        <w:tc>
          <w:tcPr>
            <w:tcW w:w="3437" w:type="dxa"/>
          </w:tcPr>
          <w:p>
            <w:pPr>
              <w:pStyle w:val="TableParagraph"/>
              <w:tabs>
                <w:tab w:pos="2948" w:val="left" w:leader="none"/>
              </w:tabs>
              <w:spacing w:line="204" w:lineRule="auto" w:before="161"/>
              <w:ind w:right="149"/>
              <w:jc w:val="both"/>
              <w:rPr>
                <w:sz w:val="16"/>
              </w:rPr>
            </w:pPr>
            <w:r>
              <w:rPr>
                <w:w w:val="105"/>
                <w:sz w:val="16"/>
              </w:rPr>
              <w:t>Синоатриальная</w:t>
              <w:tab/>
            </w:r>
            <w:r>
              <w:rPr>
                <w:spacing w:val="-5"/>
                <w:w w:val="105"/>
                <w:sz w:val="16"/>
              </w:rPr>
              <w:t>или </w:t>
            </w:r>
            <w:r>
              <w:rPr>
                <w:w w:val="105"/>
                <w:sz w:val="16"/>
              </w:rPr>
              <w:t>атриовентрикулярная </w:t>
            </w:r>
            <w:r>
              <w:rPr>
                <w:spacing w:val="-3"/>
                <w:w w:val="105"/>
                <w:sz w:val="16"/>
              </w:rPr>
              <w:t>блокада </w:t>
            </w:r>
            <w:r>
              <w:rPr>
                <w:w w:val="105"/>
                <w:sz w:val="16"/>
              </w:rPr>
              <w:t>высокой</w:t>
            </w:r>
            <w:r>
              <w:rPr>
                <w:spacing w:val="-3"/>
                <w:w w:val="105"/>
                <w:sz w:val="16"/>
              </w:rPr>
              <w:t> </w:t>
            </w:r>
            <w:r>
              <w:rPr>
                <w:w w:val="105"/>
                <w:sz w:val="16"/>
              </w:rPr>
              <w:t>степени</w:t>
            </w:r>
          </w:p>
          <w:p>
            <w:pPr>
              <w:pStyle w:val="TableParagraph"/>
              <w:spacing w:line="204" w:lineRule="auto" w:before="0"/>
              <w:ind w:right="139"/>
              <w:jc w:val="both"/>
              <w:rPr>
                <w:sz w:val="16"/>
              </w:rPr>
            </w:pPr>
            <w:r>
              <w:rPr>
                <w:w w:val="105"/>
                <w:sz w:val="16"/>
              </w:rPr>
              <w:t>Выраженная дисфункция ЛЖ (ФВ ЛЖ &lt;40%)</w:t>
            </w:r>
          </w:p>
          <w:p>
            <w:pPr>
              <w:pStyle w:val="TableParagraph"/>
              <w:spacing w:line="170" w:lineRule="exact" w:before="0"/>
              <w:jc w:val="both"/>
              <w:rPr>
                <w:sz w:val="16"/>
              </w:rPr>
            </w:pPr>
            <w:r>
              <w:rPr>
                <w:w w:val="105"/>
                <w:sz w:val="16"/>
              </w:rPr>
              <w:t>Брадикардия (ЧСС &lt;60 в минуту)</w:t>
            </w:r>
          </w:p>
        </w:tc>
        <w:tc>
          <w:tcPr>
            <w:tcW w:w="2777" w:type="dxa"/>
          </w:tcPr>
          <w:p>
            <w:pPr>
              <w:pStyle w:val="TableParagraph"/>
              <w:ind w:left="154"/>
              <w:rPr>
                <w:sz w:val="16"/>
              </w:rPr>
            </w:pPr>
            <w:r>
              <w:rPr>
                <w:w w:val="105"/>
                <w:sz w:val="16"/>
              </w:rPr>
              <w:t>Запоры</w:t>
            </w:r>
          </w:p>
        </w:tc>
      </w:tr>
      <w:tr>
        <w:trPr>
          <w:trHeight w:val="1450" w:hRule="atLeast"/>
        </w:trPr>
        <w:tc>
          <w:tcPr>
            <w:tcW w:w="2221" w:type="dxa"/>
          </w:tcPr>
          <w:p>
            <w:pPr>
              <w:pStyle w:val="TableParagraph"/>
              <w:rPr>
                <w:sz w:val="16"/>
              </w:rPr>
            </w:pPr>
            <w:r>
              <w:rPr>
                <w:w w:val="105"/>
                <w:sz w:val="16"/>
              </w:rPr>
              <w:t>Ингибиторы АПФ</w:t>
            </w:r>
          </w:p>
        </w:tc>
        <w:tc>
          <w:tcPr>
            <w:tcW w:w="3437" w:type="dxa"/>
          </w:tcPr>
          <w:p>
            <w:pPr>
              <w:pStyle w:val="TableParagraph"/>
              <w:spacing w:line="180" w:lineRule="exact"/>
              <w:rPr>
                <w:sz w:val="16"/>
              </w:rPr>
            </w:pPr>
            <w:r>
              <w:rPr>
                <w:w w:val="105"/>
                <w:sz w:val="16"/>
              </w:rPr>
              <w:t>Беременность</w:t>
            </w:r>
          </w:p>
          <w:p>
            <w:pPr>
              <w:pStyle w:val="TableParagraph"/>
              <w:tabs>
                <w:tab w:pos="2370" w:val="left" w:leader="none"/>
                <w:tab w:pos="3173" w:val="left" w:leader="none"/>
              </w:tabs>
              <w:spacing w:line="204" w:lineRule="auto" w:before="10"/>
              <w:ind w:right="142"/>
              <w:rPr>
                <w:sz w:val="16"/>
              </w:rPr>
            </w:pPr>
            <w:r>
              <w:rPr>
                <w:w w:val="105"/>
                <w:sz w:val="16"/>
              </w:rPr>
              <w:t>Ангионевротический</w:t>
              <w:tab/>
              <w:t>отек</w:t>
              <w:tab/>
            </w:r>
            <w:r>
              <w:rPr>
                <w:spacing w:val="-17"/>
                <w:w w:val="105"/>
                <w:sz w:val="16"/>
              </w:rPr>
              <w:t>в </w:t>
            </w:r>
            <w:r>
              <w:rPr>
                <w:w w:val="105"/>
                <w:sz w:val="16"/>
              </w:rPr>
              <w:t>анамнезе</w:t>
            </w:r>
          </w:p>
          <w:p>
            <w:pPr>
              <w:pStyle w:val="TableParagraph"/>
              <w:tabs>
                <w:tab w:pos="1736" w:val="left" w:leader="none"/>
                <w:tab w:pos="2761" w:val="left" w:leader="none"/>
              </w:tabs>
              <w:spacing w:line="155" w:lineRule="exact" w:before="0"/>
              <w:rPr>
                <w:sz w:val="16"/>
              </w:rPr>
            </w:pPr>
            <w:r>
              <w:rPr>
                <w:w w:val="105"/>
                <w:sz w:val="16"/>
              </w:rPr>
              <w:t>Гиперкалиемия</w:t>
              <w:tab/>
              <w:t>(уровень</w:t>
              <w:tab/>
              <w:t>калия</w:t>
            </w:r>
          </w:p>
          <w:p>
            <w:pPr>
              <w:pStyle w:val="TableParagraph"/>
              <w:spacing w:line="165" w:lineRule="exact" w:before="0"/>
              <w:rPr>
                <w:sz w:val="16"/>
              </w:rPr>
            </w:pPr>
            <w:r>
              <w:rPr>
                <w:w w:val="105"/>
                <w:sz w:val="16"/>
              </w:rPr>
              <w:t>&gt;5,5 ммоль/л)</w:t>
            </w:r>
          </w:p>
          <w:p>
            <w:pPr>
              <w:pStyle w:val="TableParagraph"/>
              <w:tabs>
                <w:tab w:pos="1621" w:val="left" w:leader="none"/>
                <w:tab w:pos="2435" w:val="left" w:leader="none"/>
              </w:tabs>
              <w:spacing w:line="204" w:lineRule="auto" w:before="9"/>
              <w:ind w:right="141"/>
              <w:rPr>
                <w:sz w:val="16"/>
              </w:rPr>
            </w:pPr>
            <w:r>
              <w:rPr>
                <w:w w:val="105"/>
                <w:sz w:val="16"/>
              </w:rPr>
              <w:t>Двусторонний</w:t>
              <w:tab/>
              <w:t>стеноз</w:t>
              <w:tab/>
            </w:r>
            <w:r>
              <w:rPr>
                <w:spacing w:val="-3"/>
                <w:w w:val="105"/>
                <w:sz w:val="16"/>
              </w:rPr>
              <w:t>почечных </w:t>
            </w:r>
            <w:r>
              <w:rPr>
                <w:w w:val="105"/>
                <w:sz w:val="16"/>
              </w:rPr>
              <w:t>артерий</w:t>
            </w:r>
          </w:p>
        </w:tc>
        <w:tc>
          <w:tcPr>
            <w:tcW w:w="2777" w:type="dxa"/>
          </w:tcPr>
          <w:p>
            <w:pPr>
              <w:pStyle w:val="TableParagraph"/>
              <w:spacing w:line="204" w:lineRule="auto" w:before="161"/>
              <w:ind w:left="154" w:right="146"/>
              <w:jc w:val="both"/>
              <w:rPr>
                <w:sz w:val="16"/>
              </w:rPr>
            </w:pPr>
            <w:r>
              <w:rPr>
                <w:w w:val="105"/>
                <w:sz w:val="16"/>
              </w:rPr>
              <w:t>Женщины детородного возраста, не получающие адекватную контрацепцию</w:t>
            </w:r>
          </w:p>
        </w:tc>
      </w:tr>
      <w:tr>
        <w:trPr>
          <w:trHeight w:val="1120" w:hRule="atLeast"/>
        </w:trPr>
        <w:tc>
          <w:tcPr>
            <w:tcW w:w="2221" w:type="dxa"/>
          </w:tcPr>
          <w:p>
            <w:pPr>
              <w:pStyle w:val="TableParagraph"/>
              <w:rPr>
                <w:sz w:val="16"/>
              </w:rPr>
            </w:pPr>
            <w:r>
              <w:rPr>
                <w:w w:val="105"/>
                <w:sz w:val="16"/>
              </w:rPr>
              <w:t>БРА</w:t>
            </w:r>
          </w:p>
        </w:tc>
        <w:tc>
          <w:tcPr>
            <w:tcW w:w="3437" w:type="dxa"/>
          </w:tcPr>
          <w:p>
            <w:pPr>
              <w:pStyle w:val="TableParagraph"/>
              <w:spacing w:line="180" w:lineRule="exact"/>
              <w:rPr>
                <w:sz w:val="16"/>
              </w:rPr>
            </w:pPr>
            <w:r>
              <w:rPr>
                <w:w w:val="105"/>
                <w:sz w:val="16"/>
              </w:rPr>
              <w:t>Беременность</w:t>
            </w:r>
          </w:p>
          <w:p>
            <w:pPr>
              <w:pStyle w:val="TableParagraph"/>
              <w:tabs>
                <w:tab w:pos="1736" w:val="left" w:leader="none"/>
                <w:tab w:pos="2761" w:val="left" w:leader="none"/>
              </w:tabs>
              <w:spacing w:line="165" w:lineRule="exact" w:before="0"/>
              <w:rPr>
                <w:sz w:val="16"/>
              </w:rPr>
            </w:pPr>
            <w:r>
              <w:rPr>
                <w:w w:val="105"/>
                <w:sz w:val="16"/>
              </w:rPr>
              <w:t>Гиперкалиемия</w:t>
              <w:tab/>
              <w:t>(уровень</w:t>
              <w:tab/>
              <w:t>калия</w:t>
            </w:r>
          </w:p>
          <w:p>
            <w:pPr>
              <w:pStyle w:val="TableParagraph"/>
              <w:spacing w:line="165" w:lineRule="exact" w:before="0"/>
              <w:rPr>
                <w:sz w:val="16"/>
              </w:rPr>
            </w:pPr>
            <w:r>
              <w:rPr>
                <w:w w:val="105"/>
                <w:sz w:val="16"/>
              </w:rPr>
              <w:t>&gt;5,5 ммоль/л)</w:t>
            </w:r>
          </w:p>
          <w:p>
            <w:pPr>
              <w:pStyle w:val="TableParagraph"/>
              <w:tabs>
                <w:tab w:pos="1621" w:val="left" w:leader="none"/>
                <w:tab w:pos="2435" w:val="left" w:leader="none"/>
              </w:tabs>
              <w:spacing w:line="204" w:lineRule="auto" w:before="10"/>
              <w:ind w:right="141"/>
              <w:rPr>
                <w:sz w:val="16"/>
              </w:rPr>
            </w:pPr>
            <w:r>
              <w:rPr>
                <w:w w:val="105"/>
                <w:sz w:val="16"/>
              </w:rPr>
              <w:t>Двусторонний</w:t>
              <w:tab/>
              <w:t>стеноз</w:t>
              <w:tab/>
            </w:r>
            <w:r>
              <w:rPr>
                <w:spacing w:val="-3"/>
                <w:w w:val="105"/>
                <w:sz w:val="16"/>
              </w:rPr>
              <w:t>почечных </w:t>
            </w:r>
            <w:r>
              <w:rPr>
                <w:w w:val="105"/>
                <w:sz w:val="16"/>
              </w:rPr>
              <w:t>артерий</w:t>
            </w:r>
          </w:p>
        </w:tc>
        <w:tc>
          <w:tcPr>
            <w:tcW w:w="2777" w:type="dxa"/>
          </w:tcPr>
          <w:p>
            <w:pPr>
              <w:pStyle w:val="TableParagraph"/>
              <w:spacing w:line="204" w:lineRule="auto" w:before="161"/>
              <w:ind w:left="154" w:right="146"/>
              <w:jc w:val="both"/>
              <w:rPr>
                <w:sz w:val="16"/>
              </w:rPr>
            </w:pPr>
            <w:r>
              <w:rPr>
                <w:w w:val="105"/>
                <w:sz w:val="16"/>
              </w:rPr>
              <w:t>Женщины детородного возраста, не получающие адекватную контрацепцию</w:t>
            </w:r>
          </w:p>
        </w:tc>
      </w:tr>
    </w:tbl>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pStyle w:val="BodyText"/>
        <w:spacing w:before="0"/>
        <w:ind w:left="0"/>
        <w:jc w:val="left"/>
        <w:rPr>
          <w:b/>
          <w:sz w:val="20"/>
        </w:rPr>
      </w:pPr>
    </w:p>
    <w:p>
      <w:pPr>
        <w:spacing w:line="256" w:lineRule="auto" w:before="258"/>
        <w:ind w:left="380" w:right="129" w:firstLine="0"/>
        <w:jc w:val="both"/>
        <w:rPr>
          <w:b/>
          <w:sz w:val="27"/>
        </w:rPr>
      </w:pPr>
      <w:r>
        <w:rPr>
          <w:b/>
          <w:sz w:val="27"/>
        </w:rPr>
        <w:t>Таблица П5/Г4. Алгоритм диспансерного наблюдения больных АГ с контролируемым артериальным давлением на фоне приема антигипертензивных лекарственных препаратов [</w:t>
      </w:r>
      <w:r>
        <w:rPr>
          <w:sz w:val="27"/>
        </w:rPr>
        <w:t>292</w:t>
      </w:r>
      <w:r>
        <w:rPr>
          <w:b/>
          <w:sz w:val="27"/>
        </w:rPr>
        <w:t>]</w:t>
      </w:r>
    </w:p>
    <w:p>
      <w:pPr>
        <w:pStyle w:val="BodyText"/>
        <w:spacing w:before="12"/>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1"/>
        <w:gridCol w:w="2476"/>
        <w:gridCol w:w="4277"/>
      </w:tblGrid>
      <w:tr>
        <w:trPr>
          <w:trHeight w:val="790" w:hRule="atLeast"/>
        </w:trPr>
        <w:tc>
          <w:tcPr>
            <w:tcW w:w="1681" w:type="dxa"/>
          </w:tcPr>
          <w:p>
            <w:pPr>
              <w:pStyle w:val="TableParagraph"/>
              <w:spacing w:line="204" w:lineRule="auto" w:before="161"/>
              <w:rPr>
                <w:sz w:val="16"/>
              </w:rPr>
            </w:pPr>
            <w:r>
              <w:rPr>
                <w:sz w:val="16"/>
              </w:rPr>
              <w:t>Заболевание, </w:t>
            </w:r>
            <w:r>
              <w:rPr>
                <w:w w:val="105"/>
                <w:sz w:val="16"/>
              </w:rPr>
              <w:t>состояние</w:t>
            </w:r>
          </w:p>
        </w:tc>
        <w:tc>
          <w:tcPr>
            <w:tcW w:w="2476" w:type="dxa"/>
          </w:tcPr>
          <w:p>
            <w:pPr>
              <w:pStyle w:val="TableParagraph"/>
              <w:spacing w:line="204" w:lineRule="auto" w:before="161"/>
              <w:ind w:left="154"/>
              <w:rPr>
                <w:sz w:val="16"/>
              </w:rPr>
            </w:pPr>
            <w:r>
              <w:rPr>
                <w:w w:val="105"/>
                <w:sz w:val="16"/>
              </w:rPr>
              <w:t>Регулярность </w:t>
            </w:r>
            <w:r>
              <w:rPr>
                <w:sz w:val="16"/>
              </w:rPr>
              <w:t>профилактических </w:t>
            </w:r>
            <w:r>
              <w:rPr>
                <w:w w:val="105"/>
                <w:sz w:val="16"/>
              </w:rPr>
              <w:t>посещений</w:t>
            </w:r>
          </w:p>
        </w:tc>
        <w:tc>
          <w:tcPr>
            <w:tcW w:w="4277" w:type="dxa"/>
          </w:tcPr>
          <w:p>
            <w:pPr>
              <w:pStyle w:val="TableParagraph"/>
              <w:spacing w:line="204" w:lineRule="auto" w:before="161"/>
              <w:ind w:left="154" w:right="139"/>
              <w:jc w:val="both"/>
              <w:rPr>
                <w:sz w:val="16"/>
              </w:rPr>
            </w:pPr>
            <w:r>
              <w:rPr>
                <w:w w:val="105"/>
                <w:sz w:val="16"/>
              </w:rPr>
              <w:t>Рекомендуемые вмешательства и методы исследования во время профилактических посещений</w:t>
            </w:r>
          </w:p>
        </w:tc>
      </w:tr>
    </w:tbl>
    <w:p>
      <w:pPr>
        <w:spacing w:after="0" w:line="204" w:lineRule="auto"/>
        <w:jc w:val="both"/>
        <w:rPr>
          <w:sz w:val="16"/>
        </w:rPr>
        <w:sectPr>
          <w:pgSz w:w="11900" w:h="16840"/>
          <w:pgMar w:top="0" w:bottom="28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81"/>
        <w:gridCol w:w="2476"/>
        <w:gridCol w:w="4277"/>
      </w:tblGrid>
      <w:tr>
        <w:trPr>
          <w:trHeight w:val="12840" w:hRule="atLeast"/>
        </w:trPr>
        <w:tc>
          <w:tcPr>
            <w:tcW w:w="1681" w:type="dxa"/>
          </w:tcPr>
          <w:p>
            <w:pPr>
              <w:pStyle w:val="TableParagraph"/>
              <w:spacing w:line="204" w:lineRule="auto" w:before="161"/>
              <w:ind w:right="138"/>
              <w:jc w:val="both"/>
              <w:rPr>
                <w:sz w:val="16"/>
              </w:rPr>
            </w:pPr>
            <w:r>
              <w:rPr>
                <w:w w:val="105"/>
                <w:sz w:val="16"/>
              </w:rPr>
              <w:t>АГ 1-й степени без ПОМ, ССЗ, ЦВБ и ХБП</w:t>
            </w:r>
          </w:p>
        </w:tc>
        <w:tc>
          <w:tcPr>
            <w:tcW w:w="2476" w:type="dxa"/>
          </w:tcPr>
          <w:p>
            <w:pPr>
              <w:pStyle w:val="TableParagraph"/>
              <w:tabs>
                <w:tab w:pos="1580" w:val="left" w:leader="none"/>
                <w:tab w:pos="1978" w:val="left" w:leader="none"/>
              </w:tabs>
              <w:spacing w:line="204" w:lineRule="auto" w:before="161"/>
              <w:ind w:left="154" w:right="140"/>
              <w:jc w:val="both"/>
              <w:rPr>
                <w:sz w:val="16"/>
              </w:rPr>
            </w:pPr>
            <w:r>
              <w:rPr>
                <w:w w:val="105"/>
                <w:sz w:val="16"/>
              </w:rPr>
              <w:t>Не менее 1 раза в год при контроле АД на уровне</w:t>
              <w:tab/>
            </w:r>
            <w:r>
              <w:rPr>
                <w:spacing w:val="-3"/>
                <w:w w:val="105"/>
                <w:sz w:val="16"/>
              </w:rPr>
              <w:t>целевых </w:t>
            </w:r>
            <w:r>
              <w:rPr>
                <w:w w:val="105"/>
                <w:sz w:val="16"/>
              </w:rPr>
              <w:t>значений.</w:t>
              <w:tab/>
              <w:tab/>
            </w:r>
            <w:r>
              <w:rPr>
                <w:spacing w:val="-5"/>
                <w:w w:val="105"/>
                <w:sz w:val="16"/>
              </w:rPr>
              <w:t>При</w:t>
            </w:r>
          </w:p>
          <w:p>
            <w:pPr>
              <w:pStyle w:val="TableParagraph"/>
              <w:tabs>
                <w:tab w:pos="1611" w:val="left" w:leader="none"/>
              </w:tabs>
              <w:spacing w:line="204" w:lineRule="auto" w:before="0"/>
              <w:ind w:left="154" w:right="146"/>
              <w:rPr>
                <w:sz w:val="16"/>
              </w:rPr>
            </w:pPr>
            <w:r>
              <w:rPr>
                <w:w w:val="105"/>
                <w:sz w:val="16"/>
              </w:rPr>
              <w:t>стабильном</w:t>
              <w:tab/>
            </w:r>
            <w:r>
              <w:rPr>
                <w:spacing w:val="-3"/>
                <w:w w:val="105"/>
                <w:sz w:val="16"/>
              </w:rPr>
              <w:t>течении </w:t>
            </w:r>
            <w:r>
              <w:rPr>
                <w:w w:val="105"/>
                <w:sz w:val="16"/>
              </w:rPr>
              <w:t>возможно наблюдение </w:t>
            </w:r>
            <w:r>
              <w:rPr>
                <w:spacing w:val="-17"/>
                <w:w w:val="105"/>
                <w:sz w:val="16"/>
              </w:rPr>
              <w:t>в </w:t>
            </w:r>
            <w:r>
              <w:rPr>
                <w:w w:val="105"/>
                <w:sz w:val="16"/>
              </w:rPr>
              <w:t>отделении/кабинете медицинской профилактики</w:t>
            </w:r>
          </w:p>
          <w:p>
            <w:pPr>
              <w:pStyle w:val="TableParagraph"/>
              <w:tabs>
                <w:tab w:pos="606" w:val="left" w:leader="none"/>
                <w:tab w:pos="1427" w:val="left" w:leader="none"/>
                <w:tab w:pos="1602" w:val="left" w:leader="none"/>
                <w:tab w:pos="1740" w:val="left" w:leader="none"/>
                <w:tab w:pos="1995" w:val="left" w:leader="none"/>
              </w:tabs>
              <w:spacing w:line="204" w:lineRule="auto" w:before="0"/>
              <w:ind w:left="154" w:right="138"/>
              <w:rPr>
                <w:sz w:val="16"/>
              </w:rPr>
            </w:pPr>
            <w:r>
              <w:rPr>
                <w:w w:val="105"/>
                <w:sz w:val="16"/>
              </w:rPr>
              <w:t>При рефрактерной АГ I- II</w:t>
              <w:tab/>
              <w:t>степени</w:t>
              <w:tab/>
              <w:tab/>
            </w:r>
            <w:r>
              <w:rPr>
                <w:sz w:val="16"/>
              </w:rPr>
              <w:t>пациент </w:t>
            </w:r>
            <w:r>
              <w:rPr>
                <w:w w:val="105"/>
                <w:sz w:val="16"/>
              </w:rPr>
              <w:t>наблюдается у </w:t>
            </w:r>
            <w:r>
              <w:rPr>
                <w:spacing w:val="-3"/>
                <w:w w:val="105"/>
                <w:sz w:val="16"/>
              </w:rPr>
              <w:t>врача- </w:t>
            </w:r>
            <w:r>
              <w:rPr>
                <w:w w:val="105"/>
                <w:sz w:val="16"/>
              </w:rPr>
              <w:t>кардиолога;</w:t>
              <w:tab/>
              <w:tab/>
              <w:tab/>
              <w:tab/>
            </w:r>
            <w:r>
              <w:rPr>
                <w:spacing w:val="-4"/>
                <w:w w:val="105"/>
                <w:sz w:val="16"/>
              </w:rPr>
              <w:t>при </w:t>
            </w:r>
            <w:r>
              <w:rPr>
                <w:w w:val="105"/>
                <w:sz w:val="16"/>
              </w:rPr>
              <w:t>отсутствии возможности наблюдения</w:t>
              <w:tab/>
              <w:t>у</w:t>
              <w:tab/>
              <w:tab/>
            </w:r>
            <w:r>
              <w:rPr>
                <w:spacing w:val="-3"/>
                <w:w w:val="105"/>
                <w:sz w:val="16"/>
              </w:rPr>
              <w:t>врача- </w:t>
            </w:r>
            <w:r>
              <w:rPr>
                <w:w w:val="105"/>
                <w:sz w:val="16"/>
              </w:rPr>
              <w:t>кардиолога — у врача- терапевта/участкового врача.</w:t>
            </w:r>
          </w:p>
        </w:tc>
        <w:tc>
          <w:tcPr>
            <w:tcW w:w="4277" w:type="dxa"/>
          </w:tcPr>
          <w:p>
            <w:pPr>
              <w:pStyle w:val="TableParagraph"/>
              <w:tabs>
                <w:tab w:pos="2005" w:val="left" w:leader="none"/>
                <w:tab w:pos="3480" w:val="left" w:leader="none"/>
              </w:tabs>
              <w:spacing w:line="204" w:lineRule="auto" w:before="161"/>
              <w:ind w:left="154" w:right="141"/>
              <w:jc w:val="both"/>
              <w:rPr>
                <w:sz w:val="16"/>
              </w:rPr>
            </w:pPr>
            <w:r>
              <w:rPr>
                <w:w w:val="105"/>
                <w:sz w:val="16"/>
              </w:rPr>
              <w:t>- сбор жалоб и анамнеза, активный опрос</w:t>
            </w:r>
            <w:r>
              <w:rPr>
                <w:spacing w:val="-25"/>
                <w:w w:val="105"/>
                <w:sz w:val="16"/>
              </w:rPr>
              <w:t> </w:t>
            </w:r>
            <w:r>
              <w:rPr>
                <w:w w:val="105"/>
                <w:sz w:val="16"/>
              </w:rPr>
              <w:t>на наличие, характер и выраженность боли в грудной клетке и одышки при физической нагрузке, эпизодов </w:t>
            </w:r>
            <w:r>
              <w:rPr>
                <w:spacing w:val="-2"/>
                <w:w w:val="105"/>
                <w:sz w:val="16"/>
              </w:rPr>
              <w:t>кратковременной </w:t>
            </w:r>
            <w:r>
              <w:rPr>
                <w:w w:val="105"/>
                <w:sz w:val="16"/>
              </w:rPr>
              <w:t>слабости в конечностях, онемения</w:t>
            </w:r>
            <w:r>
              <w:rPr>
                <w:spacing w:val="-22"/>
                <w:w w:val="105"/>
                <w:sz w:val="16"/>
              </w:rPr>
              <w:t> </w:t>
            </w:r>
            <w:r>
              <w:rPr>
                <w:w w:val="105"/>
                <w:sz w:val="16"/>
              </w:rPr>
              <w:t>половины лица или конечностей, об объеме диуреза</w:t>
            </w:r>
            <w:r>
              <w:rPr>
                <w:spacing w:val="-13"/>
                <w:w w:val="105"/>
                <w:sz w:val="16"/>
              </w:rPr>
              <w:t> </w:t>
            </w:r>
            <w:r>
              <w:rPr>
                <w:w w:val="105"/>
                <w:sz w:val="16"/>
              </w:rPr>
              <w:t>— уточнение факта и характера </w:t>
            </w:r>
            <w:r>
              <w:rPr>
                <w:spacing w:val="-3"/>
                <w:w w:val="105"/>
                <w:sz w:val="16"/>
              </w:rPr>
              <w:t>приема </w:t>
            </w:r>
            <w:r>
              <w:rPr>
                <w:w w:val="105"/>
                <w:sz w:val="16"/>
              </w:rPr>
              <w:t>антигипертензивных препаратов — уточнение</w:t>
              <w:tab/>
              <w:t>факта</w:t>
              <w:tab/>
            </w:r>
            <w:r>
              <w:rPr>
                <w:sz w:val="16"/>
              </w:rPr>
              <w:t>приема </w:t>
            </w:r>
            <w:r>
              <w:rPr>
                <w:w w:val="105"/>
                <w:sz w:val="16"/>
              </w:rPr>
              <w:t>гиполипидемических, антиагрегантных </w:t>
            </w:r>
            <w:r>
              <w:rPr>
                <w:spacing w:val="-15"/>
                <w:w w:val="105"/>
                <w:sz w:val="16"/>
              </w:rPr>
              <w:t>и </w:t>
            </w:r>
            <w:r>
              <w:rPr>
                <w:w w:val="105"/>
                <w:sz w:val="16"/>
              </w:rPr>
              <w:t>гипогликемических препаратов при наличии показаний — опрос и краткое консультирование по поводу курения, характера питания, физической</w:t>
            </w:r>
            <w:r>
              <w:rPr>
                <w:spacing w:val="14"/>
                <w:w w:val="105"/>
                <w:sz w:val="16"/>
              </w:rPr>
              <w:t> </w:t>
            </w:r>
            <w:r>
              <w:rPr>
                <w:w w:val="105"/>
                <w:sz w:val="16"/>
              </w:rPr>
              <w:t>активности</w:t>
            </w:r>
          </w:p>
          <w:p>
            <w:pPr>
              <w:pStyle w:val="TableParagraph"/>
              <w:spacing w:line="204" w:lineRule="auto" w:before="0"/>
              <w:ind w:left="154" w:right="138"/>
              <w:jc w:val="both"/>
              <w:rPr>
                <w:sz w:val="16"/>
              </w:rPr>
            </w:pPr>
            <w:r>
              <w:rPr>
                <w:w w:val="105"/>
                <w:sz w:val="16"/>
              </w:rPr>
              <w:t>— измерение АД при каждом посещении — анализ данных ДМАД — общий осмотр и объективное обследование, включая пальпацию периферических сосудов и аускультацию подключичных, сонных, почечных и бедренных артерий, измерение индекса массы тела и окружности талии при каждом посещении — глюкоза плазмы </w:t>
            </w:r>
            <w:r>
              <w:rPr>
                <w:spacing w:val="-3"/>
                <w:w w:val="105"/>
                <w:sz w:val="16"/>
              </w:rPr>
              <w:t>крови </w:t>
            </w:r>
            <w:r>
              <w:rPr>
                <w:w w:val="105"/>
                <w:sz w:val="16"/>
              </w:rPr>
              <w:t>натощак не реже 1 раза в год (допускается экспресс-метод) — общий холестерин не реже 1 раза в год (допускается экспресс- метод) — оценкасуммарного сердечно- сосудистого риска по шкале SCORE — холестерин липопротеинов низкой плотности, холестерин липопротеинов высокой плотности, триглицериды </w:t>
            </w:r>
            <w:r>
              <w:rPr>
                <w:spacing w:val="-11"/>
                <w:w w:val="105"/>
                <w:sz w:val="16"/>
              </w:rPr>
              <w:t>в </w:t>
            </w:r>
            <w:r>
              <w:rPr>
                <w:w w:val="105"/>
                <w:sz w:val="16"/>
              </w:rPr>
              <w:t>сыворотке при взятии под диспансерное наблюдение, далее по показаниям, но не реже 1 раза в 2 года — калий и натрий сыворотки при взятии под диспансерное наблюдение, далее по показаниям, но не реже</w:t>
            </w:r>
            <w:r>
              <w:rPr>
                <w:spacing w:val="-8"/>
                <w:w w:val="105"/>
                <w:sz w:val="16"/>
              </w:rPr>
              <w:t> </w:t>
            </w:r>
            <w:r>
              <w:rPr>
                <w:w w:val="105"/>
                <w:sz w:val="16"/>
              </w:rPr>
              <w:t>1</w:t>
            </w:r>
            <w:r>
              <w:rPr>
                <w:spacing w:val="-7"/>
                <w:w w:val="105"/>
                <w:sz w:val="16"/>
              </w:rPr>
              <w:t> </w:t>
            </w:r>
            <w:r>
              <w:rPr>
                <w:w w:val="105"/>
                <w:sz w:val="16"/>
              </w:rPr>
              <w:t>раза</w:t>
            </w:r>
            <w:r>
              <w:rPr>
                <w:spacing w:val="-8"/>
                <w:w w:val="105"/>
                <w:sz w:val="16"/>
              </w:rPr>
              <w:t> </w:t>
            </w:r>
            <w:r>
              <w:rPr>
                <w:w w:val="105"/>
                <w:sz w:val="16"/>
              </w:rPr>
              <w:t>в</w:t>
            </w:r>
            <w:r>
              <w:rPr>
                <w:spacing w:val="-7"/>
                <w:w w:val="105"/>
                <w:sz w:val="16"/>
              </w:rPr>
              <w:t> </w:t>
            </w:r>
            <w:r>
              <w:rPr>
                <w:w w:val="105"/>
                <w:sz w:val="16"/>
              </w:rPr>
              <w:t>2</w:t>
            </w:r>
            <w:r>
              <w:rPr>
                <w:spacing w:val="-7"/>
                <w:w w:val="105"/>
                <w:sz w:val="16"/>
              </w:rPr>
              <w:t> </w:t>
            </w:r>
            <w:r>
              <w:rPr>
                <w:w w:val="105"/>
                <w:sz w:val="16"/>
              </w:rPr>
              <w:t>года</w:t>
            </w:r>
            <w:r>
              <w:rPr>
                <w:spacing w:val="-8"/>
                <w:w w:val="105"/>
                <w:sz w:val="16"/>
              </w:rPr>
              <w:t> </w:t>
            </w:r>
            <w:r>
              <w:rPr>
                <w:w w:val="105"/>
                <w:sz w:val="16"/>
              </w:rPr>
              <w:t>—</w:t>
            </w:r>
            <w:r>
              <w:rPr>
                <w:spacing w:val="-7"/>
                <w:w w:val="105"/>
                <w:sz w:val="16"/>
              </w:rPr>
              <w:t> </w:t>
            </w:r>
            <w:r>
              <w:rPr>
                <w:w w:val="105"/>
                <w:sz w:val="16"/>
              </w:rPr>
              <w:t>креатинин</w:t>
            </w:r>
            <w:r>
              <w:rPr>
                <w:spacing w:val="-7"/>
                <w:w w:val="105"/>
                <w:sz w:val="16"/>
              </w:rPr>
              <w:t> </w:t>
            </w:r>
            <w:r>
              <w:rPr>
                <w:w w:val="105"/>
                <w:sz w:val="16"/>
              </w:rPr>
              <w:t>сыворотки (с расчетом СКФ) при взятии под диспансерное наблюдение, далее </w:t>
            </w:r>
            <w:r>
              <w:rPr>
                <w:spacing w:val="-8"/>
                <w:w w:val="105"/>
                <w:sz w:val="16"/>
              </w:rPr>
              <w:t>по </w:t>
            </w:r>
            <w:r>
              <w:rPr>
                <w:w w:val="105"/>
                <w:sz w:val="16"/>
              </w:rPr>
              <w:t>показаниям, но не реже 1 раза в 2 года </w:t>
            </w:r>
            <w:r>
              <w:rPr>
                <w:spacing w:val="-14"/>
                <w:w w:val="105"/>
                <w:sz w:val="16"/>
              </w:rPr>
              <w:t>— </w:t>
            </w:r>
            <w:r>
              <w:rPr>
                <w:w w:val="105"/>
                <w:sz w:val="16"/>
              </w:rPr>
              <w:t>анализ мочи на микроальбуминурию </w:t>
            </w:r>
            <w:r>
              <w:rPr>
                <w:spacing w:val="-5"/>
                <w:w w:val="105"/>
                <w:sz w:val="16"/>
              </w:rPr>
              <w:t>при </w:t>
            </w:r>
            <w:r>
              <w:rPr>
                <w:w w:val="105"/>
                <w:sz w:val="16"/>
              </w:rPr>
              <w:t>взятии</w:t>
            </w:r>
            <w:r>
              <w:rPr>
                <w:spacing w:val="-14"/>
                <w:w w:val="105"/>
                <w:sz w:val="16"/>
              </w:rPr>
              <w:t> </w:t>
            </w:r>
            <w:r>
              <w:rPr>
                <w:w w:val="105"/>
                <w:sz w:val="16"/>
              </w:rPr>
              <w:t>под</w:t>
            </w:r>
            <w:r>
              <w:rPr>
                <w:spacing w:val="-13"/>
                <w:w w:val="105"/>
                <w:sz w:val="16"/>
              </w:rPr>
              <w:t> </w:t>
            </w:r>
            <w:r>
              <w:rPr>
                <w:w w:val="105"/>
                <w:sz w:val="16"/>
              </w:rPr>
              <w:t>диспансерное</w:t>
            </w:r>
            <w:r>
              <w:rPr>
                <w:spacing w:val="-13"/>
                <w:w w:val="105"/>
                <w:sz w:val="16"/>
              </w:rPr>
              <w:t> </w:t>
            </w:r>
            <w:r>
              <w:rPr>
                <w:w w:val="105"/>
                <w:sz w:val="16"/>
              </w:rPr>
              <w:t>наблюдение,</w:t>
            </w:r>
            <w:r>
              <w:rPr>
                <w:spacing w:val="-13"/>
                <w:w w:val="105"/>
                <w:sz w:val="16"/>
              </w:rPr>
              <w:t> </w:t>
            </w:r>
            <w:r>
              <w:rPr>
                <w:w w:val="105"/>
                <w:sz w:val="16"/>
              </w:rPr>
              <w:t>далее по</w:t>
            </w:r>
            <w:r>
              <w:rPr>
                <w:spacing w:val="-7"/>
                <w:w w:val="105"/>
                <w:sz w:val="16"/>
              </w:rPr>
              <w:t> </w:t>
            </w:r>
            <w:r>
              <w:rPr>
                <w:w w:val="105"/>
                <w:sz w:val="16"/>
              </w:rPr>
              <w:t>показаниям,</w:t>
            </w:r>
            <w:r>
              <w:rPr>
                <w:spacing w:val="-6"/>
                <w:w w:val="105"/>
                <w:sz w:val="16"/>
              </w:rPr>
              <w:t> </w:t>
            </w:r>
            <w:r>
              <w:rPr>
                <w:w w:val="105"/>
                <w:sz w:val="16"/>
              </w:rPr>
              <w:t>но</w:t>
            </w:r>
            <w:r>
              <w:rPr>
                <w:spacing w:val="-6"/>
                <w:w w:val="105"/>
                <w:sz w:val="16"/>
              </w:rPr>
              <w:t> </w:t>
            </w:r>
            <w:r>
              <w:rPr>
                <w:w w:val="105"/>
                <w:sz w:val="16"/>
              </w:rPr>
              <w:t>не</w:t>
            </w:r>
            <w:r>
              <w:rPr>
                <w:spacing w:val="-6"/>
                <w:w w:val="105"/>
                <w:sz w:val="16"/>
              </w:rPr>
              <w:t> </w:t>
            </w:r>
            <w:r>
              <w:rPr>
                <w:w w:val="105"/>
                <w:sz w:val="16"/>
              </w:rPr>
              <w:t>реже</w:t>
            </w:r>
            <w:r>
              <w:rPr>
                <w:spacing w:val="-6"/>
                <w:w w:val="105"/>
                <w:sz w:val="16"/>
              </w:rPr>
              <w:t> </w:t>
            </w:r>
            <w:r>
              <w:rPr>
                <w:w w:val="105"/>
                <w:sz w:val="16"/>
              </w:rPr>
              <w:t>1</w:t>
            </w:r>
            <w:r>
              <w:rPr>
                <w:spacing w:val="-6"/>
                <w:w w:val="105"/>
                <w:sz w:val="16"/>
              </w:rPr>
              <w:t> </w:t>
            </w:r>
            <w:r>
              <w:rPr>
                <w:w w:val="105"/>
                <w:sz w:val="16"/>
              </w:rPr>
              <w:t>раза</w:t>
            </w:r>
            <w:r>
              <w:rPr>
                <w:spacing w:val="-6"/>
                <w:w w:val="105"/>
                <w:sz w:val="16"/>
              </w:rPr>
              <w:t> </w:t>
            </w:r>
            <w:r>
              <w:rPr>
                <w:w w:val="105"/>
                <w:sz w:val="16"/>
              </w:rPr>
              <w:t>в</w:t>
            </w:r>
            <w:r>
              <w:rPr>
                <w:spacing w:val="-6"/>
                <w:w w:val="105"/>
                <w:sz w:val="16"/>
              </w:rPr>
              <w:t> </w:t>
            </w:r>
            <w:r>
              <w:rPr>
                <w:w w:val="105"/>
                <w:sz w:val="16"/>
              </w:rPr>
              <w:t>2</w:t>
            </w:r>
            <w:r>
              <w:rPr>
                <w:spacing w:val="-6"/>
                <w:w w:val="105"/>
                <w:sz w:val="16"/>
              </w:rPr>
              <w:t> </w:t>
            </w:r>
            <w:r>
              <w:rPr>
                <w:w w:val="105"/>
                <w:sz w:val="16"/>
              </w:rPr>
              <w:t>года</w:t>
            </w:r>
          </w:p>
          <w:p>
            <w:pPr>
              <w:pStyle w:val="TableParagraph"/>
              <w:numPr>
                <w:ilvl w:val="0"/>
                <w:numId w:val="20"/>
              </w:numPr>
              <w:tabs>
                <w:tab w:pos="329" w:val="left" w:leader="none"/>
              </w:tabs>
              <w:spacing w:line="204" w:lineRule="auto" w:before="0" w:after="0"/>
              <w:ind w:left="154" w:right="144" w:firstLine="0"/>
              <w:jc w:val="both"/>
              <w:rPr>
                <w:sz w:val="16"/>
              </w:rPr>
            </w:pPr>
            <w:r>
              <w:rPr>
                <w:w w:val="105"/>
                <w:sz w:val="16"/>
              </w:rPr>
              <w:t>ЭКГ в 12 отведениях с расчетом </w:t>
            </w:r>
            <w:r>
              <w:rPr>
                <w:spacing w:val="-3"/>
                <w:w w:val="105"/>
                <w:sz w:val="16"/>
              </w:rPr>
              <w:t>индекса </w:t>
            </w:r>
            <w:r>
              <w:rPr>
                <w:w w:val="105"/>
                <w:sz w:val="16"/>
              </w:rPr>
              <w:t>Соколова-Лайона</w:t>
            </w:r>
            <w:r>
              <w:rPr>
                <w:spacing w:val="-23"/>
                <w:w w:val="105"/>
                <w:sz w:val="16"/>
              </w:rPr>
              <w:t> </w:t>
            </w:r>
            <w:r>
              <w:rPr>
                <w:w w:val="105"/>
                <w:sz w:val="16"/>
              </w:rPr>
              <w:t>и</w:t>
            </w:r>
            <w:r>
              <w:rPr>
                <w:spacing w:val="-23"/>
                <w:w w:val="105"/>
                <w:sz w:val="16"/>
              </w:rPr>
              <w:t> </w:t>
            </w:r>
            <w:r>
              <w:rPr>
                <w:w w:val="105"/>
                <w:sz w:val="16"/>
              </w:rPr>
              <w:t>Корнельского</w:t>
            </w:r>
            <w:r>
              <w:rPr>
                <w:spacing w:val="-23"/>
                <w:w w:val="105"/>
                <w:sz w:val="16"/>
              </w:rPr>
              <w:t> </w:t>
            </w:r>
            <w:r>
              <w:rPr>
                <w:w w:val="105"/>
                <w:sz w:val="16"/>
              </w:rPr>
              <w:t>показателя не реже 1 раза в</w:t>
            </w:r>
            <w:r>
              <w:rPr>
                <w:spacing w:val="-13"/>
                <w:w w:val="105"/>
                <w:sz w:val="16"/>
              </w:rPr>
              <w:t> </w:t>
            </w:r>
            <w:r>
              <w:rPr>
                <w:w w:val="105"/>
                <w:sz w:val="16"/>
              </w:rPr>
              <w:t>год</w:t>
            </w:r>
          </w:p>
          <w:p>
            <w:pPr>
              <w:pStyle w:val="TableParagraph"/>
              <w:numPr>
                <w:ilvl w:val="0"/>
                <w:numId w:val="20"/>
              </w:numPr>
              <w:tabs>
                <w:tab w:pos="480" w:val="left" w:leader="none"/>
              </w:tabs>
              <w:spacing w:line="204" w:lineRule="auto" w:before="0" w:after="0"/>
              <w:ind w:left="154" w:right="138" w:firstLine="0"/>
              <w:jc w:val="both"/>
              <w:rPr>
                <w:sz w:val="16"/>
              </w:rPr>
            </w:pPr>
            <w:r>
              <w:rPr>
                <w:w w:val="105"/>
                <w:sz w:val="16"/>
              </w:rPr>
              <w:t>ЭхоКГ с определением ИММЛЖ </w:t>
            </w:r>
            <w:r>
              <w:rPr>
                <w:spacing w:val="-12"/>
                <w:w w:val="105"/>
                <w:sz w:val="16"/>
              </w:rPr>
              <w:t>и </w:t>
            </w:r>
            <w:r>
              <w:rPr>
                <w:w w:val="105"/>
                <w:sz w:val="16"/>
              </w:rPr>
              <w:t>диастолической функции при взятии под диспансерное наблюдение, в последующем по показаниям, но не менее 1 раза в 2 года при отсутствии достижения целевых значений АД и наличии признаков прогрессирования гипертрофии левого желудочка по данным расчета индекса Соколова–Лайона и Корнелльского показателя — дуплексное </w:t>
            </w:r>
            <w:r>
              <w:rPr>
                <w:spacing w:val="-2"/>
                <w:w w:val="105"/>
                <w:sz w:val="16"/>
              </w:rPr>
              <w:t>сканирование </w:t>
            </w:r>
            <w:r>
              <w:rPr>
                <w:w w:val="105"/>
                <w:sz w:val="16"/>
              </w:rPr>
              <w:t>сонных артерий у мужчин старше 40 лет, женщин старше 50 лет при ИМТ&gt;30 кг/м2 и более и общем холестерине &gt;5 ммоль/л </w:t>
            </w:r>
            <w:r>
              <w:rPr>
                <w:spacing w:val="-15"/>
                <w:w w:val="105"/>
                <w:sz w:val="16"/>
              </w:rPr>
              <w:t>и </w:t>
            </w:r>
            <w:r>
              <w:rPr>
                <w:w w:val="105"/>
                <w:sz w:val="16"/>
              </w:rPr>
              <w:t>более при взятии под диспансерное наблюдение, далее по показаниям, но не реже 1 раз в 3 года с целью определения ТИМ и наличия атеросклеротических бляшек* — измерение скорости пульсовой волны на каротидно-феморальном участке артериального русла при взятии под диспансерное наблюдение, в последующем по показаниям, но не реже 1 раза в 3 года при отсутствии достижения целевых значений АД* — корректировка терапии (при необходимости) — объяснение пациенту и/или обеспечение его памяткой по алгоритму неотложных действий при жизнеугрожающем состоянии, вероятность развития которого у пациента наиболее высокая</w:t>
            </w:r>
          </w:p>
        </w:tc>
      </w:tr>
    </w:tbl>
    <w:p>
      <w:pPr>
        <w:rPr>
          <w:sz w:val="2"/>
          <w:szCs w:val="2"/>
        </w:rPr>
      </w:pPr>
      <w:r>
        <w:rPr/>
        <w:pict>
          <v:shape style="position:absolute;margin-left:90.037003pt;margin-top:841.856995pt;width:422.45pt;height:.1pt;mso-position-horizontal-relative:page;mso-position-vertical-relative:page;z-index:15979008" coordorigin="1801,16837" coordsize="8449,1" path="m10249,16837l10249,16837,1801,16837,1801,16837,10249,16837xe" filled="true" fillcolor="#000000" stroked="false">
            <v:path arrowok="t"/>
            <v:fill type="solid"/>
            <w10:wrap type="none"/>
          </v:shape>
        </w:pict>
      </w:r>
    </w:p>
    <w:p>
      <w:pPr>
        <w:spacing w:after="0"/>
        <w:rPr>
          <w:sz w:val="2"/>
          <w:szCs w:val="2"/>
        </w:rPr>
        <w:sectPr>
          <w:pgSz w:w="11900" w:h="16840"/>
          <w:pgMar w:top="0" w:bottom="0" w:left="1420" w:right="1520"/>
        </w:sectPr>
      </w:pPr>
    </w:p>
    <w:p>
      <w:pPr>
        <w:tabs>
          <w:tab w:pos="1410" w:val="left" w:leader="none"/>
        </w:tabs>
        <w:spacing w:line="180" w:lineRule="exact" w:before="154"/>
        <w:ind w:left="545" w:right="0" w:firstLine="0"/>
        <w:jc w:val="both"/>
        <w:rPr>
          <w:rFonts w:ascii="Verdana" w:hAnsi="Verdana"/>
          <w:sz w:val="16"/>
        </w:rPr>
      </w:pPr>
      <w:r>
        <w:rPr>
          <w:rFonts w:ascii="Verdana" w:hAnsi="Verdana"/>
          <w:w w:val="105"/>
          <w:sz w:val="16"/>
        </w:rPr>
        <w:t>АГ</w:t>
        <w:tab/>
      </w:r>
      <w:r>
        <w:rPr>
          <w:rFonts w:ascii="Verdana" w:hAnsi="Verdana"/>
          <w:spacing w:val="-4"/>
          <w:w w:val="105"/>
          <w:sz w:val="16"/>
        </w:rPr>
        <w:t>2–3-й</w:t>
      </w:r>
    </w:p>
    <w:p>
      <w:pPr>
        <w:spacing w:line="204" w:lineRule="auto" w:before="9"/>
        <w:ind w:left="545" w:right="0" w:firstLine="0"/>
        <w:jc w:val="both"/>
        <w:rPr>
          <w:rFonts w:ascii="Verdana" w:hAnsi="Verdana"/>
          <w:sz w:val="16"/>
        </w:rPr>
      </w:pPr>
      <w:r>
        <w:rPr>
          <w:rFonts w:ascii="Verdana" w:hAnsi="Verdana"/>
          <w:w w:val="105"/>
          <w:sz w:val="16"/>
        </w:rPr>
        <w:t>степени с </w:t>
      </w:r>
      <w:r>
        <w:rPr>
          <w:rFonts w:ascii="Verdana" w:hAnsi="Verdana"/>
          <w:spacing w:val="-4"/>
          <w:w w:val="105"/>
          <w:sz w:val="16"/>
        </w:rPr>
        <w:t>ПОМ, </w:t>
      </w:r>
      <w:r>
        <w:rPr>
          <w:rFonts w:ascii="Verdana" w:hAnsi="Verdana"/>
          <w:w w:val="105"/>
          <w:sz w:val="16"/>
        </w:rPr>
        <w:t>но без </w:t>
      </w:r>
      <w:r>
        <w:rPr>
          <w:rFonts w:ascii="Verdana" w:hAnsi="Verdana"/>
          <w:spacing w:val="-5"/>
          <w:w w:val="105"/>
          <w:sz w:val="16"/>
        </w:rPr>
        <w:t>ССЗ, </w:t>
      </w:r>
      <w:r>
        <w:rPr>
          <w:rFonts w:ascii="Verdana" w:hAnsi="Verdana"/>
          <w:w w:val="105"/>
          <w:sz w:val="16"/>
        </w:rPr>
        <w:t>ЦВБ и</w:t>
      </w:r>
      <w:r>
        <w:rPr>
          <w:rFonts w:ascii="Verdana" w:hAnsi="Verdana"/>
          <w:spacing w:val="-7"/>
          <w:w w:val="105"/>
          <w:sz w:val="16"/>
        </w:rPr>
        <w:t> </w:t>
      </w:r>
      <w:r>
        <w:rPr>
          <w:rFonts w:ascii="Verdana" w:hAnsi="Verdana"/>
          <w:w w:val="105"/>
          <w:sz w:val="16"/>
        </w:rPr>
        <w:t>ХБП</w:t>
      </w:r>
    </w:p>
    <w:p>
      <w:pPr>
        <w:spacing w:before="154"/>
        <w:ind w:left="280" w:right="0" w:firstLine="0"/>
        <w:jc w:val="left"/>
        <w:rPr>
          <w:rFonts w:ascii="Verdana" w:hAnsi="Verdana"/>
          <w:sz w:val="16"/>
        </w:rPr>
      </w:pPr>
      <w:r>
        <w:rPr/>
        <w:br w:type="column"/>
      </w:r>
      <w:r>
        <w:rPr>
          <w:rFonts w:ascii="Verdana" w:hAnsi="Verdana"/>
          <w:w w:val="105"/>
          <w:sz w:val="16"/>
        </w:rPr>
        <w:t>Не менее 2 раз в год</w:t>
      </w:r>
    </w:p>
    <w:p>
      <w:pPr>
        <w:pStyle w:val="ListParagraph"/>
        <w:numPr>
          <w:ilvl w:val="0"/>
          <w:numId w:val="21"/>
        </w:numPr>
        <w:tabs>
          <w:tab w:pos="686" w:val="left" w:leader="none"/>
        </w:tabs>
        <w:spacing w:line="204" w:lineRule="auto" w:before="178" w:after="0"/>
        <w:ind w:left="545" w:right="296" w:firstLine="0"/>
        <w:jc w:val="both"/>
        <w:rPr>
          <w:rFonts w:ascii="Verdana" w:hAnsi="Verdana"/>
          <w:sz w:val="16"/>
        </w:rPr>
      </w:pPr>
      <w:r>
        <w:rPr>
          <w:rFonts w:ascii="Verdana" w:hAnsi="Verdana"/>
          <w:w w:val="103"/>
          <w:sz w:val="16"/>
        </w:rPr>
        <w:br w:type="column"/>
      </w:r>
      <w:r>
        <w:rPr>
          <w:rFonts w:ascii="Verdana" w:hAnsi="Verdana"/>
          <w:w w:val="105"/>
          <w:sz w:val="16"/>
        </w:rPr>
        <w:t>сбор жалоб и анамнеза, активный опрос</w:t>
      </w:r>
      <w:r>
        <w:rPr>
          <w:rFonts w:ascii="Verdana" w:hAnsi="Verdana"/>
          <w:spacing w:val="-29"/>
          <w:w w:val="105"/>
          <w:sz w:val="16"/>
        </w:rPr>
        <w:t> </w:t>
      </w:r>
      <w:r>
        <w:rPr>
          <w:rFonts w:ascii="Verdana" w:hAnsi="Verdana"/>
          <w:w w:val="105"/>
          <w:sz w:val="16"/>
        </w:rPr>
        <w:t>на наличие, характер и выраженность боли в грудной клетке и одышки при физической нагрузке, эпизодов </w:t>
      </w:r>
      <w:r>
        <w:rPr>
          <w:rFonts w:ascii="Verdana" w:hAnsi="Verdana"/>
          <w:spacing w:val="-2"/>
          <w:w w:val="105"/>
          <w:sz w:val="16"/>
        </w:rPr>
        <w:t>кратковременной </w:t>
      </w:r>
      <w:r>
        <w:rPr>
          <w:rFonts w:ascii="Verdana" w:hAnsi="Verdana"/>
          <w:w w:val="105"/>
          <w:sz w:val="16"/>
        </w:rPr>
        <w:t>слабости в конечностях, онемения</w:t>
      </w:r>
      <w:r>
        <w:rPr>
          <w:rFonts w:ascii="Verdana" w:hAnsi="Verdana"/>
          <w:spacing w:val="-22"/>
          <w:w w:val="105"/>
          <w:sz w:val="16"/>
        </w:rPr>
        <w:t> </w:t>
      </w:r>
      <w:r>
        <w:rPr>
          <w:rFonts w:ascii="Verdana" w:hAnsi="Verdana"/>
          <w:w w:val="105"/>
          <w:sz w:val="16"/>
        </w:rPr>
        <w:t>половины лица или конечностей, об объеме</w:t>
      </w:r>
      <w:r>
        <w:rPr>
          <w:rFonts w:ascii="Verdana" w:hAnsi="Verdana"/>
          <w:spacing w:val="-39"/>
          <w:w w:val="105"/>
          <w:sz w:val="16"/>
        </w:rPr>
        <w:t> </w:t>
      </w:r>
      <w:r>
        <w:rPr>
          <w:rFonts w:ascii="Verdana" w:hAnsi="Verdana"/>
          <w:w w:val="105"/>
          <w:sz w:val="16"/>
        </w:rPr>
        <w:t>диуреза</w:t>
      </w:r>
    </w:p>
    <w:p>
      <w:pPr>
        <w:pStyle w:val="ListParagraph"/>
        <w:numPr>
          <w:ilvl w:val="0"/>
          <w:numId w:val="21"/>
        </w:numPr>
        <w:tabs>
          <w:tab w:pos="793" w:val="left" w:leader="none"/>
        </w:tabs>
        <w:spacing w:line="204" w:lineRule="auto" w:before="0" w:after="0"/>
        <w:ind w:left="545" w:right="300" w:firstLine="0"/>
        <w:jc w:val="both"/>
        <w:rPr>
          <w:rFonts w:ascii="Verdana" w:hAnsi="Verdana"/>
          <w:sz w:val="16"/>
        </w:rPr>
      </w:pPr>
      <w:r>
        <w:rPr>
          <w:rFonts w:ascii="Verdana" w:hAnsi="Verdana"/>
          <w:w w:val="105"/>
          <w:sz w:val="16"/>
        </w:rPr>
        <w:t>уточнение факта и характера </w:t>
      </w:r>
      <w:r>
        <w:rPr>
          <w:rFonts w:ascii="Verdana" w:hAnsi="Verdana"/>
          <w:spacing w:val="-3"/>
          <w:w w:val="105"/>
          <w:sz w:val="16"/>
        </w:rPr>
        <w:t>приема </w:t>
      </w:r>
      <w:r>
        <w:rPr>
          <w:rFonts w:ascii="Verdana" w:hAnsi="Verdana"/>
          <w:w w:val="105"/>
          <w:sz w:val="16"/>
        </w:rPr>
        <w:t>антигипертензивных</w:t>
      </w:r>
      <w:r>
        <w:rPr>
          <w:rFonts w:ascii="Verdana" w:hAnsi="Verdana"/>
          <w:spacing w:val="-5"/>
          <w:w w:val="105"/>
          <w:sz w:val="16"/>
        </w:rPr>
        <w:t> </w:t>
      </w:r>
      <w:r>
        <w:rPr>
          <w:rFonts w:ascii="Verdana" w:hAnsi="Verdana"/>
          <w:w w:val="105"/>
          <w:sz w:val="16"/>
        </w:rPr>
        <w:t>препаратов</w:t>
      </w:r>
    </w:p>
    <w:p>
      <w:pPr>
        <w:pStyle w:val="ListParagraph"/>
        <w:numPr>
          <w:ilvl w:val="0"/>
          <w:numId w:val="21"/>
        </w:numPr>
        <w:tabs>
          <w:tab w:pos="1233" w:val="left" w:leader="none"/>
          <w:tab w:pos="1235" w:val="left" w:leader="none"/>
          <w:tab w:pos="2739" w:val="left" w:leader="none"/>
          <w:tab w:pos="3869" w:val="left" w:leader="none"/>
        </w:tabs>
        <w:spacing w:line="204" w:lineRule="auto" w:before="0" w:after="0"/>
        <w:ind w:left="545" w:right="297" w:firstLine="0"/>
        <w:jc w:val="both"/>
        <w:rPr>
          <w:rFonts w:ascii="Verdana" w:hAnsi="Verdana"/>
          <w:sz w:val="16"/>
        </w:rPr>
      </w:pPr>
      <w:r>
        <w:rPr>
          <w:rFonts w:ascii="Verdana" w:hAnsi="Verdana"/>
          <w:w w:val="105"/>
          <w:sz w:val="16"/>
        </w:rPr>
        <w:t>уточнение</w:t>
        <w:tab/>
        <w:t>факта</w:t>
        <w:tab/>
      </w:r>
      <w:r>
        <w:rPr>
          <w:rFonts w:ascii="Verdana" w:hAnsi="Verdana"/>
          <w:sz w:val="16"/>
        </w:rPr>
        <w:t>приема </w:t>
      </w:r>
      <w:r>
        <w:rPr>
          <w:rFonts w:ascii="Verdana" w:hAnsi="Verdana"/>
          <w:w w:val="105"/>
          <w:sz w:val="16"/>
        </w:rPr>
        <w:t>гиполипидемических, антиагрегантных </w:t>
      </w:r>
      <w:r>
        <w:rPr>
          <w:rFonts w:ascii="Verdana" w:hAnsi="Verdana"/>
          <w:spacing w:val="-16"/>
          <w:w w:val="105"/>
          <w:sz w:val="16"/>
        </w:rPr>
        <w:t>и </w:t>
      </w:r>
      <w:r>
        <w:rPr>
          <w:rFonts w:ascii="Verdana" w:hAnsi="Verdana"/>
          <w:w w:val="105"/>
          <w:sz w:val="16"/>
        </w:rPr>
        <w:t>гипогликемических препаратов при </w:t>
      </w:r>
      <w:r>
        <w:rPr>
          <w:rFonts w:ascii="Verdana" w:hAnsi="Verdana"/>
          <w:spacing w:val="-3"/>
          <w:w w:val="105"/>
          <w:sz w:val="16"/>
        </w:rPr>
        <w:t>наличии </w:t>
      </w:r>
      <w:r>
        <w:rPr>
          <w:rFonts w:ascii="Verdana" w:hAnsi="Verdana"/>
          <w:w w:val="105"/>
          <w:sz w:val="16"/>
        </w:rPr>
        <w:t>показаний</w:t>
      </w:r>
    </w:p>
    <w:p>
      <w:pPr>
        <w:pStyle w:val="ListParagraph"/>
        <w:numPr>
          <w:ilvl w:val="0"/>
          <w:numId w:val="21"/>
        </w:numPr>
        <w:tabs>
          <w:tab w:pos="784" w:val="left" w:leader="none"/>
        </w:tabs>
        <w:spacing w:line="204" w:lineRule="auto" w:before="0" w:after="0"/>
        <w:ind w:left="545" w:right="297" w:firstLine="0"/>
        <w:jc w:val="both"/>
        <w:rPr>
          <w:rFonts w:ascii="Verdana" w:hAnsi="Verdana"/>
          <w:sz w:val="16"/>
        </w:rPr>
      </w:pPr>
      <w:r>
        <w:rPr>
          <w:rFonts w:ascii="Verdana" w:hAnsi="Verdana"/>
          <w:w w:val="105"/>
          <w:sz w:val="16"/>
        </w:rPr>
        <w:t>опрос и краткое консультирование </w:t>
      </w:r>
      <w:r>
        <w:rPr>
          <w:rFonts w:ascii="Verdana" w:hAnsi="Verdana"/>
          <w:spacing w:val="-8"/>
          <w:w w:val="105"/>
          <w:sz w:val="16"/>
        </w:rPr>
        <w:t>по </w:t>
      </w:r>
      <w:r>
        <w:rPr>
          <w:rFonts w:ascii="Verdana" w:hAnsi="Verdana"/>
          <w:w w:val="105"/>
          <w:sz w:val="16"/>
        </w:rPr>
        <w:t>поводу курения, характера питания, физической активности - измерение АД </w:t>
      </w:r>
      <w:r>
        <w:rPr>
          <w:rFonts w:ascii="Verdana" w:hAnsi="Verdana"/>
          <w:spacing w:val="-4"/>
          <w:w w:val="105"/>
          <w:sz w:val="16"/>
        </w:rPr>
        <w:t>при </w:t>
      </w:r>
      <w:r>
        <w:rPr>
          <w:rFonts w:ascii="Verdana" w:hAnsi="Verdana"/>
          <w:w w:val="105"/>
          <w:sz w:val="16"/>
        </w:rPr>
        <w:t>каждом</w:t>
      </w:r>
      <w:r>
        <w:rPr>
          <w:rFonts w:ascii="Verdana" w:hAnsi="Verdana"/>
          <w:spacing w:val="-3"/>
          <w:w w:val="105"/>
          <w:sz w:val="16"/>
        </w:rPr>
        <w:t> </w:t>
      </w:r>
      <w:r>
        <w:rPr>
          <w:rFonts w:ascii="Verdana" w:hAnsi="Verdana"/>
          <w:w w:val="105"/>
          <w:sz w:val="16"/>
        </w:rPr>
        <w:t>посещении</w:t>
      </w:r>
    </w:p>
    <w:p>
      <w:pPr>
        <w:pStyle w:val="ListParagraph"/>
        <w:numPr>
          <w:ilvl w:val="0"/>
          <w:numId w:val="21"/>
        </w:numPr>
        <w:tabs>
          <w:tab w:pos="679" w:val="left" w:leader="none"/>
        </w:tabs>
        <w:spacing w:line="155" w:lineRule="exact" w:before="0" w:after="0"/>
        <w:ind w:left="678" w:right="0" w:hanging="134"/>
        <w:jc w:val="both"/>
        <w:rPr>
          <w:rFonts w:ascii="Verdana" w:hAnsi="Verdana"/>
          <w:sz w:val="16"/>
        </w:rPr>
      </w:pPr>
      <w:r>
        <w:rPr>
          <w:rFonts w:ascii="Verdana" w:hAnsi="Verdana"/>
          <w:w w:val="105"/>
          <w:sz w:val="16"/>
        </w:rPr>
        <w:t>анализ данных</w:t>
      </w:r>
      <w:r>
        <w:rPr>
          <w:rFonts w:ascii="Verdana" w:hAnsi="Verdana"/>
          <w:spacing w:val="-6"/>
          <w:w w:val="105"/>
          <w:sz w:val="16"/>
        </w:rPr>
        <w:t> </w:t>
      </w:r>
      <w:r>
        <w:rPr>
          <w:rFonts w:ascii="Verdana" w:hAnsi="Verdana"/>
          <w:w w:val="105"/>
          <w:sz w:val="16"/>
        </w:rPr>
        <w:t>ДМАД</w:t>
      </w:r>
    </w:p>
    <w:p>
      <w:pPr>
        <w:pStyle w:val="ListParagraph"/>
        <w:numPr>
          <w:ilvl w:val="0"/>
          <w:numId w:val="21"/>
        </w:numPr>
        <w:tabs>
          <w:tab w:pos="1006" w:val="left" w:leader="none"/>
        </w:tabs>
        <w:spacing w:line="204" w:lineRule="auto" w:before="7" w:after="0"/>
        <w:ind w:left="545" w:right="293" w:firstLine="0"/>
        <w:jc w:val="both"/>
        <w:rPr>
          <w:rFonts w:ascii="Verdana" w:hAnsi="Verdana"/>
          <w:sz w:val="16"/>
        </w:rPr>
      </w:pPr>
      <w:r>
        <w:rPr>
          <w:rFonts w:ascii="Verdana" w:hAnsi="Verdana"/>
          <w:w w:val="105"/>
          <w:sz w:val="16"/>
        </w:rPr>
        <w:t>общий осмотр и объективное обследование, включая пальпацию периферических сосудов и аускультацию подключичных, сонных, почечных </w:t>
      </w:r>
      <w:r>
        <w:rPr>
          <w:rFonts w:ascii="Verdana" w:hAnsi="Verdana"/>
          <w:spacing w:val="-15"/>
          <w:w w:val="105"/>
          <w:sz w:val="16"/>
        </w:rPr>
        <w:t>и </w:t>
      </w:r>
      <w:r>
        <w:rPr>
          <w:rFonts w:ascii="Verdana" w:hAnsi="Verdana"/>
          <w:w w:val="105"/>
          <w:sz w:val="16"/>
        </w:rPr>
        <w:t>бедренных артерий, измерение индекса массы тела и окружности талии при каждом посещении</w:t>
      </w:r>
    </w:p>
    <w:p>
      <w:pPr>
        <w:pStyle w:val="ListParagraph"/>
        <w:numPr>
          <w:ilvl w:val="0"/>
          <w:numId w:val="21"/>
        </w:numPr>
        <w:tabs>
          <w:tab w:pos="730" w:val="left" w:leader="none"/>
        </w:tabs>
        <w:spacing w:line="204" w:lineRule="auto" w:before="0" w:after="0"/>
        <w:ind w:left="545" w:right="303" w:firstLine="0"/>
        <w:jc w:val="both"/>
        <w:rPr>
          <w:rFonts w:ascii="Verdana" w:hAnsi="Verdana"/>
          <w:sz w:val="16"/>
        </w:rPr>
      </w:pPr>
      <w:r>
        <w:rPr>
          <w:rFonts w:ascii="Verdana" w:hAnsi="Verdana"/>
          <w:w w:val="105"/>
          <w:sz w:val="16"/>
        </w:rPr>
        <w:t>гемоглобин и/или гематокрит при взятии под диспансерное наблюдение, далее </w:t>
      </w:r>
      <w:r>
        <w:rPr>
          <w:rFonts w:ascii="Verdana" w:hAnsi="Verdana"/>
          <w:spacing w:val="-7"/>
          <w:w w:val="105"/>
          <w:sz w:val="16"/>
        </w:rPr>
        <w:t>по </w:t>
      </w:r>
      <w:r>
        <w:rPr>
          <w:rFonts w:ascii="Verdana" w:hAnsi="Verdana"/>
          <w:w w:val="105"/>
          <w:sz w:val="16"/>
        </w:rPr>
        <w:t>показаниям, но не реже 1 раза в 2</w:t>
      </w:r>
      <w:r>
        <w:rPr>
          <w:rFonts w:ascii="Verdana" w:hAnsi="Verdana"/>
          <w:spacing w:val="-40"/>
          <w:w w:val="105"/>
          <w:sz w:val="16"/>
        </w:rPr>
        <w:t> </w:t>
      </w:r>
      <w:r>
        <w:rPr>
          <w:rFonts w:ascii="Verdana" w:hAnsi="Verdana"/>
          <w:w w:val="105"/>
          <w:sz w:val="16"/>
        </w:rPr>
        <w:t>года</w:t>
      </w:r>
    </w:p>
    <w:p>
      <w:pPr>
        <w:pStyle w:val="ListParagraph"/>
        <w:numPr>
          <w:ilvl w:val="0"/>
          <w:numId w:val="21"/>
        </w:numPr>
        <w:tabs>
          <w:tab w:pos="694" w:val="left" w:leader="none"/>
        </w:tabs>
        <w:spacing w:line="204" w:lineRule="auto" w:before="0" w:after="0"/>
        <w:ind w:left="545" w:right="299" w:firstLine="0"/>
        <w:jc w:val="both"/>
        <w:rPr>
          <w:rFonts w:ascii="Verdana" w:hAnsi="Verdana"/>
          <w:sz w:val="16"/>
        </w:rPr>
      </w:pPr>
      <w:r>
        <w:rPr>
          <w:rFonts w:ascii="Verdana" w:hAnsi="Verdana"/>
          <w:w w:val="105"/>
          <w:sz w:val="16"/>
        </w:rPr>
        <w:t>глюкоза плазмы натощак не реже 1 раза </w:t>
      </w:r>
      <w:r>
        <w:rPr>
          <w:rFonts w:ascii="Verdana" w:hAnsi="Verdana"/>
          <w:spacing w:val="-11"/>
          <w:w w:val="105"/>
          <w:sz w:val="16"/>
        </w:rPr>
        <w:t>в </w:t>
      </w:r>
      <w:r>
        <w:rPr>
          <w:rFonts w:ascii="Verdana" w:hAnsi="Verdana"/>
          <w:w w:val="105"/>
          <w:sz w:val="16"/>
        </w:rPr>
        <w:t>год (допускается</w:t>
      </w:r>
      <w:r>
        <w:rPr>
          <w:rFonts w:ascii="Verdana" w:hAnsi="Verdana"/>
          <w:spacing w:val="-9"/>
          <w:w w:val="105"/>
          <w:sz w:val="16"/>
        </w:rPr>
        <w:t> </w:t>
      </w:r>
      <w:r>
        <w:rPr>
          <w:rFonts w:ascii="Verdana" w:hAnsi="Verdana"/>
          <w:w w:val="105"/>
          <w:sz w:val="16"/>
        </w:rPr>
        <w:t>экспресс-метод)</w:t>
      </w:r>
    </w:p>
    <w:p>
      <w:pPr>
        <w:pStyle w:val="ListParagraph"/>
        <w:numPr>
          <w:ilvl w:val="0"/>
          <w:numId w:val="21"/>
        </w:numPr>
        <w:tabs>
          <w:tab w:pos="726" w:val="left" w:leader="none"/>
        </w:tabs>
        <w:spacing w:line="204" w:lineRule="auto" w:before="0" w:after="0"/>
        <w:ind w:left="545" w:right="294" w:firstLine="0"/>
        <w:jc w:val="both"/>
        <w:rPr>
          <w:rFonts w:ascii="Verdana" w:hAnsi="Verdana"/>
          <w:sz w:val="16"/>
        </w:rPr>
      </w:pPr>
      <w:r>
        <w:rPr>
          <w:rFonts w:ascii="Verdana" w:hAnsi="Verdana"/>
          <w:w w:val="105"/>
          <w:sz w:val="16"/>
        </w:rPr>
        <w:t>общий холестерин не реже 1 раза в </w:t>
      </w:r>
      <w:r>
        <w:rPr>
          <w:rFonts w:ascii="Verdana" w:hAnsi="Verdana"/>
          <w:spacing w:val="-5"/>
          <w:w w:val="105"/>
          <w:sz w:val="16"/>
        </w:rPr>
        <w:t>год </w:t>
      </w:r>
      <w:r>
        <w:rPr>
          <w:rFonts w:ascii="Verdana" w:hAnsi="Verdana"/>
          <w:w w:val="105"/>
          <w:sz w:val="16"/>
        </w:rPr>
        <w:t>(допускается</w:t>
      </w:r>
      <w:r>
        <w:rPr>
          <w:rFonts w:ascii="Verdana" w:hAnsi="Verdana"/>
          <w:spacing w:val="-4"/>
          <w:w w:val="105"/>
          <w:sz w:val="16"/>
        </w:rPr>
        <w:t> </w:t>
      </w:r>
      <w:r>
        <w:rPr>
          <w:rFonts w:ascii="Verdana" w:hAnsi="Verdana"/>
          <w:w w:val="105"/>
          <w:sz w:val="16"/>
        </w:rPr>
        <w:t>экспресс-метод)</w:t>
      </w:r>
    </w:p>
    <w:p>
      <w:pPr>
        <w:pStyle w:val="ListParagraph"/>
        <w:numPr>
          <w:ilvl w:val="0"/>
          <w:numId w:val="21"/>
        </w:numPr>
        <w:tabs>
          <w:tab w:pos="949" w:val="left" w:leader="none"/>
        </w:tabs>
        <w:spacing w:line="204" w:lineRule="auto" w:before="0" w:after="0"/>
        <w:ind w:left="545" w:right="297" w:firstLine="0"/>
        <w:jc w:val="both"/>
        <w:rPr>
          <w:rFonts w:ascii="Verdana" w:hAnsi="Verdana"/>
          <w:sz w:val="16"/>
        </w:rPr>
      </w:pPr>
      <w:r>
        <w:rPr>
          <w:rFonts w:ascii="Verdana" w:hAnsi="Verdana"/>
          <w:w w:val="105"/>
          <w:sz w:val="16"/>
        </w:rPr>
        <w:t>холестерин липопротеинов низкой плотности, холестерин липопротеинов высокой плотности, триглицериды </w:t>
      </w:r>
      <w:r>
        <w:rPr>
          <w:rFonts w:ascii="Verdana" w:hAnsi="Verdana"/>
          <w:spacing w:val="-15"/>
          <w:w w:val="105"/>
          <w:sz w:val="16"/>
        </w:rPr>
        <w:t>в </w:t>
      </w:r>
      <w:r>
        <w:rPr>
          <w:rFonts w:ascii="Verdana" w:hAnsi="Verdana"/>
          <w:w w:val="105"/>
          <w:sz w:val="16"/>
        </w:rPr>
        <w:t>сыворотке при взятии под диспансерное наблюдение, далее по показаниям, но </w:t>
      </w:r>
      <w:r>
        <w:rPr>
          <w:rFonts w:ascii="Verdana" w:hAnsi="Verdana"/>
          <w:spacing w:val="-6"/>
          <w:w w:val="105"/>
          <w:sz w:val="16"/>
        </w:rPr>
        <w:t>не </w:t>
      </w:r>
      <w:r>
        <w:rPr>
          <w:rFonts w:ascii="Verdana" w:hAnsi="Verdana"/>
          <w:w w:val="105"/>
          <w:sz w:val="16"/>
        </w:rPr>
        <w:t>реже 1 раза в 2</w:t>
      </w:r>
      <w:r>
        <w:rPr>
          <w:rFonts w:ascii="Verdana" w:hAnsi="Verdana"/>
          <w:spacing w:val="-13"/>
          <w:w w:val="105"/>
          <w:sz w:val="16"/>
        </w:rPr>
        <w:t> </w:t>
      </w:r>
      <w:r>
        <w:rPr>
          <w:rFonts w:ascii="Verdana" w:hAnsi="Verdana"/>
          <w:w w:val="105"/>
          <w:sz w:val="16"/>
        </w:rPr>
        <w:t>года</w:t>
      </w:r>
    </w:p>
    <w:p>
      <w:pPr>
        <w:pStyle w:val="ListParagraph"/>
        <w:numPr>
          <w:ilvl w:val="0"/>
          <w:numId w:val="21"/>
        </w:numPr>
        <w:tabs>
          <w:tab w:pos="701" w:val="left" w:leader="none"/>
        </w:tabs>
        <w:spacing w:line="204" w:lineRule="auto" w:before="0" w:after="0"/>
        <w:ind w:left="545" w:right="293" w:firstLine="0"/>
        <w:jc w:val="both"/>
        <w:rPr>
          <w:rFonts w:ascii="Verdana" w:hAnsi="Verdana"/>
          <w:sz w:val="16"/>
        </w:rPr>
      </w:pPr>
      <w:r>
        <w:rPr>
          <w:rFonts w:ascii="Verdana" w:hAnsi="Verdana"/>
          <w:w w:val="105"/>
          <w:sz w:val="16"/>
        </w:rPr>
        <w:t>калий и натрий сыворотки при взятии под диспансерное наблюдение, далее </w:t>
      </w:r>
      <w:r>
        <w:rPr>
          <w:rFonts w:ascii="Verdana" w:hAnsi="Verdana"/>
          <w:spacing w:val="-8"/>
          <w:w w:val="105"/>
          <w:sz w:val="16"/>
        </w:rPr>
        <w:t>по </w:t>
      </w:r>
      <w:r>
        <w:rPr>
          <w:rFonts w:ascii="Verdana" w:hAnsi="Verdana"/>
          <w:w w:val="105"/>
          <w:sz w:val="16"/>
        </w:rPr>
        <w:t>показаниям, но не реже 1 раза в 2</w:t>
      </w:r>
      <w:r>
        <w:rPr>
          <w:rFonts w:ascii="Verdana" w:hAnsi="Verdana"/>
          <w:spacing w:val="-40"/>
          <w:w w:val="105"/>
          <w:sz w:val="16"/>
        </w:rPr>
        <w:t> </w:t>
      </w:r>
      <w:r>
        <w:rPr>
          <w:rFonts w:ascii="Verdana" w:hAnsi="Verdana"/>
          <w:w w:val="105"/>
          <w:sz w:val="16"/>
        </w:rPr>
        <w:t>года</w:t>
      </w:r>
    </w:p>
    <w:p>
      <w:pPr>
        <w:pStyle w:val="ListParagraph"/>
        <w:numPr>
          <w:ilvl w:val="0"/>
          <w:numId w:val="21"/>
        </w:numPr>
        <w:tabs>
          <w:tab w:pos="687" w:val="left" w:leader="none"/>
        </w:tabs>
        <w:spacing w:line="204" w:lineRule="auto" w:before="0" w:after="0"/>
        <w:ind w:left="545" w:right="293" w:firstLine="0"/>
        <w:jc w:val="both"/>
        <w:rPr>
          <w:rFonts w:ascii="Verdana" w:hAnsi="Verdana"/>
          <w:sz w:val="16"/>
        </w:rPr>
      </w:pPr>
      <w:r>
        <w:rPr>
          <w:rFonts w:ascii="Verdana" w:hAnsi="Verdana"/>
          <w:w w:val="105"/>
          <w:sz w:val="16"/>
        </w:rPr>
        <w:t>мочевая кислота сыворотки при взятии</w:t>
      </w:r>
      <w:r>
        <w:rPr>
          <w:rFonts w:ascii="Verdana" w:hAnsi="Verdana"/>
          <w:spacing w:val="-27"/>
          <w:w w:val="105"/>
          <w:sz w:val="16"/>
        </w:rPr>
        <w:t> </w:t>
      </w:r>
      <w:r>
        <w:rPr>
          <w:rFonts w:ascii="Verdana" w:hAnsi="Verdana"/>
          <w:spacing w:val="-4"/>
          <w:w w:val="105"/>
          <w:sz w:val="16"/>
        </w:rPr>
        <w:t>под </w:t>
      </w:r>
      <w:r>
        <w:rPr>
          <w:rFonts w:ascii="Verdana" w:hAnsi="Verdana"/>
          <w:w w:val="105"/>
          <w:sz w:val="16"/>
        </w:rPr>
        <w:t>диспансерное наблюдение, далее </w:t>
      </w:r>
      <w:r>
        <w:rPr>
          <w:rFonts w:ascii="Verdana" w:hAnsi="Verdana"/>
          <w:spacing w:val="-8"/>
          <w:w w:val="105"/>
          <w:sz w:val="16"/>
        </w:rPr>
        <w:t>по </w:t>
      </w:r>
      <w:r>
        <w:rPr>
          <w:rFonts w:ascii="Verdana" w:hAnsi="Verdana"/>
          <w:w w:val="105"/>
          <w:sz w:val="16"/>
        </w:rPr>
        <w:t>показаниям</w:t>
      </w:r>
    </w:p>
    <w:p>
      <w:pPr>
        <w:pStyle w:val="ListParagraph"/>
        <w:numPr>
          <w:ilvl w:val="0"/>
          <w:numId w:val="21"/>
        </w:numPr>
        <w:tabs>
          <w:tab w:pos="682" w:val="left" w:leader="none"/>
        </w:tabs>
        <w:spacing w:line="204" w:lineRule="auto" w:before="0" w:after="0"/>
        <w:ind w:left="545" w:right="306" w:firstLine="0"/>
        <w:jc w:val="both"/>
        <w:rPr>
          <w:rFonts w:ascii="Verdana" w:hAnsi="Verdana"/>
          <w:sz w:val="16"/>
        </w:rPr>
      </w:pPr>
      <w:r>
        <w:rPr>
          <w:rFonts w:ascii="Verdana" w:hAnsi="Verdana"/>
          <w:w w:val="105"/>
          <w:sz w:val="16"/>
        </w:rPr>
        <w:t>креатинин</w:t>
      </w:r>
      <w:r>
        <w:rPr>
          <w:rFonts w:ascii="Verdana" w:hAnsi="Verdana"/>
          <w:spacing w:val="-11"/>
          <w:w w:val="105"/>
          <w:sz w:val="16"/>
        </w:rPr>
        <w:t> </w:t>
      </w:r>
      <w:r>
        <w:rPr>
          <w:rFonts w:ascii="Verdana" w:hAnsi="Verdana"/>
          <w:w w:val="105"/>
          <w:sz w:val="16"/>
        </w:rPr>
        <w:t>сыворотки</w:t>
      </w:r>
      <w:r>
        <w:rPr>
          <w:rFonts w:ascii="Verdana" w:hAnsi="Verdana"/>
          <w:spacing w:val="-10"/>
          <w:w w:val="105"/>
          <w:sz w:val="16"/>
        </w:rPr>
        <w:t> </w:t>
      </w:r>
      <w:r>
        <w:rPr>
          <w:rFonts w:ascii="Verdana" w:hAnsi="Verdana"/>
          <w:w w:val="105"/>
          <w:sz w:val="16"/>
        </w:rPr>
        <w:t>(с</w:t>
      </w:r>
      <w:r>
        <w:rPr>
          <w:rFonts w:ascii="Verdana" w:hAnsi="Verdana"/>
          <w:spacing w:val="-10"/>
          <w:w w:val="105"/>
          <w:sz w:val="16"/>
        </w:rPr>
        <w:t> </w:t>
      </w:r>
      <w:r>
        <w:rPr>
          <w:rFonts w:ascii="Verdana" w:hAnsi="Verdana"/>
          <w:w w:val="105"/>
          <w:sz w:val="16"/>
        </w:rPr>
        <w:t>расчетом</w:t>
      </w:r>
      <w:r>
        <w:rPr>
          <w:rFonts w:ascii="Verdana" w:hAnsi="Verdana"/>
          <w:spacing w:val="-11"/>
          <w:w w:val="105"/>
          <w:sz w:val="16"/>
        </w:rPr>
        <w:t> </w:t>
      </w:r>
      <w:r>
        <w:rPr>
          <w:rFonts w:ascii="Verdana" w:hAnsi="Verdana"/>
          <w:w w:val="105"/>
          <w:sz w:val="16"/>
        </w:rPr>
        <w:t>СКФ)</w:t>
      </w:r>
      <w:r>
        <w:rPr>
          <w:rFonts w:ascii="Verdana" w:hAnsi="Verdana"/>
          <w:spacing w:val="-10"/>
          <w:w w:val="105"/>
          <w:sz w:val="16"/>
        </w:rPr>
        <w:t> </w:t>
      </w:r>
      <w:r>
        <w:rPr>
          <w:rFonts w:ascii="Verdana" w:hAnsi="Verdana"/>
          <w:spacing w:val="-5"/>
          <w:w w:val="105"/>
          <w:sz w:val="16"/>
        </w:rPr>
        <w:t>при </w:t>
      </w:r>
      <w:r>
        <w:rPr>
          <w:rFonts w:ascii="Verdana" w:hAnsi="Verdana"/>
          <w:w w:val="105"/>
          <w:sz w:val="16"/>
        </w:rPr>
        <w:t>взятии</w:t>
      </w:r>
      <w:r>
        <w:rPr>
          <w:rFonts w:ascii="Verdana" w:hAnsi="Verdana"/>
          <w:spacing w:val="-13"/>
          <w:w w:val="105"/>
          <w:sz w:val="16"/>
        </w:rPr>
        <w:t> </w:t>
      </w:r>
      <w:r>
        <w:rPr>
          <w:rFonts w:ascii="Verdana" w:hAnsi="Verdana"/>
          <w:w w:val="105"/>
          <w:sz w:val="16"/>
        </w:rPr>
        <w:t>под</w:t>
      </w:r>
      <w:r>
        <w:rPr>
          <w:rFonts w:ascii="Verdana" w:hAnsi="Verdana"/>
          <w:spacing w:val="-13"/>
          <w:w w:val="105"/>
          <w:sz w:val="16"/>
        </w:rPr>
        <w:t> </w:t>
      </w:r>
      <w:r>
        <w:rPr>
          <w:rFonts w:ascii="Verdana" w:hAnsi="Verdana"/>
          <w:w w:val="105"/>
          <w:sz w:val="16"/>
        </w:rPr>
        <w:t>диспансерное</w:t>
      </w:r>
      <w:r>
        <w:rPr>
          <w:rFonts w:ascii="Verdana" w:hAnsi="Verdana"/>
          <w:spacing w:val="-13"/>
          <w:w w:val="105"/>
          <w:sz w:val="16"/>
        </w:rPr>
        <w:t> </w:t>
      </w:r>
      <w:r>
        <w:rPr>
          <w:rFonts w:ascii="Verdana" w:hAnsi="Verdana"/>
          <w:w w:val="105"/>
          <w:sz w:val="16"/>
        </w:rPr>
        <w:t>наблюдение,</w:t>
      </w:r>
      <w:r>
        <w:rPr>
          <w:rFonts w:ascii="Verdana" w:hAnsi="Verdana"/>
          <w:spacing w:val="-13"/>
          <w:w w:val="105"/>
          <w:sz w:val="16"/>
        </w:rPr>
        <w:t> </w:t>
      </w:r>
      <w:r>
        <w:rPr>
          <w:rFonts w:ascii="Verdana" w:hAnsi="Verdana"/>
          <w:spacing w:val="-3"/>
          <w:w w:val="105"/>
          <w:sz w:val="16"/>
        </w:rPr>
        <w:t>далее </w:t>
      </w:r>
      <w:r>
        <w:rPr>
          <w:rFonts w:ascii="Verdana" w:hAnsi="Verdana"/>
          <w:w w:val="105"/>
          <w:sz w:val="16"/>
        </w:rPr>
        <w:t>по</w:t>
      </w:r>
      <w:r>
        <w:rPr>
          <w:rFonts w:ascii="Verdana" w:hAnsi="Verdana"/>
          <w:spacing w:val="-7"/>
          <w:w w:val="105"/>
          <w:sz w:val="16"/>
        </w:rPr>
        <w:t> </w:t>
      </w:r>
      <w:r>
        <w:rPr>
          <w:rFonts w:ascii="Verdana" w:hAnsi="Verdana"/>
          <w:w w:val="105"/>
          <w:sz w:val="16"/>
        </w:rPr>
        <w:t>показаниям,</w:t>
      </w:r>
      <w:r>
        <w:rPr>
          <w:rFonts w:ascii="Verdana" w:hAnsi="Verdana"/>
          <w:spacing w:val="-6"/>
          <w:w w:val="105"/>
          <w:sz w:val="16"/>
        </w:rPr>
        <w:t> </w:t>
      </w:r>
      <w:r>
        <w:rPr>
          <w:rFonts w:ascii="Verdana" w:hAnsi="Verdana"/>
          <w:w w:val="105"/>
          <w:sz w:val="16"/>
        </w:rPr>
        <w:t>но</w:t>
      </w:r>
      <w:r>
        <w:rPr>
          <w:rFonts w:ascii="Verdana" w:hAnsi="Verdana"/>
          <w:spacing w:val="-6"/>
          <w:w w:val="105"/>
          <w:sz w:val="16"/>
        </w:rPr>
        <w:t> </w:t>
      </w:r>
      <w:r>
        <w:rPr>
          <w:rFonts w:ascii="Verdana" w:hAnsi="Verdana"/>
          <w:w w:val="105"/>
          <w:sz w:val="16"/>
        </w:rPr>
        <w:t>не</w:t>
      </w:r>
      <w:r>
        <w:rPr>
          <w:rFonts w:ascii="Verdana" w:hAnsi="Verdana"/>
          <w:spacing w:val="-6"/>
          <w:w w:val="105"/>
          <w:sz w:val="16"/>
        </w:rPr>
        <w:t> </w:t>
      </w:r>
      <w:r>
        <w:rPr>
          <w:rFonts w:ascii="Verdana" w:hAnsi="Verdana"/>
          <w:w w:val="105"/>
          <w:sz w:val="16"/>
        </w:rPr>
        <w:t>реже</w:t>
      </w:r>
      <w:r>
        <w:rPr>
          <w:rFonts w:ascii="Verdana" w:hAnsi="Verdana"/>
          <w:spacing w:val="-6"/>
          <w:w w:val="105"/>
          <w:sz w:val="16"/>
        </w:rPr>
        <w:t> </w:t>
      </w:r>
      <w:r>
        <w:rPr>
          <w:rFonts w:ascii="Verdana" w:hAnsi="Verdana"/>
          <w:w w:val="105"/>
          <w:sz w:val="16"/>
        </w:rPr>
        <w:t>1</w:t>
      </w:r>
      <w:r>
        <w:rPr>
          <w:rFonts w:ascii="Verdana" w:hAnsi="Verdana"/>
          <w:spacing w:val="-6"/>
          <w:w w:val="105"/>
          <w:sz w:val="16"/>
        </w:rPr>
        <w:t> </w:t>
      </w:r>
      <w:r>
        <w:rPr>
          <w:rFonts w:ascii="Verdana" w:hAnsi="Verdana"/>
          <w:w w:val="105"/>
          <w:sz w:val="16"/>
        </w:rPr>
        <w:t>раза</w:t>
      </w:r>
      <w:r>
        <w:rPr>
          <w:rFonts w:ascii="Verdana" w:hAnsi="Verdana"/>
          <w:spacing w:val="-6"/>
          <w:w w:val="105"/>
          <w:sz w:val="16"/>
        </w:rPr>
        <w:t> </w:t>
      </w:r>
      <w:r>
        <w:rPr>
          <w:rFonts w:ascii="Verdana" w:hAnsi="Verdana"/>
          <w:w w:val="105"/>
          <w:sz w:val="16"/>
        </w:rPr>
        <w:t>в</w:t>
      </w:r>
      <w:r>
        <w:rPr>
          <w:rFonts w:ascii="Verdana" w:hAnsi="Verdana"/>
          <w:spacing w:val="-6"/>
          <w:w w:val="105"/>
          <w:sz w:val="16"/>
        </w:rPr>
        <w:t> </w:t>
      </w:r>
      <w:r>
        <w:rPr>
          <w:rFonts w:ascii="Verdana" w:hAnsi="Verdana"/>
          <w:w w:val="105"/>
          <w:sz w:val="16"/>
        </w:rPr>
        <w:t>2</w:t>
      </w:r>
      <w:r>
        <w:rPr>
          <w:rFonts w:ascii="Verdana" w:hAnsi="Verdana"/>
          <w:spacing w:val="-6"/>
          <w:w w:val="105"/>
          <w:sz w:val="16"/>
        </w:rPr>
        <w:t> </w:t>
      </w:r>
      <w:r>
        <w:rPr>
          <w:rFonts w:ascii="Verdana" w:hAnsi="Verdana"/>
          <w:w w:val="105"/>
          <w:sz w:val="16"/>
        </w:rPr>
        <w:t>года</w:t>
      </w:r>
    </w:p>
    <w:p>
      <w:pPr>
        <w:pStyle w:val="ListParagraph"/>
        <w:numPr>
          <w:ilvl w:val="0"/>
          <w:numId w:val="21"/>
        </w:numPr>
        <w:tabs>
          <w:tab w:pos="733" w:val="left" w:leader="none"/>
        </w:tabs>
        <w:spacing w:line="204" w:lineRule="auto" w:before="0" w:after="0"/>
        <w:ind w:left="545" w:right="296" w:firstLine="0"/>
        <w:jc w:val="both"/>
        <w:rPr>
          <w:rFonts w:ascii="Verdana" w:hAnsi="Verdana"/>
          <w:sz w:val="16"/>
        </w:rPr>
      </w:pPr>
      <w:r>
        <w:rPr>
          <w:rFonts w:ascii="Verdana" w:hAnsi="Verdana"/>
          <w:w w:val="105"/>
          <w:sz w:val="16"/>
        </w:rPr>
        <w:t>анализ мочи на микроальбуминурию </w:t>
      </w:r>
      <w:r>
        <w:rPr>
          <w:rFonts w:ascii="Verdana" w:hAnsi="Verdana"/>
          <w:spacing w:val="-5"/>
          <w:w w:val="105"/>
          <w:sz w:val="16"/>
        </w:rPr>
        <w:t>при </w:t>
      </w:r>
      <w:r>
        <w:rPr>
          <w:rFonts w:ascii="Verdana" w:hAnsi="Verdana"/>
          <w:w w:val="105"/>
          <w:sz w:val="16"/>
        </w:rPr>
        <w:t>взятии</w:t>
      </w:r>
      <w:r>
        <w:rPr>
          <w:rFonts w:ascii="Verdana" w:hAnsi="Verdana"/>
          <w:spacing w:val="-14"/>
          <w:w w:val="105"/>
          <w:sz w:val="16"/>
        </w:rPr>
        <w:t> </w:t>
      </w:r>
      <w:r>
        <w:rPr>
          <w:rFonts w:ascii="Verdana" w:hAnsi="Verdana"/>
          <w:w w:val="105"/>
          <w:sz w:val="16"/>
        </w:rPr>
        <w:t>под</w:t>
      </w:r>
      <w:r>
        <w:rPr>
          <w:rFonts w:ascii="Verdana" w:hAnsi="Verdana"/>
          <w:spacing w:val="-13"/>
          <w:w w:val="105"/>
          <w:sz w:val="16"/>
        </w:rPr>
        <w:t> </w:t>
      </w:r>
      <w:r>
        <w:rPr>
          <w:rFonts w:ascii="Verdana" w:hAnsi="Verdana"/>
          <w:w w:val="105"/>
          <w:sz w:val="16"/>
        </w:rPr>
        <w:t>диспансерное</w:t>
      </w:r>
      <w:r>
        <w:rPr>
          <w:rFonts w:ascii="Verdana" w:hAnsi="Verdana"/>
          <w:spacing w:val="-13"/>
          <w:w w:val="105"/>
          <w:sz w:val="16"/>
        </w:rPr>
        <w:t> </w:t>
      </w:r>
      <w:r>
        <w:rPr>
          <w:rFonts w:ascii="Verdana" w:hAnsi="Verdana"/>
          <w:w w:val="105"/>
          <w:sz w:val="16"/>
        </w:rPr>
        <w:t>наблюдение,</w:t>
      </w:r>
      <w:r>
        <w:rPr>
          <w:rFonts w:ascii="Verdana" w:hAnsi="Verdana"/>
          <w:spacing w:val="-14"/>
          <w:w w:val="105"/>
          <w:sz w:val="16"/>
        </w:rPr>
        <w:t> </w:t>
      </w:r>
      <w:r>
        <w:rPr>
          <w:rFonts w:ascii="Verdana" w:hAnsi="Verdana"/>
          <w:w w:val="105"/>
          <w:sz w:val="16"/>
        </w:rPr>
        <w:t>далее по</w:t>
      </w:r>
      <w:r>
        <w:rPr>
          <w:rFonts w:ascii="Verdana" w:hAnsi="Verdana"/>
          <w:spacing w:val="-7"/>
          <w:w w:val="105"/>
          <w:sz w:val="16"/>
        </w:rPr>
        <w:t> </w:t>
      </w:r>
      <w:r>
        <w:rPr>
          <w:rFonts w:ascii="Verdana" w:hAnsi="Verdana"/>
          <w:w w:val="105"/>
          <w:sz w:val="16"/>
        </w:rPr>
        <w:t>показаниям,</w:t>
      </w:r>
      <w:r>
        <w:rPr>
          <w:rFonts w:ascii="Verdana" w:hAnsi="Verdana"/>
          <w:spacing w:val="-6"/>
          <w:w w:val="105"/>
          <w:sz w:val="16"/>
        </w:rPr>
        <w:t> </w:t>
      </w:r>
      <w:r>
        <w:rPr>
          <w:rFonts w:ascii="Verdana" w:hAnsi="Verdana"/>
          <w:w w:val="105"/>
          <w:sz w:val="16"/>
        </w:rPr>
        <w:t>но</w:t>
      </w:r>
      <w:r>
        <w:rPr>
          <w:rFonts w:ascii="Verdana" w:hAnsi="Verdana"/>
          <w:spacing w:val="-6"/>
          <w:w w:val="105"/>
          <w:sz w:val="16"/>
        </w:rPr>
        <w:t> </w:t>
      </w:r>
      <w:r>
        <w:rPr>
          <w:rFonts w:ascii="Verdana" w:hAnsi="Verdana"/>
          <w:w w:val="105"/>
          <w:sz w:val="16"/>
        </w:rPr>
        <w:t>не</w:t>
      </w:r>
      <w:r>
        <w:rPr>
          <w:rFonts w:ascii="Verdana" w:hAnsi="Verdana"/>
          <w:spacing w:val="-6"/>
          <w:w w:val="105"/>
          <w:sz w:val="16"/>
        </w:rPr>
        <w:t> </w:t>
      </w:r>
      <w:r>
        <w:rPr>
          <w:rFonts w:ascii="Verdana" w:hAnsi="Verdana"/>
          <w:w w:val="105"/>
          <w:sz w:val="16"/>
        </w:rPr>
        <w:t>реже</w:t>
      </w:r>
      <w:r>
        <w:rPr>
          <w:rFonts w:ascii="Verdana" w:hAnsi="Verdana"/>
          <w:spacing w:val="-6"/>
          <w:w w:val="105"/>
          <w:sz w:val="16"/>
        </w:rPr>
        <w:t> </w:t>
      </w:r>
      <w:r>
        <w:rPr>
          <w:rFonts w:ascii="Verdana" w:hAnsi="Verdana"/>
          <w:w w:val="105"/>
          <w:sz w:val="16"/>
        </w:rPr>
        <w:t>1</w:t>
      </w:r>
      <w:r>
        <w:rPr>
          <w:rFonts w:ascii="Verdana" w:hAnsi="Verdana"/>
          <w:spacing w:val="-6"/>
          <w:w w:val="105"/>
          <w:sz w:val="16"/>
        </w:rPr>
        <w:t> </w:t>
      </w:r>
      <w:r>
        <w:rPr>
          <w:rFonts w:ascii="Verdana" w:hAnsi="Verdana"/>
          <w:w w:val="105"/>
          <w:sz w:val="16"/>
        </w:rPr>
        <w:t>раза</w:t>
      </w:r>
      <w:r>
        <w:rPr>
          <w:rFonts w:ascii="Verdana" w:hAnsi="Verdana"/>
          <w:spacing w:val="-6"/>
          <w:w w:val="105"/>
          <w:sz w:val="16"/>
        </w:rPr>
        <w:t> </w:t>
      </w:r>
      <w:r>
        <w:rPr>
          <w:rFonts w:ascii="Verdana" w:hAnsi="Verdana"/>
          <w:w w:val="105"/>
          <w:sz w:val="16"/>
        </w:rPr>
        <w:t>в</w:t>
      </w:r>
      <w:r>
        <w:rPr>
          <w:rFonts w:ascii="Verdana" w:hAnsi="Verdana"/>
          <w:spacing w:val="-6"/>
          <w:w w:val="105"/>
          <w:sz w:val="16"/>
        </w:rPr>
        <w:t> </w:t>
      </w:r>
      <w:r>
        <w:rPr>
          <w:rFonts w:ascii="Verdana" w:hAnsi="Verdana"/>
          <w:w w:val="105"/>
          <w:sz w:val="16"/>
        </w:rPr>
        <w:t>2</w:t>
      </w:r>
      <w:r>
        <w:rPr>
          <w:rFonts w:ascii="Verdana" w:hAnsi="Verdana"/>
          <w:spacing w:val="-6"/>
          <w:w w:val="105"/>
          <w:sz w:val="16"/>
        </w:rPr>
        <w:t> </w:t>
      </w:r>
      <w:r>
        <w:rPr>
          <w:rFonts w:ascii="Verdana" w:hAnsi="Verdana"/>
          <w:w w:val="105"/>
          <w:sz w:val="16"/>
        </w:rPr>
        <w:t>года</w:t>
      </w:r>
    </w:p>
    <w:p>
      <w:pPr>
        <w:pStyle w:val="ListParagraph"/>
        <w:numPr>
          <w:ilvl w:val="0"/>
          <w:numId w:val="21"/>
        </w:numPr>
        <w:tabs>
          <w:tab w:pos="720" w:val="left" w:leader="none"/>
        </w:tabs>
        <w:spacing w:line="204" w:lineRule="auto" w:before="0" w:after="0"/>
        <w:ind w:left="545" w:right="300" w:firstLine="0"/>
        <w:jc w:val="both"/>
        <w:rPr>
          <w:rFonts w:ascii="Verdana" w:hAnsi="Verdana"/>
          <w:sz w:val="16"/>
        </w:rPr>
      </w:pPr>
      <w:r>
        <w:rPr>
          <w:rFonts w:ascii="Verdana" w:hAnsi="Verdana"/>
          <w:w w:val="105"/>
          <w:sz w:val="16"/>
        </w:rPr>
        <w:t>ЭКГ в 12 отведениях с расчетом </w:t>
      </w:r>
      <w:r>
        <w:rPr>
          <w:rFonts w:ascii="Verdana" w:hAnsi="Verdana"/>
          <w:spacing w:val="-3"/>
          <w:w w:val="105"/>
          <w:sz w:val="16"/>
        </w:rPr>
        <w:t>индекса </w:t>
      </w:r>
      <w:r>
        <w:rPr>
          <w:rFonts w:ascii="Verdana" w:hAnsi="Verdana"/>
          <w:w w:val="105"/>
          <w:sz w:val="16"/>
        </w:rPr>
        <w:t>Соколова–Лайона и </w:t>
      </w:r>
      <w:r>
        <w:rPr>
          <w:rFonts w:ascii="Verdana" w:hAnsi="Verdana"/>
          <w:spacing w:val="-2"/>
          <w:w w:val="105"/>
          <w:sz w:val="16"/>
        </w:rPr>
        <w:t>Корнелльского </w:t>
      </w:r>
      <w:r>
        <w:rPr>
          <w:rFonts w:ascii="Verdana" w:hAnsi="Verdana"/>
          <w:w w:val="105"/>
          <w:sz w:val="16"/>
        </w:rPr>
        <w:t>показателя не реже 1 раза в</w:t>
      </w:r>
      <w:r>
        <w:rPr>
          <w:rFonts w:ascii="Verdana" w:hAnsi="Verdana"/>
          <w:spacing w:val="-22"/>
          <w:w w:val="105"/>
          <w:sz w:val="16"/>
        </w:rPr>
        <w:t> </w:t>
      </w:r>
      <w:r>
        <w:rPr>
          <w:rFonts w:ascii="Verdana" w:hAnsi="Verdana"/>
          <w:w w:val="105"/>
          <w:sz w:val="16"/>
        </w:rPr>
        <w:t>год</w:t>
      </w:r>
    </w:p>
    <w:p>
      <w:pPr>
        <w:pStyle w:val="ListParagraph"/>
        <w:numPr>
          <w:ilvl w:val="0"/>
          <w:numId w:val="21"/>
        </w:numPr>
        <w:tabs>
          <w:tab w:pos="871" w:val="left" w:leader="none"/>
        </w:tabs>
        <w:spacing w:line="204" w:lineRule="auto" w:before="0" w:after="0"/>
        <w:ind w:left="545" w:right="294" w:firstLine="0"/>
        <w:jc w:val="both"/>
        <w:rPr>
          <w:rFonts w:ascii="Verdana" w:hAnsi="Verdana"/>
          <w:sz w:val="16"/>
        </w:rPr>
      </w:pPr>
      <w:r>
        <w:rPr>
          <w:rFonts w:ascii="Verdana" w:hAnsi="Verdana"/>
          <w:w w:val="105"/>
          <w:sz w:val="16"/>
        </w:rPr>
        <w:t>ЭхоКГ с определением ИММЛЖ </w:t>
      </w:r>
      <w:r>
        <w:rPr>
          <w:rFonts w:ascii="Verdana" w:hAnsi="Verdana"/>
          <w:spacing w:val="-13"/>
          <w:w w:val="105"/>
          <w:sz w:val="16"/>
        </w:rPr>
        <w:t>и </w:t>
      </w:r>
      <w:r>
        <w:rPr>
          <w:rFonts w:ascii="Verdana" w:hAnsi="Verdana"/>
          <w:w w:val="105"/>
          <w:sz w:val="16"/>
        </w:rPr>
        <w:t>диастолической функции при взятии под диспансерное наблюдение, в последующем по показаниям, но не реже 1 раза в год при отсутствии</w:t>
      </w:r>
      <w:r>
        <w:rPr>
          <w:rFonts w:ascii="Verdana" w:hAnsi="Verdana"/>
          <w:spacing w:val="-18"/>
          <w:w w:val="105"/>
          <w:sz w:val="16"/>
        </w:rPr>
        <w:t> </w:t>
      </w:r>
      <w:r>
        <w:rPr>
          <w:rFonts w:ascii="Verdana" w:hAnsi="Verdana"/>
          <w:w w:val="105"/>
          <w:sz w:val="16"/>
        </w:rPr>
        <w:t>достижения</w:t>
      </w:r>
      <w:r>
        <w:rPr>
          <w:rFonts w:ascii="Verdana" w:hAnsi="Verdana"/>
          <w:spacing w:val="-17"/>
          <w:w w:val="105"/>
          <w:sz w:val="16"/>
        </w:rPr>
        <w:t> </w:t>
      </w:r>
      <w:r>
        <w:rPr>
          <w:rFonts w:ascii="Verdana" w:hAnsi="Verdana"/>
          <w:w w:val="105"/>
          <w:sz w:val="16"/>
        </w:rPr>
        <w:t>целевых</w:t>
      </w:r>
      <w:r>
        <w:rPr>
          <w:rFonts w:ascii="Verdana" w:hAnsi="Verdana"/>
          <w:spacing w:val="-18"/>
          <w:w w:val="105"/>
          <w:sz w:val="16"/>
        </w:rPr>
        <w:t> </w:t>
      </w:r>
      <w:r>
        <w:rPr>
          <w:rFonts w:ascii="Verdana" w:hAnsi="Verdana"/>
          <w:w w:val="105"/>
          <w:sz w:val="16"/>
        </w:rPr>
        <w:t>значений</w:t>
      </w:r>
      <w:r>
        <w:rPr>
          <w:rFonts w:ascii="Verdana" w:hAnsi="Verdana"/>
          <w:spacing w:val="-17"/>
          <w:w w:val="105"/>
          <w:sz w:val="16"/>
        </w:rPr>
        <w:t> </w:t>
      </w:r>
      <w:r>
        <w:rPr>
          <w:rFonts w:ascii="Verdana" w:hAnsi="Verdana"/>
          <w:w w:val="105"/>
          <w:sz w:val="16"/>
        </w:rPr>
        <w:t>АД и наличии признаков прогрессирования гипертрофии левого желудочка по данным расчета индекса Соколова–Лайона </w:t>
      </w:r>
      <w:r>
        <w:rPr>
          <w:rFonts w:ascii="Verdana" w:hAnsi="Verdana"/>
          <w:spacing w:val="-14"/>
          <w:w w:val="105"/>
          <w:sz w:val="16"/>
        </w:rPr>
        <w:t>и </w:t>
      </w:r>
      <w:r>
        <w:rPr>
          <w:rFonts w:ascii="Verdana" w:hAnsi="Verdana"/>
          <w:w w:val="105"/>
          <w:sz w:val="16"/>
        </w:rPr>
        <w:t>Корнельского</w:t>
      </w:r>
      <w:r>
        <w:rPr>
          <w:rFonts w:ascii="Verdana" w:hAnsi="Verdana"/>
          <w:spacing w:val="-4"/>
          <w:w w:val="105"/>
          <w:sz w:val="16"/>
        </w:rPr>
        <w:t> </w:t>
      </w:r>
      <w:r>
        <w:rPr>
          <w:rFonts w:ascii="Verdana" w:hAnsi="Verdana"/>
          <w:w w:val="105"/>
          <w:sz w:val="16"/>
        </w:rPr>
        <w:t>показателя</w:t>
      </w:r>
    </w:p>
    <w:p>
      <w:pPr>
        <w:pStyle w:val="ListParagraph"/>
        <w:numPr>
          <w:ilvl w:val="0"/>
          <w:numId w:val="21"/>
        </w:numPr>
        <w:tabs>
          <w:tab w:pos="709" w:val="left" w:leader="none"/>
        </w:tabs>
        <w:spacing w:line="204" w:lineRule="auto" w:before="0" w:after="0"/>
        <w:ind w:left="545" w:right="296" w:firstLine="0"/>
        <w:jc w:val="both"/>
        <w:rPr>
          <w:rFonts w:ascii="Verdana" w:hAnsi="Verdana"/>
          <w:sz w:val="16"/>
        </w:rPr>
      </w:pPr>
      <w:r>
        <w:rPr>
          <w:rFonts w:ascii="Verdana" w:hAnsi="Verdana"/>
          <w:w w:val="105"/>
          <w:sz w:val="16"/>
        </w:rPr>
        <w:t>дуплексное сканирование сонных артерий у мужчин старше 40 лет, женщин старше 50 лет при ИМТ&gt;30 кг/м2 и более и общем холестерине &gt;5 ммоль/л и более при взятии под диспансерное наблюдение, далее по показаниям, но не реже 1 раза в 2 года </w:t>
      </w:r>
      <w:r>
        <w:rPr>
          <w:rFonts w:ascii="Verdana" w:hAnsi="Verdana"/>
          <w:spacing w:val="-12"/>
          <w:w w:val="105"/>
          <w:sz w:val="16"/>
        </w:rPr>
        <w:t>с </w:t>
      </w:r>
      <w:r>
        <w:rPr>
          <w:rFonts w:ascii="Verdana" w:hAnsi="Verdana"/>
          <w:w w:val="105"/>
          <w:sz w:val="16"/>
        </w:rPr>
        <w:t>целью определения ТИМ и наличия атеросклеротических</w:t>
      </w:r>
      <w:r>
        <w:rPr>
          <w:rFonts w:ascii="Verdana" w:hAnsi="Verdana"/>
          <w:spacing w:val="-4"/>
          <w:w w:val="105"/>
          <w:sz w:val="16"/>
        </w:rPr>
        <w:t> </w:t>
      </w:r>
      <w:r>
        <w:rPr>
          <w:rFonts w:ascii="Verdana" w:hAnsi="Verdana"/>
          <w:w w:val="105"/>
          <w:sz w:val="16"/>
        </w:rPr>
        <w:t>бляшек*</w:t>
      </w:r>
    </w:p>
    <w:p>
      <w:pPr>
        <w:pStyle w:val="ListParagraph"/>
        <w:numPr>
          <w:ilvl w:val="0"/>
          <w:numId w:val="21"/>
        </w:numPr>
        <w:tabs>
          <w:tab w:pos="769" w:val="left" w:leader="none"/>
        </w:tabs>
        <w:spacing w:line="204" w:lineRule="auto" w:before="0" w:after="0"/>
        <w:ind w:left="545" w:right="294" w:firstLine="0"/>
        <w:jc w:val="both"/>
        <w:rPr>
          <w:rFonts w:ascii="Verdana" w:hAnsi="Verdana"/>
          <w:sz w:val="16"/>
        </w:rPr>
      </w:pPr>
      <w:r>
        <w:rPr>
          <w:rFonts w:ascii="Verdana" w:hAnsi="Verdana"/>
          <w:w w:val="105"/>
          <w:sz w:val="16"/>
        </w:rPr>
        <w:t>УЗИ почек и дуплексное сканирование почечных артерий при </w:t>
      </w:r>
      <w:r>
        <w:rPr>
          <w:rFonts w:ascii="Verdana" w:hAnsi="Verdana"/>
          <w:spacing w:val="-3"/>
          <w:w w:val="105"/>
          <w:sz w:val="16"/>
        </w:rPr>
        <w:t>наличии </w:t>
      </w:r>
      <w:r>
        <w:rPr>
          <w:rFonts w:ascii="Verdana" w:hAnsi="Verdana"/>
          <w:w w:val="105"/>
          <w:sz w:val="16"/>
        </w:rPr>
        <w:t>обоснованного</w:t>
      </w:r>
      <w:r>
        <w:rPr>
          <w:rFonts w:ascii="Verdana" w:hAnsi="Verdana"/>
          <w:spacing w:val="-17"/>
          <w:w w:val="105"/>
          <w:sz w:val="16"/>
        </w:rPr>
        <w:t> </w:t>
      </w:r>
      <w:r>
        <w:rPr>
          <w:rFonts w:ascii="Verdana" w:hAnsi="Verdana"/>
          <w:w w:val="105"/>
          <w:sz w:val="16"/>
        </w:rPr>
        <w:t>подозрения</w:t>
      </w:r>
      <w:r>
        <w:rPr>
          <w:rFonts w:ascii="Verdana" w:hAnsi="Verdana"/>
          <w:spacing w:val="-17"/>
          <w:w w:val="105"/>
          <w:sz w:val="16"/>
        </w:rPr>
        <w:t> </w:t>
      </w:r>
      <w:r>
        <w:rPr>
          <w:rFonts w:ascii="Verdana" w:hAnsi="Verdana"/>
          <w:w w:val="105"/>
          <w:sz w:val="16"/>
        </w:rPr>
        <w:t>на</w:t>
      </w:r>
      <w:r>
        <w:rPr>
          <w:rFonts w:ascii="Verdana" w:hAnsi="Verdana"/>
          <w:spacing w:val="-17"/>
          <w:w w:val="105"/>
          <w:sz w:val="16"/>
        </w:rPr>
        <w:t> </w:t>
      </w:r>
      <w:r>
        <w:rPr>
          <w:rFonts w:ascii="Verdana" w:hAnsi="Verdana"/>
          <w:w w:val="105"/>
          <w:sz w:val="16"/>
        </w:rPr>
        <w:t>их</w:t>
      </w:r>
      <w:r>
        <w:rPr>
          <w:rFonts w:ascii="Verdana" w:hAnsi="Verdana"/>
          <w:spacing w:val="-16"/>
          <w:w w:val="105"/>
          <w:sz w:val="16"/>
        </w:rPr>
        <w:t> </w:t>
      </w:r>
      <w:r>
        <w:rPr>
          <w:rFonts w:ascii="Verdana" w:hAnsi="Verdana"/>
          <w:w w:val="105"/>
          <w:sz w:val="16"/>
        </w:rPr>
        <w:t>патологию*</w:t>
      </w:r>
    </w:p>
    <w:p>
      <w:pPr>
        <w:pStyle w:val="ListParagraph"/>
        <w:numPr>
          <w:ilvl w:val="0"/>
          <w:numId w:val="21"/>
        </w:numPr>
        <w:tabs>
          <w:tab w:pos="717" w:val="left" w:leader="none"/>
        </w:tabs>
        <w:spacing w:line="204" w:lineRule="auto" w:before="0" w:after="0"/>
        <w:ind w:left="545" w:right="296" w:firstLine="0"/>
        <w:jc w:val="both"/>
        <w:rPr>
          <w:rFonts w:ascii="Verdana" w:hAnsi="Verdana"/>
          <w:sz w:val="16"/>
        </w:rPr>
      </w:pPr>
      <w:r>
        <w:rPr>
          <w:rFonts w:ascii="Verdana" w:hAnsi="Verdana"/>
          <w:w w:val="105"/>
          <w:sz w:val="16"/>
        </w:rPr>
        <w:t>лодыжечно-плечевой индекс при наличии обоснованного</w:t>
      </w:r>
      <w:r>
        <w:rPr>
          <w:rFonts w:ascii="Verdana" w:hAnsi="Verdana"/>
          <w:spacing w:val="-21"/>
          <w:w w:val="105"/>
          <w:sz w:val="16"/>
        </w:rPr>
        <w:t> </w:t>
      </w:r>
      <w:r>
        <w:rPr>
          <w:rFonts w:ascii="Verdana" w:hAnsi="Verdana"/>
          <w:w w:val="105"/>
          <w:sz w:val="16"/>
        </w:rPr>
        <w:t>подозрения</w:t>
      </w:r>
      <w:r>
        <w:rPr>
          <w:rFonts w:ascii="Verdana" w:hAnsi="Verdana"/>
          <w:spacing w:val="-20"/>
          <w:w w:val="105"/>
          <w:sz w:val="16"/>
        </w:rPr>
        <w:t> </w:t>
      </w:r>
      <w:r>
        <w:rPr>
          <w:rFonts w:ascii="Verdana" w:hAnsi="Verdana"/>
          <w:w w:val="105"/>
          <w:sz w:val="16"/>
        </w:rPr>
        <w:t>на</w:t>
      </w:r>
      <w:r>
        <w:rPr>
          <w:rFonts w:ascii="Verdana" w:hAnsi="Verdana"/>
          <w:spacing w:val="-20"/>
          <w:w w:val="105"/>
          <w:sz w:val="16"/>
        </w:rPr>
        <w:t> </w:t>
      </w:r>
      <w:r>
        <w:rPr>
          <w:rFonts w:ascii="Verdana" w:hAnsi="Verdana"/>
          <w:w w:val="105"/>
          <w:sz w:val="16"/>
        </w:rPr>
        <w:t>стеноз</w:t>
      </w:r>
      <w:r>
        <w:rPr>
          <w:rFonts w:ascii="Verdana" w:hAnsi="Verdana"/>
          <w:spacing w:val="-20"/>
          <w:w w:val="105"/>
          <w:sz w:val="16"/>
        </w:rPr>
        <w:t> </w:t>
      </w:r>
      <w:r>
        <w:rPr>
          <w:rFonts w:ascii="Verdana" w:hAnsi="Verdana"/>
          <w:w w:val="105"/>
          <w:sz w:val="16"/>
        </w:rPr>
        <w:t>сосудов нижних</w:t>
      </w:r>
      <w:r>
        <w:rPr>
          <w:rFonts w:ascii="Verdana" w:hAnsi="Verdana"/>
          <w:spacing w:val="-3"/>
          <w:w w:val="105"/>
          <w:sz w:val="16"/>
        </w:rPr>
        <w:t> </w:t>
      </w:r>
      <w:r>
        <w:rPr>
          <w:rFonts w:ascii="Verdana" w:hAnsi="Verdana"/>
          <w:w w:val="105"/>
          <w:sz w:val="16"/>
        </w:rPr>
        <w:t>конечностей*</w:t>
      </w:r>
    </w:p>
    <w:p>
      <w:pPr>
        <w:pStyle w:val="ListParagraph"/>
        <w:numPr>
          <w:ilvl w:val="0"/>
          <w:numId w:val="21"/>
        </w:numPr>
        <w:tabs>
          <w:tab w:pos="682" w:val="left" w:leader="none"/>
        </w:tabs>
        <w:spacing w:line="204" w:lineRule="auto" w:before="0" w:after="0"/>
        <w:ind w:left="545" w:right="295" w:firstLine="0"/>
        <w:jc w:val="both"/>
        <w:rPr>
          <w:rFonts w:ascii="Verdana" w:hAnsi="Verdana"/>
          <w:sz w:val="16"/>
        </w:rPr>
      </w:pPr>
      <w:r>
        <w:rPr>
          <w:rFonts w:ascii="Verdana" w:hAnsi="Verdana"/>
          <w:w w:val="105"/>
          <w:sz w:val="16"/>
        </w:rPr>
        <w:t>консультация</w:t>
      </w:r>
      <w:r>
        <w:rPr>
          <w:rFonts w:ascii="Verdana" w:hAnsi="Verdana"/>
          <w:spacing w:val="-15"/>
          <w:w w:val="105"/>
          <w:sz w:val="16"/>
        </w:rPr>
        <w:t> </w:t>
      </w:r>
      <w:r>
        <w:rPr>
          <w:rFonts w:ascii="Verdana" w:hAnsi="Verdana"/>
          <w:w w:val="105"/>
          <w:sz w:val="16"/>
        </w:rPr>
        <w:t>окулиста</w:t>
      </w:r>
      <w:r>
        <w:rPr>
          <w:rFonts w:ascii="Verdana" w:hAnsi="Verdana"/>
          <w:spacing w:val="-14"/>
          <w:w w:val="105"/>
          <w:sz w:val="16"/>
        </w:rPr>
        <w:t> </w:t>
      </w:r>
      <w:r>
        <w:rPr>
          <w:rFonts w:ascii="Verdana" w:hAnsi="Verdana"/>
          <w:w w:val="105"/>
          <w:sz w:val="16"/>
        </w:rPr>
        <w:t>на</w:t>
      </w:r>
      <w:r>
        <w:rPr>
          <w:rFonts w:ascii="Verdana" w:hAnsi="Verdana"/>
          <w:spacing w:val="-14"/>
          <w:w w:val="105"/>
          <w:sz w:val="16"/>
        </w:rPr>
        <w:t> </w:t>
      </w:r>
      <w:r>
        <w:rPr>
          <w:rFonts w:ascii="Verdana" w:hAnsi="Verdana"/>
          <w:w w:val="105"/>
          <w:sz w:val="16"/>
        </w:rPr>
        <w:t>предмет</w:t>
      </w:r>
      <w:r>
        <w:rPr>
          <w:rFonts w:ascii="Verdana" w:hAnsi="Verdana"/>
          <w:spacing w:val="-14"/>
          <w:w w:val="105"/>
          <w:sz w:val="16"/>
        </w:rPr>
        <w:t> </w:t>
      </w:r>
      <w:r>
        <w:rPr>
          <w:rFonts w:ascii="Verdana" w:hAnsi="Verdana"/>
          <w:w w:val="105"/>
          <w:sz w:val="16"/>
        </w:rPr>
        <w:t>наличия кровоизлияний или экссудата на глазном дне, отека соска зрительного нерва </w:t>
      </w:r>
      <w:r>
        <w:rPr>
          <w:rFonts w:ascii="Verdana" w:hAnsi="Verdana"/>
          <w:spacing w:val="-5"/>
          <w:w w:val="105"/>
          <w:sz w:val="16"/>
        </w:rPr>
        <w:t>при </w:t>
      </w:r>
      <w:r>
        <w:rPr>
          <w:rFonts w:ascii="Verdana" w:hAnsi="Verdana"/>
          <w:w w:val="105"/>
          <w:sz w:val="16"/>
        </w:rPr>
        <w:t>взятии под ДН и по</w:t>
      </w:r>
      <w:r>
        <w:rPr>
          <w:rFonts w:ascii="Verdana" w:hAnsi="Verdana"/>
          <w:spacing w:val="-18"/>
          <w:w w:val="105"/>
          <w:sz w:val="16"/>
        </w:rPr>
        <w:t> </w:t>
      </w:r>
      <w:r>
        <w:rPr>
          <w:rFonts w:ascii="Verdana" w:hAnsi="Verdana"/>
          <w:w w:val="105"/>
          <w:sz w:val="16"/>
        </w:rPr>
        <w:t>показаниям</w:t>
      </w:r>
    </w:p>
    <w:p>
      <w:pPr>
        <w:pStyle w:val="ListParagraph"/>
        <w:numPr>
          <w:ilvl w:val="0"/>
          <w:numId w:val="21"/>
        </w:numPr>
        <w:tabs>
          <w:tab w:pos="744" w:val="left" w:leader="none"/>
        </w:tabs>
        <w:spacing w:line="204" w:lineRule="auto" w:before="0" w:after="0"/>
        <w:ind w:left="545" w:right="294" w:firstLine="0"/>
        <w:jc w:val="both"/>
        <w:rPr>
          <w:rFonts w:ascii="Verdana" w:hAnsi="Verdana"/>
          <w:sz w:val="16"/>
        </w:rPr>
      </w:pPr>
      <w:r>
        <w:rPr>
          <w:rFonts w:ascii="Verdana" w:hAnsi="Verdana"/>
          <w:w w:val="105"/>
          <w:sz w:val="16"/>
        </w:rPr>
        <w:t>оценка суммарного сердечно-сосудистого риска по таблице величины риска при АГ </w:t>
      </w:r>
      <w:r>
        <w:rPr>
          <w:rFonts w:ascii="Verdana" w:hAnsi="Verdana"/>
          <w:spacing w:val="-15"/>
          <w:w w:val="105"/>
          <w:sz w:val="16"/>
        </w:rPr>
        <w:t>и </w:t>
      </w:r>
      <w:r>
        <w:rPr>
          <w:rFonts w:ascii="Verdana" w:hAnsi="Verdana"/>
          <w:w w:val="105"/>
          <w:sz w:val="16"/>
        </w:rPr>
        <w:t>по шкале SCORE (при интерпретации</w:t>
      </w:r>
      <w:r>
        <w:rPr>
          <w:rFonts w:ascii="Verdana" w:hAnsi="Verdana"/>
          <w:spacing w:val="-26"/>
          <w:w w:val="105"/>
          <w:sz w:val="16"/>
        </w:rPr>
        <w:t> </w:t>
      </w:r>
      <w:r>
        <w:rPr>
          <w:rFonts w:ascii="Verdana" w:hAnsi="Verdana"/>
          <w:w w:val="105"/>
          <w:sz w:val="16"/>
        </w:rPr>
        <w:t>уровня риска приоритет отдается более высокому показателю)</w:t>
      </w:r>
    </w:p>
    <w:p>
      <w:pPr>
        <w:pStyle w:val="ListParagraph"/>
        <w:numPr>
          <w:ilvl w:val="0"/>
          <w:numId w:val="21"/>
        </w:numPr>
        <w:tabs>
          <w:tab w:pos="1124" w:val="left" w:leader="none"/>
        </w:tabs>
        <w:spacing w:line="204" w:lineRule="auto" w:before="0" w:after="0"/>
        <w:ind w:left="545" w:right="298" w:firstLine="0"/>
        <w:jc w:val="both"/>
        <w:rPr>
          <w:rFonts w:ascii="Verdana" w:hAnsi="Verdana"/>
          <w:sz w:val="16"/>
        </w:rPr>
      </w:pPr>
      <w:r>
        <w:rPr>
          <w:rFonts w:ascii="Verdana" w:hAnsi="Verdana"/>
          <w:w w:val="105"/>
          <w:sz w:val="16"/>
        </w:rPr>
        <w:t>корректировка терапии </w:t>
      </w:r>
      <w:r>
        <w:rPr>
          <w:rFonts w:ascii="Verdana" w:hAnsi="Verdana"/>
          <w:spacing w:val="-4"/>
          <w:w w:val="105"/>
          <w:sz w:val="16"/>
        </w:rPr>
        <w:t>(при </w:t>
      </w:r>
      <w:r>
        <w:rPr>
          <w:rFonts w:ascii="Verdana" w:hAnsi="Verdana"/>
          <w:w w:val="105"/>
          <w:sz w:val="16"/>
        </w:rPr>
        <w:t>необходимости)</w:t>
      </w:r>
    </w:p>
    <w:p>
      <w:pPr>
        <w:pStyle w:val="ListParagraph"/>
        <w:numPr>
          <w:ilvl w:val="0"/>
          <w:numId w:val="21"/>
        </w:numPr>
        <w:tabs>
          <w:tab w:pos="739" w:val="left" w:leader="none"/>
        </w:tabs>
        <w:spacing w:line="204" w:lineRule="auto" w:before="0" w:after="0"/>
        <w:ind w:left="545" w:right="294" w:firstLine="0"/>
        <w:jc w:val="both"/>
        <w:rPr>
          <w:rFonts w:ascii="Verdana" w:hAnsi="Verdana"/>
          <w:sz w:val="16"/>
        </w:rPr>
      </w:pPr>
      <w:r>
        <w:rPr>
          <w:rFonts w:ascii="Verdana" w:hAnsi="Verdana"/>
          <w:w w:val="105"/>
          <w:sz w:val="16"/>
        </w:rPr>
        <w:t>объяснение пациенту и/или обеспечение его памяткой по алгоритму неотложных действий при жизнеугрожающем состоянии, вероятность развития которого у пациента наиболее</w:t>
      </w:r>
      <w:r>
        <w:rPr>
          <w:rFonts w:ascii="Verdana" w:hAnsi="Verdana"/>
          <w:spacing w:val="-3"/>
          <w:w w:val="105"/>
          <w:sz w:val="16"/>
        </w:rPr>
        <w:t> </w:t>
      </w:r>
      <w:r>
        <w:rPr>
          <w:rFonts w:ascii="Verdana" w:hAnsi="Verdana"/>
          <w:w w:val="105"/>
          <w:sz w:val="16"/>
        </w:rPr>
        <w:t>высокая</w:t>
      </w:r>
    </w:p>
    <w:p>
      <w:pPr>
        <w:spacing w:after="0" w:line="204" w:lineRule="auto"/>
        <w:jc w:val="both"/>
        <w:rPr>
          <w:rFonts w:ascii="Verdana" w:hAnsi="Verdana"/>
          <w:sz w:val="16"/>
        </w:rPr>
        <w:sectPr>
          <w:pgSz w:w="11900" w:h="16840"/>
          <w:pgMar w:top="0" w:bottom="0" w:left="1420" w:right="1520"/>
          <w:cols w:num="3" w:equalWidth="0">
            <w:col w:w="1906" w:space="40"/>
            <w:col w:w="2121" w:space="90"/>
            <w:col w:w="4803"/>
          </w:cols>
        </w:sectPr>
      </w:pPr>
    </w:p>
    <w:p>
      <w:pPr>
        <w:pStyle w:val="BodyText"/>
        <w:spacing w:before="7"/>
        <w:ind w:left="0"/>
        <w:jc w:val="left"/>
        <w:rPr>
          <w:rFonts w:ascii="Verdana"/>
        </w:rPr>
      </w:pPr>
    </w:p>
    <w:p>
      <w:pPr>
        <w:spacing w:after="0"/>
        <w:jc w:val="left"/>
        <w:rPr>
          <w:rFonts w:ascii="Verdana"/>
        </w:rPr>
        <w:sectPr>
          <w:type w:val="continuous"/>
          <w:pgSz w:w="11900" w:h="16840"/>
          <w:pgMar w:top="1600" w:bottom="280" w:left="1420" w:right="1520"/>
        </w:sectPr>
      </w:pPr>
    </w:p>
    <w:p>
      <w:pPr>
        <w:tabs>
          <w:tab w:pos="1410" w:val="left" w:leader="none"/>
        </w:tabs>
        <w:spacing w:line="180" w:lineRule="exact" w:before="105"/>
        <w:ind w:left="545" w:right="0" w:firstLine="0"/>
        <w:jc w:val="left"/>
        <w:rPr>
          <w:rFonts w:ascii="Verdana" w:hAnsi="Verdana"/>
          <w:sz w:val="16"/>
        </w:rPr>
      </w:pPr>
      <w:r>
        <w:rPr/>
        <w:pict>
          <v:shape style="position:absolute;margin-left:90.037003pt;margin-top:.00096pt;width:422.45pt;height:841.9pt;mso-position-horizontal-relative:page;mso-position-vertical-relative:page;z-index:-18129408" coordorigin="1801,0" coordsize="8449,16838" path="m10249,0l10234,0,10234,15,10234,15501,5973,15502,5973,15,10234,15,10234,0,5973,0,5958,0,5958,15,5958,15501,3496,15502,3496,15,5958,15,5958,0,3496,0,3481,0,3481,15,3481,15501,1816,15502,1816,15,3481,15,3481,0,1816,0,1801,0,1801,16837,1816,16837,1816,15517,3481,15517,3481,16837,3496,16837,3496,15517,5958,15517,5958,16837,5973,16837,5973,15517,10234,15517,10234,16837,10249,16837,10249,15517,10249,15502,10249,15,10249,0xe" filled="true" fillcolor="#000000" stroked="false">
            <v:path arrowok="t"/>
            <v:fill type="solid"/>
            <w10:wrap type="none"/>
          </v:shape>
        </w:pict>
      </w:r>
      <w:r>
        <w:rPr>
          <w:rFonts w:ascii="Verdana" w:hAnsi="Verdana"/>
          <w:w w:val="105"/>
          <w:sz w:val="16"/>
        </w:rPr>
        <w:t>АГ</w:t>
        <w:tab/>
      </w:r>
      <w:r>
        <w:rPr>
          <w:rFonts w:ascii="Verdana" w:hAnsi="Verdana"/>
          <w:spacing w:val="-4"/>
          <w:w w:val="105"/>
          <w:sz w:val="16"/>
        </w:rPr>
        <w:t>1–3-й</w:t>
      </w:r>
    </w:p>
    <w:p>
      <w:pPr>
        <w:spacing w:line="204" w:lineRule="auto" w:before="9"/>
        <w:ind w:left="545" w:right="0" w:firstLine="0"/>
        <w:jc w:val="left"/>
        <w:rPr>
          <w:rFonts w:ascii="Verdana" w:hAnsi="Verdana"/>
          <w:sz w:val="16"/>
        </w:rPr>
      </w:pPr>
      <w:r>
        <w:rPr>
          <w:rFonts w:ascii="Verdana" w:hAnsi="Verdana"/>
          <w:w w:val="105"/>
          <w:sz w:val="16"/>
        </w:rPr>
        <w:t>степени с ССЗ, ЦВБ и ХБП</w:t>
      </w:r>
    </w:p>
    <w:p>
      <w:pPr>
        <w:spacing w:before="105"/>
        <w:ind w:left="280" w:right="0" w:firstLine="0"/>
        <w:jc w:val="left"/>
        <w:rPr>
          <w:rFonts w:ascii="Verdana" w:hAnsi="Verdana"/>
          <w:sz w:val="16"/>
        </w:rPr>
      </w:pPr>
      <w:r>
        <w:rPr/>
        <w:br w:type="column"/>
      </w:r>
      <w:r>
        <w:rPr>
          <w:rFonts w:ascii="Verdana" w:hAnsi="Verdana"/>
          <w:w w:val="105"/>
          <w:sz w:val="16"/>
        </w:rPr>
        <w:t>Не менее 2 раз в год</w:t>
      </w:r>
    </w:p>
    <w:p>
      <w:pPr>
        <w:pStyle w:val="ListParagraph"/>
        <w:numPr>
          <w:ilvl w:val="0"/>
          <w:numId w:val="21"/>
        </w:numPr>
        <w:tabs>
          <w:tab w:pos="686" w:val="left" w:leader="none"/>
        </w:tabs>
        <w:spacing w:line="204" w:lineRule="auto" w:before="129" w:after="0"/>
        <w:ind w:left="545" w:right="296" w:firstLine="0"/>
        <w:jc w:val="both"/>
        <w:rPr>
          <w:rFonts w:ascii="Verdana" w:hAnsi="Verdana"/>
          <w:sz w:val="16"/>
        </w:rPr>
      </w:pPr>
      <w:r>
        <w:rPr>
          <w:rFonts w:ascii="Verdana" w:hAnsi="Verdana"/>
          <w:w w:val="103"/>
          <w:sz w:val="16"/>
        </w:rPr>
        <w:br w:type="column"/>
      </w:r>
      <w:r>
        <w:rPr>
          <w:rFonts w:ascii="Verdana" w:hAnsi="Verdana"/>
          <w:w w:val="105"/>
          <w:sz w:val="16"/>
        </w:rPr>
        <w:t>сбор жалоб и анамнеза, активный опрос</w:t>
      </w:r>
      <w:r>
        <w:rPr>
          <w:rFonts w:ascii="Verdana" w:hAnsi="Verdana"/>
          <w:spacing w:val="-29"/>
          <w:w w:val="105"/>
          <w:sz w:val="16"/>
        </w:rPr>
        <w:t> </w:t>
      </w:r>
      <w:r>
        <w:rPr>
          <w:rFonts w:ascii="Verdana" w:hAnsi="Verdana"/>
          <w:w w:val="105"/>
          <w:sz w:val="16"/>
        </w:rPr>
        <w:t>на наличие, характер и выраженность боли в грудной клетке и одышки при физической нагрузке, эпизодов </w:t>
      </w:r>
      <w:r>
        <w:rPr>
          <w:rFonts w:ascii="Verdana" w:hAnsi="Verdana"/>
          <w:spacing w:val="-2"/>
          <w:w w:val="105"/>
          <w:sz w:val="16"/>
        </w:rPr>
        <w:t>кратковременной </w:t>
      </w:r>
      <w:r>
        <w:rPr>
          <w:rFonts w:ascii="Verdana" w:hAnsi="Verdana"/>
          <w:w w:val="105"/>
          <w:sz w:val="16"/>
        </w:rPr>
        <w:t>слабости в конечностях, онемения</w:t>
      </w:r>
      <w:r>
        <w:rPr>
          <w:rFonts w:ascii="Verdana" w:hAnsi="Verdana"/>
          <w:spacing w:val="-22"/>
          <w:w w:val="105"/>
          <w:sz w:val="16"/>
        </w:rPr>
        <w:t> </w:t>
      </w:r>
      <w:r>
        <w:rPr>
          <w:rFonts w:ascii="Verdana" w:hAnsi="Verdana"/>
          <w:w w:val="105"/>
          <w:sz w:val="16"/>
        </w:rPr>
        <w:t>половины лица или конечностей, об объеме</w:t>
      </w:r>
      <w:r>
        <w:rPr>
          <w:rFonts w:ascii="Verdana" w:hAnsi="Verdana"/>
          <w:spacing w:val="-39"/>
          <w:w w:val="105"/>
          <w:sz w:val="16"/>
        </w:rPr>
        <w:t> </w:t>
      </w:r>
      <w:r>
        <w:rPr>
          <w:rFonts w:ascii="Verdana" w:hAnsi="Verdana"/>
          <w:w w:val="105"/>
          <w:sz w:val="16"/>
        </w:rPr>
        <w:t>диуреза</w:t>
      </w:r>
    </w:p>
    <w:p>
      <w:pPr>
        <w:spacing w:after="0" w:line="204" w:lineRule="auto"/>
        <w:jc w:val="both"/>
        <w:rPr>
          <w:rFonts w:ascii="Verdana" w:hAnsi="Verdana"/>
          <w:sz w:val="16"/>
        </w:rPr>
        <w:sectPr>
          <w:type w:val="continuous"/>
          <w:pgSz w:w="11900" w:h="16840"/>
          <w:pgMar w:top="1600" w:bottom="280" w:left="1420" w:right="1520"/>
          <w:cols w:num="3" w:equalWidth="0">
            <w:col w:w="1906" w:space="40"/>
            <w:col w:w="2121" w:space="90"/>
            <w:col w:w="4803"/>
          </w:cols>
        </w:sectPr>
      </w:pPr>
    </w:p>
    <w:p>
      <w:pPr>
        <w:pStyle w:val="ListParagraph"/>
        <w:numPr>
          <w:ilvl w:val="1"/>
          <w:numId w:val="21"/>
        </w:numPr>
        <w:tabs>
          <w:tab w:pos="5390" w:val="left" w:leader="none"/>
          <w:tab w:pos="5391" w:val="left" w:leader="none"/>
          <w:tab w:pos="6896" w:val="left" w:leader="none"/>
          <w:tab w:pos="8026" w:val="left" w:leader="none"/>
        </w:tabs>
        <w:spacing w:line="204" w:lineRule="auto" w:before="13" w:after="0"/>
        <w:ind w:left="4702" w:right="305" w:firstLine="0"/>
        <w:jc w:val="both"/>
        <w:rPr>
          <w:rFonts w:ascii="Verdana" w:hAnsi="Verdana"/>
          <w:sz w:val="16"/>
        </w:rPr>
      </w:pPr>
      <w:r>
        <w:rPr/>
        <w:pict>
          <v:shape style="position:absolute;margin-left:90.037003pt;margin-top:.00396pt;width:422.45pt;height:792.35pt;mso-position-horizontal-relative:page;mso-position-vertical-relative:page;z-index:-18128896" coordorigin="1801,0" coordsize="8449,15847" path="m10249,0l10234,0,10234,15832,5973,15832,5973,0,5958,0,5958,15832,3496,15832,3496,0,3481,0,3481,15832,1816,15832,1816,0,1801,0,1801,15832,1801,15847,10249,15847,10249,15832,10249,0xe" filled="true" fillcolor="#000000" stroked="false">
            <v:path arrowok="t"/>
            <v:fill type="solid"/>
            <w10:wrap type="none"/>
          </v:shape>
        </w:pict>
      </w:r>
      <w:r>
        <w:rPr>
          <w:rFonts w:ascii="Verdana" w:hAnsi="Verdana"/>
          <w:w w:val="105"/>
          <w:sz w:val="16"/>
        </w:rPr>
        <w:t>уточнение</w:t>
        <w:tab/>
        <w:t>факта</w:t>
        <w:tab/>
      </w:r>
      <w:r>
        <w:rPr>
          <w:rFonts w:ascii="Verdana" w:hAnsi="Verdana"/>
          <w:spacing w:val="-3"/>
          <w:w w:val="105"/>
          <w:sz w:val="16"/>
        </w:rPr>
        <w:t>приема </w:t>
      </w:r>
      <w:r>
        <w:rPr>
          <w:rFonts w:ascii="Verdana" w:hAnsi="Verdana"/>
          <w:w w:val="105"/>
          <w:sz w:val="16"/>
        </w:rPr>
        <w:t>антигипертензивных</w:t>
      </w:r>
      <w:r>
        <w:rPr>
          <w:rFonts w:ascii="Verdana" w:hAnsi="Verdana"/>
          <w:spacing w:val="-5"/>
          <w:w w:val="105"/>
          <w:sz w:val="16"/>
        </w:rPr>
        <w:t> </w:t>
      </w:r>
      <w:r>
        <w:rPr>
          <w:rFonts w:ascii="Verdana" w:hAnsi="Verdana"/>
          <w:w w:val="105"/>
          <w:sz w:val="16"/>
        </w:rPr>
        <w:t>препаратов</w:t>
      </w:r>
    </w:p>
    <w:p>
      <w:pPr>
        <w:pStyle w:val="ListParagraph"/>
        <w:numPr>
          <w:ilvl w:val="1"/>
          <w:numId w:val="21"/>
        </w:numPr>
        <w:tabs>
          <w:tab w:pos="5390" w:val="left" w:leader="none"/>
          <w:tab w:pos="5391" w:val="left" w:leader="none"/>
          <w:tab w:pos="6896" w:val="left" w:leader="none"/>
          <w:tab w:pos="8026" w:val="left" w:leader="none"/>
        </w:tabs>
        <w:spacing w:line="204" w:lineRule="auto" w:before="0" w:after="0"/>
        <w:ind w:left="4702" w:right="297" w:firstLine="0"/>
        <w:jc w:val="both"/>
        <w:rPr>
          <w:rFonts w:ascii="Verdana" w:hAnsi="Verdana"/>
          <w:sz w:val="16"/>
        </w:rPr>
      </w:pPr>
      <w:r>
        <w:rPr>
          <w:rFonts w:ascii="Verdana" w:hAnsi="Verdana"/>
          <w:w w:val="105"/>
          <w:sz w:val="16"/>
        </w:rPr>
        <w:t>уточнение</w:t>
        <w:tab/>
        <w:t>факта</w:t>
        <w:tab/>
      </w:r>
      <w:r>
        <w:rPr>
          <w:rFonts w:ascii="Verdana" w:hAnsi="Verdana"/>
          <w:sz w:val="16"/>
        </w:rPr>
        <w:t>приема </w:t>
      </w:r>
      <w:r>
        <w:rPr>
          <w:rFonts w:ascii="Verdana" w:hAnsi="Verdana"/>
          <w:w w:val="105"/>
          <w:sz w:val="16"/>
        </w:rPr>
        <w:t>гиполипидемических, антиагрегантных </w:t>
      </w:r>
      <w:r>
        <w:rPr>
          <w:rFonts w:ascii="Verdana" w:hAnsi="Verdana"/>
          <w:spacing w:val="-16"/>
          <w:w w:val="105"/>
          <w:sz w:val="16"/>
        </w:rPr>
        <w:t>и </w:t>
      </w:r>
      <w:r>
        <w:rPr>
          <w:rFonts w:ascii="Verdana" w:hAnsi="Verdana"/>
          <w:w w:val="105"/>
          <w:sz w:val="16"/>
        </w:rPr>
        <w:t>гипогликемических препаратов при </w:t>
      </w:r>
      <w:r>
        <w:rPr>
          <w:rFonts w:ascii="Verdana" w:hAnsi="Verdana"/>
          <w:spacing w:val="-3"/>
          <w:w w:val="105"/>
          <w:sz w:val="16"/>
        </w:rPr>
        <w:t>наличии </w:t>
      </w:r>
      <w:r>
        <w:rPr>
          <w:rFonts w:ascii="Verdana" w:hAnsi="Verdana"/>
          <w:w w:val="105"/>
          <w:sz w:val="16"/>
        </w:rPr>
        <w:t>показаний</w:t>
      </w:r>
    </w:p>
    <w:p>
      <w:pPr>
        <w:pStyle w:val="ListParagraph"/>
        <w:numPr>
          <w:ilvl w:val="1"/>
          <w:numId w:val="21"/>
        </w:numPr>
        <w:tabs>
          <w:tab w:pos="4941" w:val="left" w:leader="none"/>
        </w:tabs>
        <w:spacing w:line="204" w:lineRule="auto" w:before="0" w:after="0"/>
        <w:ind w:left="4702" w:right="297" w:firstLine="0"/>
        <w:jc w:val="both"/>
        <w:rPr>
          <w:rFonts w:ascii="Verdana" w:hAnsi="Verdana"/>
          <w:sz w:val="16"/>
        </w:rPr>
      </w:pPr>
      <w:r>
        <w:rPr>
          <w:rFonts w:ascii="Verdana" w:hAnsi="Verdana"/>
          <w:w w:val="105"/>
          <w:sz w:val="16"/>
        </w:rPr>
        <w:t>опрос и краткое консультирование </w:t>
      </w:r>
      <w:r>
        <w:rPr>
          <w:rFonts w:ascii="Verdana" w:hAnsi="Verdana"/>
          <w:spacing w:val="-8"/>
          <w:w w:val="105"/>
          <w:sz w:val="16"/>
        </w:rPr>
        <w:t>по </w:t>
      </w:r>
      <w:r>
        <w:rPr>
          <w:rFonts w:ascii="Verdana" w:hAnsi="Verdana"/>
          <w:w w:val="105"/>
          <w:sz w:val="16"/>
        </w:rPr>
        <w:t>поводу курения, характера питания, физической</w:t>
      </w:r>
      <w:r>
        <w:rPr>
          <w:rFonts w:ascii="Verdana" w:hAnsi="Verdana"/>
          <w:spacing w:val="-3"/>
          <w:w w:val="105"/>
          <w:sz w:val="16"/>
        </w:rPr>
        <w:t> </w:t>
      </w:r>
      <w:r>
        <w:rPr>
          <w:rFonts w:ascii="Verdana" w:hAnsi="Verdana"/>
          <w:w w:val="105"/>
          <w:sz w:val="16"/>
        </w:rPr>
        <w:t>активности</w:t>
      </w:r>
    </w:p>
    <w:p>
      <w:pPr>
        <w:pStyle w:val="ListParagraph"/>
        <w:numPr>
          <w:ilvl w:val="1"/>
          <w:numId w:val="21"/>
        </w:numPr>
        <w:tabs>
          <w:tab w:pos="4836" w:val="left" w:leader="none"/>
        </w:tabs>
        <w:spacing w:line="155" w:lineRule="exact" w:before="0" w:after="0"/>
        <w:ind w:left="4835" w:right="0" w:hanging="134"/>
        <w:jc w:val="both"/>
        <w:rPr>
          <w:rFonts w:ascii="Verdana" w:hAnsi="Verdana"/>
          <w:sz w:val="16"/>
        </w:rPr>
      </w:pPr>
      <w:r>
        <w:rPr>
          <w:rFonts w:ascii="Verdana" w:hAnsi="Verdana"/>
          <w:w w:val="105"/>
          <w:sz w:val="16"/>
        </w:rPr>
        <w:t>измерение АД при каждом</w:t>
      </w:r>
      <w:r>
        <w:rPr>
          <w:rFonts w:ascii="Verdana" w:hAnsi="Verdana"/>
          <w:spacing w:val="-19"/>
          <w:w w:val="105"/>
          <w:sz w:val="16"/>
        </w:rPr>
        <w:t> </w:t>
      </w:r>
      <w:r>
        <w:rPr>
          <w:rFonts w:ascii="Verdana" w:hAnsi="Verdana"/>
          <w:w w:val="105"/>
          <w:sz w:val="16"/>
        </w:rPr>
        <w:t>посещении</w:t>
      </w:r>
    </w:p>
    <w:p>
      <w:pPr>
        <w:pStyle w:val="ListParagraph"/>
        <w:numPr>
          <w:ilvl w:val="1"/>
          <w:numId w:val="21"/>
        </w:numPr>
        <w:tabs>
          <w:tab w:pos="4995" w:val="left" w:leader="none"/>
        </w:tabs>
        <w:spacing w:line="204" w:lineRule="auto" w:before="8" w:after="0"/>
        <w:ind w:left="4702" w:right="300" w:firstLine="0"/>
        <w:jc w:val="both"/>
        <w:rPr>
          <w:rFonts w:ascii="Verdana" w:hAnsi="Verdana"/>
          <w:sz w:val="16"/>
        </w:rPr>
      </w:pPr>
      <w:r>
        <w:rPr>
          <w:rFonts w:ascii="Verdana" w:hAnsi="Verdana"/>
          <w:w w:val="105"/>
          <w:sz w:val="16"/>
        </w:rPr>
        <w:t>анализ данных ДМАД — уточнение характера гипотензивной терапии и</w:t>
      </w:r>
      <w:r>
        <w:rPr>
          <w:rFonts w:ascii="Verdana" w:hAnsi="Verdana"/>
          <w:spacing w:val="-10"/>
          <w:w w:val="105"/>
          <w:sz w:val="16"/>
        </w:rPr>
        <w:t> </w:t>
      </w:r>
      <w:r>
        <w:rPr>
          <w:rFonts w:ascii="Verdana" w:hAnsi="Verdana"/>
          <w:w w:val="105"/>
          <w:sz w:val="16"/>
        </w:rPr>
        <w:t>терапии по поводу других ССЗ, ЦВБ и</w:t>
      </w:r>
      <w:r>
        <w:rPr>
          <w:rFonts w:ascii="Verdana" w:hAnsi="Verdana"/>
          <w:spacing w:val="-23"/>
          <w:w w:val="105"/>
          <w:sz w:val="16"/>
        </w:rPr>
        <w:t> </w:t>
      </w:r>
      <w:r>
        <w:rPr>
          <w:rFonts w:ascii="Verdana" w:hAnsi="Verdana"/>
          <w:w w:val="105"/>
          <w:sz w:val="16"/>
        </w:rPr>
        <w:t>ХБП</w:t>
      </w:r>
    </w:p>
    <w:p>
      <w:pPr>
        <w:pStyle w:val="ListParagraph"/>
        <w:numPr>
          <w:ilvl w:val="1"/>
          <w:numId w:val="21"/>
        </w:numPr>
        <w:tabs>
          <w:tab w:pos="5162" w:val="left" w:leader="none"/>
        </w:tabs>
        <w:spacing w:line="204" w:lineRule="auto" w:before="0" w:after="0"/>
        <w:ind w:left="4702" w:right="293" w:firstLine="0"/>
        <w:jc w:val="both"/>
        <w:rPr>
          <w:rFonts w:ascii="Verdana" w:hAnsi="Verdana"/>
          <w:sz w:val="16"/>
        </w:rPr>
      </w:pPr>
      <w:r>
        <w:rPr>
          <w:rFonts w:ascii="Verdana" w:hAnsi="Verdana"/>
          <w:w w:val="105"/>
          <w:sz w:val="16"/>
        </w:rPr>
        <w:t>общий осмотр и объективное обследование, включая пальпацию периферических сосудов и аускультацию подключичных, сонных, почечных </w:t>
      </w:r>
      <w:r>
        <w:rPr>
          <w:rFonts w:ascii="Verdana" w:hAnsi="Verdana"/>
          <w:spacing w:val="-15"/>
          <w:w w:val="105"/>
          <w:sz w:val="16"/>
        </w:rPr>
        <w:t>и </w:t>
      </w:r>
      <w:r>
        <w:rPr>
          <w:rFonts w:ascii="Verdana" w:hAnsi="Verdana"/>
          <w:w w:val="105"/>
          <w:sz w:val="16"/>
        </w:rPr>
        <w:t>бедренных артерий, измерение индекса массы тела и окружности талии при каждом посещении</w:t>
      </w:r>
    </w:p>
    <w:p>
      <w:pPr>
        <w:pStyle w:val="ListParagraph"/>
        <w:numPr>
          <w:ilvl w:val="1"/>
          <w:numId w:val="21"/>
        </w:numPr>
        <w:tabs>
          <w:tab w:pos="4887" w:val="left" w:leader="none"/>
        </w:tabs>
        <w:spacing w:line="204" w:lineRule="auto" w:before="0" w:after="0"/>
        <w:ind w:left="4702" w:right="303" w:firstLine="0"/>
        <w:jc w:val="both"/>
        <w:rPr>
          <w:rFonts w:ascii="Verdana" w:hAnsi="Verdana"/>
          <w:sz w:val="16"/>
        </w:rPr>
      </w:pPr>
      <w:r>
        <w:rPr>
          <w:rFonts w:ascii="Verdana" w:hAnsi="Verdana"/>
          <w:w w:val="105"/>
          <w:sz w:val="16"/>
        </w:rPr>
        <w:t>гемоглобин и/или гематокрит при взятии под диспансерное наблюдение, далее </w:t>
      </w:r>
      <w:r>
        <w:rPr>
          <w:rFonts w:ascii="Verdana" w:hAnsi="Verdana"/>
          <w:spacing w:val="-7"/>
          <w:w w:val="105"/>
          <w:sz w:val="16"/>
        </w:rPr>
        <w:t>по </w:t>
      </w:r>
      <w:r>
        <w:rPr>
          <w:rFonts w:ascii="Verdana" w:hAnsi="Verdana"/>
          <w:w w:val="105"/>
          <w:sz w:val="16"/>
        </w:rPr>
        <w:t>показаниям, но не реже 1 раза в 2</w:t>
      </w:r>
      <w:r>
        <w:rPr>
          <w:rFonts w:ascii="Verdana" w:hAnsi="Verdana"/>
          <w:spacing w:val="-40"/>
          <w:w w:val="105"/>
          <w:sz w:val="16"/>
        </w:rPr>
        <w:t> </w:t>
      </w:r>
      <w:r>
        <w:rPr>
          <w:rFonts w:ascii="Verdana" w:hAnsi="Verdana"/>
          <w:w w:val="105"/>
          <w:sz w:val="16"/>
        </w:rPr>
        <w:t>года</w:t>
      </w:r>
    </w:p>
    <w:p>
      <w:pPr>
        <w:pStyle w:val="ListParagraph"/>
        <w:numPr>
          <w:ilvl w:val="1"/>
          <w:numId w:val="21"/>
        </w:numPr>
        <w:tabs>
          <w:tab w:pos="4851" w:val="left" w:leader="none"/>
        </w:tabs>
        <w:spacing w:line="204" w:lineRule="auto" w:before="0" w:after="0"/>
        <w:ind w:left="4702" w:right="299" w:firstLine="0"/>
        <w:jc w:val="both"/>
        <w:rPr>
          <w:rFonts w:ascii="Verdana" w:hAnsi="Verdana"/>
          <w:sz w:val="16"/>
        </w:rPr>
      </w:pPr>
      <w:r>
        <w:rPr>
          <w:rFonts w:ascii="Verdana" w:hAnsi="Verdana"/>
          <w:w w:val="105"/>
          <w:sz w:val="16"/>
        </w:rPr>
        <w:t>глюкоза плазмы натощак не реже 1 раза </w:t>
      </w:r>
      <w:r>
        <w:rPr>
          <w:rFonts w:ascii="Verdana" w:hAnsi="Verdana"/>
          <w:spacing w:val="-11"/>
          <w:w w:val="105"/>
          <w:sz w:val="16"/>
        </w:rPr>
        <w:t>в </w:t>
      </w:r>
      <w:r>
        <w:rPr>
          <w:rFonts w:ascii="Verdana" w:hAnsi="Verdana"/>
          <w:w w:val="105"/>
          <w:sz w:val="16"/>
        </w:rPr>
        <w:t>год (допускается</w:t>
      </w:r>
      <w:r>
        <w:rPr>
          <w:rFonts w:ascii="Verdana" w:hAnsi="Verdana"/>
          <w:spacing w:val="-9"/>
          <w:w w:val="105"/>
          <w:sz w:val="16"/>
        </w:rPr>
        <w:t> </w:t>
      </w:r>
      <w:r>
        <w:rPr>
          <w:rFonts w:ascii="Verdana" w:hAnsi="Verdana"/>
          <w:w w:val="105"/>
          <w:sz w:val="16"/>
        </w:rPr>
        <w:t>экспресс-метод)</w:t>
      </w:r>
    </w:p>
    <w:p>
      <w:pPr>
        <w:pStyle w:val="ListParagraph"/>
        <w:numPr>
          <w:ilvl w:val="1"/>
          <w:numId w:val="21"/>
        </w:numPr>
        <w:tabs>
          <w:tab w:pos="4883" w:val="left" w:leader="none"/>
        </w:tabs>
        <w:spacing w:line="204" w:lineRule="auto" w:before="0" w:after="0"/>
        <w:ind w:left="4702" w:right="294" w:firstLine="0"/>
        <w:jc w:val="both"/>
        <w:rPr>
          <w:rFonts w:ascii="Verdana" w:hAnsi="Verdana"/>
          <w:sz w:val="16"/>
        </w:rPr>
      </w:pPr>
      <w:r>
        <w:rPr>
          <w:rFonts w:ascii="Verdana" w:hAnsi="Verdana"/>
          <w:w w:val="105"/>
          <w:sz w:val="16"/>
        </w:rPr>
        <w:t>общий холестерин не реже 1 раза в </w:t>
      </w:r>
      <w:r>
        <w:rPr>
          <w:rFonts w:ascii="Verdana" w:hAnsi="Verdana"/>
          <w:spacing w:val="-5"/>
          <w:w w:val="105"/>
          <w:sz w:val="16"/>
        </w:rPr>
        <w:t>год </w:t>
      </w:r>
      <w:r>
        <w:rPr>
          <w:rFonts w:ascii="Verdana" w:hAnsi="Verdana"/>
          <w:w w:val="105"/>
          <w:sz w:val="16"/>
        </w:rPr>
        <w:t>(допускается</w:t>
      </w:r>
      <w:r>
        <w:rPr>
          <w:rFonts w:ascii="Verdana" w:hAnsi="Verdana"/>
          <w:spacing w:val="-4"/>
          <w:w w:val="105"/>
          <w:sz w:val="16"/>
        </w:rPr>
        <w:t> </w:t>
      </w:r>
      <w:r>
        <w:rPr>
          <w:rFonts w:ascii="Verdana" w:hAnsi="Verdana"/>
          <w:w w:val="105"/>
          <w:sz w:val="16"/>
        </w:rPr>
        <w:t>экспресс-метод)</w:t>
      </w:r>
    </w:p>
    <w:p>
      <w:pPr>
        <w:pStyle w:val="ListParagraph"/>
        <w:numPr>
          <w:ilvl w:val="1"/>
          <w:numId w:val="21"/>
        </w:numPr>
        <w:tabs>
          <w:tab w:pos="5106" w:val="left" w:leader="none"/>
        </w:tabs>
        <w:spacing w:line="204" w:lineRule="auto" w:before="0" w:after="0"/>
        <w:ind w:left="4702" w:right="297" w:firstLine="0"/>
        <w:jc w:val="both"/>
        <w:rPr>
          <w:rFonts w:ascii="Verdana" w:hAnsi="Verdana"/>
          <w:sz w:val="16"/>
        </w:rPr>
      </w:pPr>
      <w:r>
        <w:rPr>
          <w:rFonts w:ascii="Verdana" w:hAnsi="Verdana"/>
          <w:w w:val="105"/>
          <w:sz w:val="16"/>
        </w:rPr>
        <w:t>холестерин липопротеинов низкой плотности, холестерин липопротеинов высокой плотности, триглицериды </w:t>
      </w:r>
      <w:r>
        <w:rPr>
          <w:rFonts w:ascii="Verdana" w:hAnsi="Verdana"/>
          <w:spacing w:val="-15"/>
          <w:w w:val="105"/>
          <w:sz w:val="16"/>
        </w:rPr>
        <w:t>в </w:t>
      </w:r>
      <w:r>
        <w:rPr>
          <w:rFonts w:ascii="Verdana" w:hAnsi="Verdana"/>
          <w:w w:val="105"/>
          <w:sz w:val="16"/>
        </w:rPr>
        <w:t>сыворотке при взятии под диспансерное наблюдение, далее по показаниям, но </w:t>
      </w:r>
      <w:r>
        <w:rPr>
          <w:rFonts w:ascii="Verdana" w:hAnsi="Verdana"/>
          <w:spacing w:val="-6"/>
          <w:w w:val="105"/>
          <w:sz w:val="16"/>
        </w:rPr>
        <w:t>не </w:t>
      </w:r>
      <w:r>
        <w:rPr>
          <w:rFonts w:ascii="Verdana" w:hAnsi="Verdana"/>
          <w:w w:val="105"/>
          <w:sz w:val="16"/>
        </w:rPr>
        <w:t>реже 1 раза в 2</w:t>
      </w:r>
      <w:r>
        <w:rPr>
          <w:rFonts w:ascii="Verdana" w:hAnsi="Verdana"/>
          <w:spacing w:val="-13"/>
          <w:w w:val="105"/>
          <w:sz w:val="16"/>
        </w:rPr>
        <w:t> </w:t>
      </w:r>
      <w:r>
        <w:rPr>
          <w:rFonts w:ascii="Verdana" w:hAnsi="Verdana"/>
          <w:w w:val="105"/>
          <w:sz w:val="16"/>
        </w:rPr>
        <w:t>года</w:t>
      </w:r>
    </w:p>
    <w:p>
      <w:pPr>
        <w:pStyle w:val="ListParagraph"/>
        <w:numPr>
          <w:ilvl w:val="1"/>
          <w:numId w:val="21"/>
        </w:numPr>
        <w:tabs>
          <w:tab w:pos="4857" w:val="left" w:leader="none"/>
        </w:tabs>
        <w:spacing w:line="204" w:lineRule="auto" w:before="0" w:after="0"/>
        <w:ind w:left="4702" w:right="293" w:firstLine="0"/>
        <w:jc w:val="both"/>
        <w:rPr>
          <w:rFonts w:ascii="Verdana" w:hAnsi="Verdana"/>
          <w:sz w:val="16"/>
        </w:rPr>
      </w:pPr>
      <w:r>
        <w:rPr>
          <w:rFonts w:ascii="Verdana" w:hAnsi="Verdana"/>
          <w:w w:val="105"/>
          <w:sz w:val="16"/>
        </w:rPr>
        <w:t>калий и натрий сыворотки при взятии под диспансерное наблюдение, далее </w:t>
      </w:r>
      <w:r>
        <w:rPr>
          <w:rFonts w:ascii="Verdana" w:hAnsi="Verdana"/>
          <w:spacing w:val="-8"/>
          <w:w w:val="105"/>
          <w:sz w:val="16"/>
        </w:rPr>
        <w:t>по </w:t>
      </w:r>
      <w:r>
        <w:rPr>
          <w:rFonts w:ascii="Verdana" w:hAnsi="Verdana"/>
          <w:w w:val="105"/>
          <w:sz w:val="16"/>
        </w:rPr>
        <w:t>показаниям, но не реже 1 раза в год - мочевая кислота сыворотки при взятии </w:t>
      </w:r>
      <w:r>
        <w:rPr>
          <w:rFonts w:ascii="Verdana" w:hAnsi="Verdana"/>
          <w:spacing w:val="-4"/>
          <w:w w:val="105"/>
          <w:sz w:val="16"/>
        </w:rPr>
        <w:t>под</w:t>
      </w:r>
      <w:r>
        <w:rPr>
          <w:rFonts w:ascii="Verdana" w:hAnsi="Verdana"/>
          <w:spacing w:val="51"/>
          <w:w w:val="105"/>
          <w:sz w:val="16"/>
        </w:rPr>
        <w:t> </w:t>
      </w:r>
      <w:r>
        <w:rPr>
          <w:rFonts w:ascii="Verdana" w:hAnsi="Verdana"/>
          <w:w w:val="105"/>
          <w:sz w:val="16"/>
        </w:rPr>
        <w:t>диспансерное наблюдение, далее </w:t>
      </w:r>
      <w:r>
        <w:rPr>
          <w:rFonts w:ascii="Verdana" w:hAnsi="Verdana"/>
          <w:spacing w:val="-8"/>
          <w:w w:val="105"/>
          <w:sz w:val="16"/>
        </w:rPr>
        <w:t>по </w:t>
      </w:r>
      <w:r>
        <w:rPr>
          <w:rFonts w:ascii="Verdana" w:hAnsi="Verdana"/>
          <w:w w:val="105"/>
          <w:sz w:val="16"/>
        </w:rPr>
        <w:t>показаниям</w:t>
      </w:r>
    </w:p>
    <w:p>
      <w:pPr>
        <w:pStyle w:val="ListParagraph"/>
        <w:numPr>
          <w:ilvl w:val="1"/>
          <w:numId w:val="21"/>
        </w:numPr>
        <w:tabs>
          <w:tab w:pos="4839" w:val="left" w:leader="none"/>
        </w:tabs>
        <w:spacing w:line="204" w:lineRule="auto" w:before="0" w:after="0"/>
        <w:ind w:left="4702" w:right="306" w:firstLine="0"/>
        <w:jc w:val="both"/>
        <w:rPr>
          <w:rFonts w:ascii="Verdana" w:hAnsi="Verdana"/>
          <w:sz w:val="16"/>
        </w:rPr>
      </w:pPr>
      <w:r>
        <w:rPr>
          <w:rFonts w:ascii="Verdana" w:hAnsi="Verdana"/>
          <w:w w:val="105"/>
          <w:sz w:val="16"/>
        </w:rPr>
        <w:t>креатинин</w:t>
      </w:r>
      <w:r>
        <w:rPr>
          <w:rFonts w:ascii="Verdana" w:hAnsi="Verdana"/>
          <w:spacing w:val="-11"/>
          <w:w w:val="105"/>
          <w:sz w:val="16"/>
        </w:rPr>
        <w:t> </w:t>
      </w:r>
      <w:r>
        <w:rPr>
          <w:rFonts w:ascii="Verdana" w:hAnsi="Verdana"/>
          <w:w w:val="105"/>
          <w:sz w:val="16"/>
        </w:rPr>
        <w:t>сыворотки</w:t>
      </w:r>
      <w:r>
        <w:rPr>
          <w:rFonts w:ascii="Verdana" w:hAnsi="Verdana"/>
          <w:spacing w:val="-10"/>
          <w:w w:val="105"/>
          <w:sz w:val="16"/>
        </w:rPr>
        <w:t> </w:t>
      </w:r>
      <w:r>
        <w:rPr>
          <w:rFonts w:ascii="Verdana" w:hAnsi="Verdana"/>
          <w:w w:val="105"/>
          <w:sz w:val="16"/>
        </w:rPr>
        <w:t>(с</w:t>
      </w:r>
      <w:r>
        <w:rPr>
          <w:rFonts w:ascii="Verdana" w:hAnsi="Verdana"/>
          <w:spacing w:val="-11"/>
          <w:w w:val="105"/>
          <w:sz w:val="16"/>
        </w:rPr>
        <w:t> </w:t>
      </w:r>
      <w:r>
        <w:rPr>
          <w:rFonts w:ascii="Verdana" w:hAnsi="Verdana"/>
          <w:w w:val="105"/>
          <w:sz w:val="16"/>
        </w:rPr>
        <w:t>расчетом</w:t>
      </w:r>
      <w:r>
        <w:rPr>
          <w:rFonts w:ascii="Verdana" w:hAnsi="Verdana"/>
          <w:spacing w:val="-10"/>
          <w:w w:val="105"/>
          <w:sz w:val="16"/>
        </w:rPr>
        <w:t> </w:t>
      </w:r>
      <w:r>
        <w:rPr>
          <w:rFonts w:ascii="Verdana" w:hAnsi="Verdana"/>
          <w:w w:val="105"/>
          <w:sz w:val="16"/>
        </w:rPr>
        <w:t>СКФ)</w:t>
      </w:r>
      <w:r>
        <w:rPr>
          <w:rFonts w:ascii="Verdana" w:hAnsi="Verdana"/>
          <w:spacing w:val="-10"/>
          <w:w w:val="105"/>
          <w:sz w:val="16"/>
        </w:rPr>
        <w:t> </w:t>
      </w:r>
      <w:r>
        <w:rPr>
          <w:rFonts w:ascii="Verdana" w:hAnsi="Verdana"/>
          <w:spacing w:val="-5"/>
          <w:w w:val="105"/>
          <w:sz w:val="16"/>
        </w:rPr>
        <w:t>при </w:t>
      </w:r>
      <w:r>
        <w:rPr>
          <w:rFonts w:ascii="Verdana" w:hAnsi="Verdana"/>
          <w:w w:val="105"/>
          <w:sz w:val="16"/>
        </w:rPr>
        <w:t>взятии</w:t>
      </w:r>
      <w:r>
        <w:rPr>
          <w:rFonts w:ascii="Verdana" w:hAnsi="Verdana"/>
          <w:spacing w:val="-13"/>
          <w:w w:val="105"/>
          <w:sz w:val="16"/>
        </w:rPr>
        <w:t> </w:t>
      </w:r>
      <w:r>
        <w:rPr>
          <w:rFonts w:ascii="Verdana" w:hAnsi="Verdana"/>
          <w:w w:val="105"/>
          <w:sz w:val="16"/>
        </w:rPr>
        <w:t>под</w:t>
      </w:r>
      <w:r>
        <w:rPr>
          <w:rFonts w:ascii="Verdana" w:hAnsi="Verdana"/>
          <w:spacing w:val="-13"/>
          <w:w w:val="105"/>
          <w:sz w:val="16"/>
        </w:rPr>
        <w:t> </w:t>
      </w:r>
      <w:r>
        <w:rPr>
          <w:rFonts w:ascii="Verdana" w:hAnsi="Verdana"/>
          <w:w w:val="105"/>
          <w:sz w:val="16"/>
        </w:rPr>
        <w:t>диспансерное</w:t>
      </w:r>
      <w:r>
        <w:rPr>
          <w:rFonts w:ascii="Verdana" w:hAnsi="Verdana"/>
          <w:spacing w:val="-13"/>
          <w:w w:val="105"/>
          <w:sz w:val="16"/>
        </w:rPr>
        <w:t> </w:t>
      </w:r>
      <w:r>
        <w:rPr>
          <w:rFonts w:ascii="Verdana" w:hAnsi="Verdana"/>
          <w:w w:val="105"/>
          <w:sz w:val="16"/>
        </w:rPr>
        <w:t>наблюдение,</w:t>
      </w:r>
      <w:r>
        <w:rPr>
          <w:rFonts w:ascii="Verdana" w:hAnsi="Verdana"/>
          <w:spacing w:val="-13"/>
          <w:w w:val="105"/>
          <w:sz w:val="16"/>
        </w:rPr>
        <w:t> </w:t>
      </w:r>
      <w:r>
        <w:rPr>
          <w:rFonts w:ascii="Verdana" w:hAnsi="Verdana"/>
          <w:spacing w:val="-3"/>
          <w:w w:val="105"/>
          <w:sz w:val="16"/>
        </w:rPr>
        <w:t>далее </w:t>
      </w:r>
      <w:r>
        <w:rPr>
          <w:rFonts w:ascii="Verdana" w:hAnsi="Verdana"/>
          <w:w w:val="105"/>
          <w:sz w:val="16"/>
        </w:rPr>
        <w:t>по показаниям, но не реже 1 раза в</w:t>
      </w:r>
      <w:r>
        <w:rPr>
          <w:rFonts w:ascii="Verdana" w:hAnsi="Verdana"/>
          <w:spacing w:val="-40"/>
          <w:w w:val="105"/>
          <w:sz w:val="16"/>
        </w:rPr>
        <w:t> </w:t>
      </w:r>
      <w:r>
        <w:rPr>
          <w:rFonts w:ascii="Verdana" w:hAnsi="Verdana"/>
          <w:w w:val="105"/>
          <w:sz w:val="16"/>
        </w:rPr>
        <w:t>год</w:t>
      </w:r>
    </w:p>
    <w:p>
      <w:pPr>
        <w:pStyle w:val="ListParagraph"/>
        <w:numPr>
          <w:ilvl w:val="1"/>
          <w:numId w:val="21"/>
        </w:numPr>
        <w:tabs>
          <w:tab w:pos="4921" w:val="left" w:leader="none"/>
        </w:tabs>
        <w:spacing w:line="204" w:lineRule="auto" w:before="0" w:after="0"/>
        <w:ind w:left="4702" w:right="300" w:firstLine="0"/>
        <w:jc w:val="both"/>
        <w:rPr>
          <w:rFonts w:ascii="Verdana" w:hAnsi="Verdana"/>
          <w:sz w:val="16"/>
        </w:rPr>
      </w:pPr>
      <w:r>
        <w:rPr>
          <w:rFonts w:ascii="Verdana" w:hAnsi="Verdana"/>
          <w:w w:val="105"/>
          <w:sz w:val="16"/>
        </w:rPr>
        <w:t>анализ мочи с микроскопией осадка </w:t>
      </w:r>
      <w:r>
        <w:rPr>
          <w:rFonts w:ascii="Verdana" w:hAnsi="Verdana"/>
          <w:spacing w:val="-16"/>
          <w:w w:val="105"/>
          <w:sz w:val="16"/>
        </w:rPr>
        <w:t>и </w:t>
      </w:r>
      <w:r>
        <w:rPr>
          <w:rFonts w:ascii="Verdana" w:hAnsi="Verdana"/>
          <w:w w:val="105"/>
          <w:sz w:val="16"/>
        </w:rPr>
        <w:t>определением</w:t>
      </w:r>
      <w:r>
        <w:rPr>
          <w:rFonts w:ascii="Verdana" w:hAnsi="Verdana"/>
          <w:spacing w:val="-8"/>
          <w:w w:val="105"/>
          <w:sz w:val="16"/>
        </w:rPr>
        <w:t> </w:t>
      </w:r>
      <w:r>
        <w:rPr>
          <w:rFonts w:ascii="Verdana" w:hAnsi="Verdana"/>
          <w:w w:val="105"/>
          <w:sz w:val="16"/>
        </w:rPr>
        <w:t>белка</w:t>
      </w:r>
      <w:r>
        <w:rPr>
          <w:rFonts w:ascii="Verdana" w:hAnsi="Verdana"/>
          <w:spacing w:val="-7"/>
          <w:w w:val="105"/>
          <w:sz w:val="16"/>
        </w:rPr>
        <w:t> </w:t>
      </w:r>
      <w:r>
        <w:rPr>
          <w:rFonts w:ascii="Verdana" w:hAnsi="Verdana"/>
          <w:w w:val="105"/>
          <w:sz w:val="16"/>
        </w:rPr>
        <w:t>в</w:t>
      </w:r>
      <w:r>
        <w:rPr>
          <w:rFonts w:ascii="Verdana" w:hAnsi="Verdana"/>
          <w:spacing w:val="-7"/>
          <w:w w:val="105"/>
          <w:sz w:val="16"/>
        </w:rPr>
        <w:t> </w:t>
      </w:r>
      <w:r>
        <w:rPr>
          <w:rFonts w:ascii="Verdana" w:hAnsi="Verdana"/>
          <w:w w:val="105"/>
          <w:sz w:val="16"/>
        </w:rPr>
        <w:t>моче</w:t>
      </w:r>
      <w:r>
        <w:rPr>
          <w:rFonts w:ascii="Verdana" w:hAnsi="Verdana"/>
          <w:spacing w:val="-8"/>
          <w:w w:val="105"/>
          <w:sz w:val="16"/>
        </w:rPr>
        <w:t> </w:t>
      </w:r>
      <w:r>
        <w:rPr>
          <w:rFonts w:ascii="Verdana" w:hAnsi="Verdana"/>
          <w:w w:val="105"/>
          <w:sz w:val="16"/>
        </w:rPr>
        <w:t>не</w:t>
      </w:r>
      <w:r>
        <w:rPr>
          <w:rFonts w:ascii="Verdana" w:hAnsi="Verdana"/>
          <w:spacing w:val="-7"/>
          <w:w w:val="105"/>
          <w:sz w:val="16"/>
        </w:rPr>
        <w:t> </w:t>
      </w:r>
      <w:r>
        <w:rPr>
          <w:rFonts w:ascii="Verdana" w:hAnsi="Verdana"/>
          <w:w w:val="105"/>
          <w:sz w:val="16"/>
        </w:rPr>
        <w:t>реже</w:t>
      </w:r>
      <w:r>
        <w:rPr>
          <w:rFonts w:ascii="Verdana" w:hAnsi="Verdana"/>
          <w:spacing w:val="-7"/>
          <w:w w:val="105"/>
          <w:sz w:val="16"/>
        </w:rPr>
        <w:t> </w:t>
      </w:r>
      <w:r>
        <w:rPr>
          <w:rFonts w:ascii="Verdana" w:hAnsi="Verdana"/>
          <w:w w:val="105"/>
          <w:sz w:val="16"/>
        </w:rPr>
        <w:t>1</w:t>
      </w:r>
      <w:r>
        <w:rPr>
          <w:rFonts w:ascii="Verdana" w:hAnsi="Verdana"/>
          <w:spacing w:val="-7"/>
          <w:w w:val="105"/>
          <w:sz w:val="16"/>
        </w:rPr>
        <w:t> </w:t>
      </w:r>
      <w:r>
        <w:rPr>
          <w:rFonts w:ascii="Verdana" w:hAnsi="Verdana"/>
          <w:w w:val="105"/>
          <w:sz w:val="16"/>
        </w:rPr>
        <w:t>раза</w:t>
      </w:r>
      <w:r>
        <w:rPr>
          <w:rFonts w:ascii="Verdana" w:hAnsi="Verdana"/>
          <w:spacing w:val="-8"/>
          <w:w w:val="105"/>
          <w:sz w:val="16"/>
        </w:rPr>
        <w:t> </w:t>
      </w:r>
      <w:r>
        <w:rPr>
          <w:rFonts w:ascii="Verdana" w:hAnsi="Verdana"/>
          <w:w w:val="105"/>
          <w:sz w:val="16"/>
        </w:rPr>
        <w:t>в год</w:t>
      </w:r>
    </w:p>
    <w:p>
      <w:pPr>
        <w:pStyle w:val="ListParagraph"/>
        <w:numPr>
          <w:ilvl w:val="1"/>
          <w:numId w:val="21"/>
        </w:numPr>
        <w:tabs>
          <w:tab w:pos="4857" w:val="left" w:leader="none"/>
        </w:tabs>
        <w:spacing w:line="204" w:lineRule="auto" w:before="0" w:after="0"/>
        <w:ind w:left="4702" w:right="303" w:firstLine="0"/>
        <w:jc w:val="both"/>
        <w:rPr>
          <w:rFonts w:ascii="Verdana" w:hAnsi="Verdana"/>
          <w:sz w:val="16"/>
        </w:rPr>
      </w:pPr>
      <w:r>
        <w:rPr>
          <w:rFonts w:ascii="Verdana" w:hAnsi="Verdana"/>
          <w:w w:val="105"/>
          <w:sz w:val="16"/>
        </w:rPr>
        <w:t>анализ на микроальбуминурию при взятии под диспансерное наблюдение, далее </w:t>
      </w:r>
      <w:r>
        <w:rPr>
          <w:rFonts w:ascii="Verdana" w:hAnsi="Verdana"/>
          <w:spacing w:val="-7"/>
          <w:w w:val="105"/>
          <w:sz w:val="16"/>
        </w:rPr>
        <w:t>по </w:t>
      </w:r>
      <w:r>
        <w:rPr>
          <w:rFonts w:ascii="Verdana" w:hAnsi="Verdana"/>
          <w:w w:val="105"/>
          <w:sz w:val="16"/>
        </w:rPr>
        <w:t>показаниям, но не реже 1 раза в</w:t>
      </w:r>
      <w:r>
        <w:rPr>
          <w:rFonts w:ascii="Verdana" w:hAnsi="Verdana"/>
          <w:spacing w:val="-30"/>
          <w:w w:val="105"/>
          <w:sz w:val="16"/>
        </w:rPr>
        <w:t> </w:t>
      </w:r>
      <w:r>
        <w:rPr>
          <w:rFonts w:ascii="Verdana" w:hAnsi="Verdana"/>
          <w:w w:val="105"/>
          <w:sz w:val="16"/>
        </w:rPr>
        <w:t>год</w:t>
      </w:r>
    </w:p>
    <w:p>
      <w:pPr>
        <w:pStyle w:val="ListParagraph"/>
        <w:numPr>
          <w:ilvl w:val="1"/>
          <w:numId w:val="21"/>
        </w:numPr>
        <w:tabs>
          <w:tab w:pos="4877" w:val="left" w:leader="none"/>
        </w:tabs>
        <w:spacing w:line="204" w:lineRule="auto" w:before="0" w:after="0"/>
        <w:ind w:left="4702" w:right="300" w:firstLine="0"/>
        <w:jc w:val="both"/>
        <w:rPr>
          <w:rFonts w:ascii="Verdana" w:hAnsi="Verdana"/>
          <w:sz w:val="16"/>
        </w:rPr>
      </w:pPr>
      <w:r>
        <w:rPr>
          <w:rFonts w:ascii="Verdana" w:hAnsi="Verdana"/>
          <w:w w:val="105"/>
          <w:sz w:val="16"/>
        </w:rPr>
        <w:t>ЭКГ в 12 отведениях с расчетом </w:t>
      </w:r>
      <w:r>
        <w:rPr>
          <w:rFonts w:ascii="Verdana" w:hAnsi="Verdana"/>
          <w:spacing w:val="-3"/>
          <w:w w:val="105"/>
          <w:sz w:val="16"/>
        </w:rPr>
        <w:t>индекса </w:t>
      </w:r>
      <w:r>
        <w:rPr>
          <w:rFonts w:ascii="Verdana" w:hAnsi="Verdana"/>
          <w:w w:val="105"/>
          <w:sz w:val="16"/>
        </w:rPr>
        <w:t>Соколова–Лайона и </w:t>
      </w:r>
      <w:r>
        <w:rPr>
          <w:rFonts w:ascii="Verdana" w:hAnsi="Verdana"/>
          <w:spacing w:val="-2"/>
          <w:w w:val="105"/>
          <w:sz w:val="16"/>
        </w:rPr>
        <w:t>Корнелльского </w:t>
      </w:r>
      <w:r>
        <w:rPr>
          <w:rFonts w:ascii="Verdana" w:hAnsi="Verdana"/>
          <w:w w:val="105"/>
          <w:sz w:val="16"/>
        </w:rPr>
        <w:t>показателя не реже 2 раз в</w:t>
      </w:r>
      <w:r>
        <w:rPr>
          <w:rFonts w:ascii="Verdana" w:hAnsi="Verdana"/>
          <w:spacing w:val="-21"/>
          <w:w w:val="105"/>
          <w:sz w:val="16"/>
        </w:rPr>
        <w:t> </w:t>
      </w:r>
      <w:r>
        <w:rPr>
          <w:rFonts w:ascii="Verdana" w:hAnsi="Verdana"/>
          <w:w w:val="105"/>
          <w:sz w:val="16"/>
        </w:rPr>
        <w:t>год</w:t>
      </w:r>
    </w:p>
    <w:p>
      <w:pPr>
        <w:pStyle w:val="ListParagraph"/>
        <w:numPr>
          <w:ilvl w:val="1"/>
          <w:numId w:val="21"/>
        </w:numPr>
        <w:tabs>
          <w:tab w:pos="5028" w:val="left" w:leader="none"/>
        </w:tabs>
        <w:spacing w:line="204" w:lineRule="auto" w:before="0" w:after="0"/>
        <w:ind w:left="4702" w:right="294" w:firstLine="0"/>
        <w:jc w:val="both"/>
        <w:rPr>
          <w:rFonts w:ascii="Verdana" w:hAnsi="Verdana"/>
          <w:sz w:val="16"/>
        </w:rPr>
      </w:pPr>
      <w:r>
        <w:rPr>
          <w:rFonts w:ascii="Verdana" w:hAnsi="Verdana"/>
          <w:w w:val="105"/>
          <w:sz w:val="16"/>
        </w:rPr>
        <w:t>ЭхоКГ с определением ИММЛЖ </w:t>
      </w:r>
      <w:r>
        <w:rPr>
          <w:rFonts w:ascii="Verdana" w:hAnsi="Verdana"/>
          <w:spacing w:val="-13"/>
          <w:w w:val="105"/>
          <w:sz w:val="16"/>
        </w:rPr>
        <w:t>и </w:t>
      </w:r>
      <w:r>
        <w:rPr>
          <w:rFonts w:ascii="Verdana" w:hAnsi="Verdana"/>
          <w:w w:val="105"/>
          <w:sz w:val="16"/>
        </w:rPr>
        <w:t>диастолической функции при взятии под диспансерное наблюдение, в последующем по показаниям, но не менее 1 раза в год</w:t>
      </w:r>
      <w:r>
        <w:rPr>
          <w:rFonts w:ascii="Verdana" w:hAnsi="Verdana"/>
          <w:spacing w:val="-30"/>
          <w:w w:val="105"/>
          <w:sz w:val="16"/>
        </w:rPr>
        <w:t> </w:t>
      </w:r>
      <w:r>
        <w:rPr>
          <w:rFonts w:ascii="Verdana" w:hAnsi="Verdana"/>
          <w:w w:val="105"/>
          <w:sz w:val="16"/>
        </w:rPr>
        <w:t>при отсутствии</w:t>
      </w:r>
      <w:r>
        <w:rPr>
          <w:rFonts w:ascii="Verdana" w:hAnsi="Verdana"/>
          <w:spacing w:val="-18"/>
          <w:w w:val="105"/>
          <w:sz w:val="16"/>
        </w:rPr>
        <w:t> </w:t>
      </w:r>
      <w:r>
        <w:rPr>
          <w:rFonts w:ascii="Verdana" w:hAnsi="Verdana"/>
          <w:w w:val="105"/>
          <w:sz w:val="16"/>
        </w:rPr>
        <w:t>достижения</w:t>
      </w:r>
      <w:r>
        <w:rPr>
          <w:rFonts w:ascii="Verdana" w:hAnsi="Verdana"/>
          <w:spacing w:val="-17"/>
          <w:w w:val="105"/>
          <w:sz w:val="16"/>
        </w:rPr>
        <w:t> </w:t>
      </w:r>
      <w:r>
        <w:rPr>
          <w:rFonts w:ascii="Verdana" w:hAnsi="Verdana"/>
          <w:w w:val="105"/>
          <w:sz w:val="16"/>
        </w:rPr>
        <w:t>целевых</w:t>
      </w:r>
      <w:r>
        <w:rPr>
          <w:rFonts w:ascii="Verdana" w:hAnsi="Verdana"/>
          <w:spacing w:val="-18"/>
          <w:w w:val="105"/>
          <w:sz w:val="16"/>
        </w:rPr>
        <w:t> </w:t>
      </w:r>
      <w:r>
        <w:rPr>
          <w:rFonts w:ascii="Verdana" w:hAnsi="Verdana"/>
          <w:w w:val="105"/>
          <w:sz w:val="16"/>
        </w:rPr>
        <w:t>значений</w:t>
      </w:r>
      <w:r>
        <w:rPr>
          <w:rFonts w:ascii="Verdana" w:hAnsi="Verdana"/>
          <w:spacing w:val="-17"/>
          <w:w w:val="105"/>
          <w:sz w:val="16"/>
        </w:rPr>
        <w:t> </w:t>
      </w:r>
      <w:r>
        <w:rPr>
          <w:rFonts w:ascii="Verdana" w:hAnsi="Verdana"/>
          <w:w w:val="105"/>
          <w:sz w:val="16"/>
        </w:rPr>
        <w:t>АД и наличии признаков прогрессирования гипертрофии левого желудочка при расчете индекса Соколова–Лайона и </w:t>
      </w:r>
      <w:r>
        <w:rPr>
          <w:rFonts w:ascii="Verdana" w:hAnsi="Verdana"/>
          <w:spacing w:val="-2"/>
          <w:w w:val="105"/>
          <w:sz w:val="16"/>
        </w:rPr>
        <w:t>Корнелльского </w:t>
      </w:r>
      <w:r>
        <w:rPr>
          <w:rFonts w:ascii="Verdana" w:hAnsi="Verdana"/>
          <w:w w:val="105"/>
          <w:sz w:val="16"/>
        </w:rPr>
        <w:t>показателя</w:t>
      </w:r>
    </w:p>
    <w:p>
      <w:pPr>
        <w:pStyle w:val="ListParagraph"/>
        <w:numPr>
          <w:ilvl w:val="1"/>
          <w:numId w:val="21"/>
        </w:numPr>
        <w:tabs>
          <w:tab w:pos="4866" w:val="left" w:leader="none"/>
        </w:tabs>
        <w:spacing w:line="204" w:lineRule="auto" w:before="0" w:after="0"/>
        <w:ind w:left="4702" w:right="301" w:firstLine="0"/>
        <w:jc w:val="both"/>
        <w:rPr>
          <w:rFonts w:ascii="Verdana" w:hAnsi="Verdana"/>
          <w:sz w:val="16"/>
        </w:rPr>
      </w:pPr>
      <w:r>
        <w:rPr>
          <w:rFonts w:ascii="Verdana" w:hAnsi="Verdana"/>
          <w:w w:val="105"/>
          <w:sz w:val="16"/>
        </w:rPr>
        <w:t>дуплексное сканирование сонных артерий у мужчин старше 40 лет, женщин старше 50 лет не реже 1 раза в 2 года с </w:t>
      </w:r>
      <w:r>
        <w:rPr>
          <w:rFonts w:ascii="Verdana" w:hAnsi="Verdana"/>
          <w:spacing w:val="-3"/>
          <w:w w:val="105"/>
          <w:sz w:val="16"/>
        </w:rPr>
        <w:t>целью </w:t>
      </w:r>
      <w:r>
        <w:rPr>
          <w:rFonts w:ascii="Verdana" w:hAnsi="Verdana"/>
          <w:w w:val="105"/>
          <w:sz w:val="16"/>
        </w:rPr>
        <w:t>определения ТИМ и наличия атеросклеротических</w:t>
      </w:r>
      <w:r>
        <w:rPr>
          <w:rFonts w:ascii="Verdana" w:hAnsi="Verdana"/>
          <w:spacing w:val="-4"/>
          <w:w w:val="105"/>
          <w:sz w:val="16"/>
        </w:rPr>
        <w:t> </w:t>
      </w:r>
      <w:r>
        <w:rPr>
          <w:rFonts w:ascii="Verdana" w:hAnsi="Verdana"/>
          <w:w w:val="105"/>
          <w:sz w:val="16"/>
        </w:rPr>
        <w:t>бляшек*</w:t>
      </w:r>
    </w:p>
    <w:p>
      <w:pPr>
        <w:spacing w:line="204" w:lineRule="auto" w:before="0"/>
        <w:ind w:left="4702" w:right="296" w:firstLine="0"/>
        <w:jc w:val="both"/>
        <w:rPr>
          <w:rFonts w:ascii="Verdana" w:hAnsi="Verdana"/>
          <w:sz w:val="16"/>
        </w:rPr>
      </w:pPr>
      <w:r>
        <w:rPr>
          <w:rFonts w:ascii="Verdana" w:hAnsi="Verdana"/>
          <w:w w:val="105"/>
          <w:sz w:val="16"/>
        </w:rPr>
        <w:t>-УЗИ почек при взятии под диспансерное наблюдение, далее по показаниям при наличии обоснованного подозрения на развитие или прогрессирование ХБП*</w:t>
      </w:r>
    </w:p>
    <w:p>
      <w:pPr>
        <w:pStyle w:val="ListParagraph"/>
        <w:numPr>
          <w:ilvl w:val="1"/>
          <w:numId w:val="21"/>
        </w:numPr>
        <w:tabs>
          <w:tab w:pos="5056" w:val="left" w:leader="none"/>
        </w:tabs>
        <w:spacing w:line="204" w:lineRule="auto" w:before="0" w:after="0"/>
        <w:ind w:left="4702" w:right="301" w:firstLine="0"/>
        <w:jc w:val="both"/>
        <w:rPr>
          <w:rFonts w:ascii="Verdana" w:hAnsi="Verdana"/>
          <w:sz w:val="16"/>
        </w:rPr>
      </w:pPr>
      <w:r>
        <w:rPr>
          <w:rFonts w:ascii="Verdana" w:hAnsi="Verdana"/>
          <w:w w:val="105"/>
          <w:sz w:val="16"/>
        </w:rPr>
        <w:t>дуплексное сканирование почечных артерий при наличии </w:t>
      </w:r>
      <w:r>
        <w:rPr>
          <w:rFonts w:ascii="Verdana" w:hAnsi="Verdana"/>
          <w:spacing w:val="-2"/>
          <w:w w:val="105"/>
          <w:sz w:val="16"/>
        </w:rPr>
        <w:t>обоснованного </w:t>
      </w:r>
      <w:r>
        <w:rPr>
          <w:rFonts w:ascii="Verdana" w:hAnsi="Verdana"/>
          <w:w w:val="105"/>
          <w:sz w:val="16"/>
        </w:rPr>
        <w:t>подозрения на их</w:t>
      </w:r>
      <w:r>
        <w:rPr>
          <w:rFonts w:ascii="Verdana" w:hAnsi="Verdana"/>
          <w:spacing w:val="-11"/>
          <w:w w:val="105"/>
          <w:sz w:val="16"/>
        </w:rPr>
        <w:t> </w:t>
      </w:r>
      <w:r>
        <w:rPr>
          <w:rFonts w:ascii="Verdana" w:hAnsi="Verdana"/>
          <w:w w:val="105"/>
          <w:sz w:val="16"/>
        </w:rPr>
        <w:t>патологию*</w:t>
      </w:r>
    </w:p>
    <w:p>
      <w:pPr>
        <w:pStyle w:val="ListParagraph"/>
        <w:numPr>
          <w:ilvl w:val="1"/>
          <w:numId w:val="21"/>
        </w:numPr>
        <w:tabs>
          <w:tab w:pos="4874" w:val="left" w:leader="none"/>
        </w:tabs>
        <w:spacing w:line="204" w:lineRule="auto" w:before="0" w:after="0"/>
        <w:ind w:left="4702" w:right="296" w:firstLine="0"/>
        <w:jc w:val="both"/>
        <w:rPr>
          <w:rFonts w:ascii="Verdana" w:hAnsi="Verdana"/>
          <w:sz w:val="16"/>
        </w:rPr>
      </w:pPr>
      <w:r>
        <w:rPr>
          <w:rFonts w:ascii="Verdana" w:hAnsi="Verdana"/>
          <w:w w:val="105"/>
          <w:sz w:val="16"/>
        </w:rPr>
        <w:t>лодыжечно-плечевой индекс при наличии обоснованного</w:t>
      </w:r>
      <w:r>
        <w:rPr>
          <w:rFonts w:ascii="Verdana" w:hAnsi="Verdana"/>
          <w:spacing w:val="-21"/>
          <w:w w:val="105"/>
          <w:sz w:val="16"/>
        </w:rPr>
        <w:t> </w:t>
      </w:r>
      <w:r>
        <w:rPr>
          <w:rFonts w:ascii="Verdana" w:hAnsi="Verdana"/>
          <w:w w:val="105"/>
          <w:sz w:val="16"/>
        </w:rPr>
        <w:t>подозрения</w:t>
      </w:r>
      <w:r>
        <w:rPr>
          <w:rFonts w:ascii="Verdana" w:hAnsi="Verdana"/>
          <w:spacing w:val="-20"/>
          <w:w w:val="105"/>
          <w:sz w:val="16"/>
        </w:rPr>
        <w:t> </w:t>
      </w:r>
      <w:r>
        <w:rPr>
          <w:rFonts w:ascii="Verdana" w:hAnsi="Verdana"/>
          <w:w w:val="105"/>
          <w:sz w:val="16"/>
        </w:rPr>
        <w:t>на</w:t>
      </w:r>
      <w:r>
        <w:rPr>
          <w:rFonts w:ascii="Verdana" w:hAnsi="Verdana"/>
          <w:spacing w:val="-20"/>
          <w:w w:val="105"/>
          <w:sz w:val="16"/>
        </w:rPr>
        <w:t> </w:t>
      </w:r>
      <w:r>
        <w:rPr>
          <w:rFonts w:ascii="Verdana" w:hAnsi="Verdana"/>
          <w:w w:val="105"/>
          <w:sz w:val="16"/>
        </w:rPr>
        <w:t>стеноз</w:t>
      </w:r>
      <w:r>
        <w:rPr>
          <w:rFonts w:ascii="Verdana" w:hAnsi="Verdana"/>
          <w:spacing w:val="-20"/>
          <w:w w:val="105"/>
          <w:sz w:val="16"/>
        </w:rPr>
        <w:t> </w:t>
      </w:r>
      <w:r>
        <w:rPr>
          <w:rFonts w:ascii="Verdana" w:hAnsi="Verdana"/>
          <w:w w:val="105"/>
          <w:sz w:val="16"/>
        </w:rPr>
        <w:t>сосудов нижних</w:t>
      </w:r>
      <w:r>
        <w:rPr>
          <w:rFonts w:ascii="Verdana" w:hAnsi="Verdana"/>
          <w:spacing w:val="-3"/>
          <w:w w:val="105"/>
          <w:sz w:val="16"/>
        </w:rPr>
        <w:t> </w:t>
      </w:r>
      <w:r>
        <w:rPr>
          <w:rFonts w:ascii="Verdana" w:hAnsi="Verdana"/>
          <w:w w:val="105"/>
          <w:sz w:val="16"/>
        </w:rPr>
        <w:t>конечностей*</w:t>
      </w:r>
    </w:p>
    <w:p>
      <w:pPr>
        <w:pStyle w:val="ListParagraph"/>
        <w:numPr>
          <w:ilvl w:val="1"/>
          <w:numId w:val="21"/>
        </w:numPr>
        <w:tabs>
          <w:tab w:pos="4877" w:val="left" w:leader="none"/>
        </w:tabs>
        <w:spacing w:line="204" w:lineRule="auto" w:before="0" w:after="0"/>
        <w:ind w:left="4702" w:right="294" w:firstLine="0"/>
        <w:jc w:val="both"/>
        <w:rPr>
          <w:rFonts w:ascii="Verdana" w:hAnsi="Verdana"/>
          <w:sz w:val="16"/>
        </w:rPr>
      </w:pPr>
      <w:r>
        <w:rPr>
          <w:rFonts w:ascii="Verdana" w:hAnsi="Verdana"/>
          <w:w w:val="105"/>
          <w:sz w:val="16"/>
        </w:rPr>
        <w:t>дуплексное сканирование подвздошных и бедренных артерий при </w:t>
      </w:r>
      <w:r>
        <w:rPr>
          <w:rFonts w:ascii="Verdana" w:hAnsi="Verdana"/>
          <w:spacing w:val="-3"/>
          <w:w w:val="105"/>
          <w:sz w:val="16"/>
        </w:rPr>
        <w:t>наличии </w:t>
      </w:r>
      <w:r>
        <w:rPr>
          <w:rFonts w:ascii="Verdana" w:hAnsi="Verdana"/>
          <w:w w:val="105"/>
          <w:sz w:val="16"/>
        </w:rPr>
        <w:t>обоснованного</w:t>
      </w:r>
      <w:r>
        <w:rPr>
          <w:rFonts w:ascii="Verdana" w:hAnsi="Verdana"/>
          <w:spacing w:val="-17"/>
          <w:w w:val="105"/>
          <w:sz w:val="16"/>
        </w:rPr>
        <w:t> </w:t>
      </w:r>
      <w:r>
        <w:rPr>
          <w:rFonts w:ascii="Verdana" w:hAnsi="Verdana"/>
          <w:w w:val="105"/>
          <w:sz w:val="16"/>
        </w:rPr>
        <w:t>подозрения</w:t>
      </w:r>
      <w:r>
        <w:rPr>
          <w:rFonts w:ascii="Verdana" w:hAnsi="Verdana"/>
          <w:spacing w:val="-17"/>
          <w:w w:val="105"/>
          <w:sz w:val="16"/>
        </w:rPr>
        <w:t> </w:t>
      </w:r>
      <w:r>
        <w:rPr>
          <w:rFonts w:ascii="Verdana" w:hAnsi="Verdana"/>
          <w:w w:val="105"/>
          <w:sz w:val="16"/>
        </w:rPr>
        <w:t>на</w:t>
      </w:r>
      <w:r>
        <w:rPr>
          <w:rFonts w:ascii="Verdana" w:hAnsi="Verdana"/>
          <w:spacing w:val="-17"/>
          <w:w w:val="105"/>
          <w:sz w:val="16"/>
        </w:rPr>
        <w:t> </w:t>
      </w:r>
      <w:r>
        <w:rPr>
          <w:rFonts w:ascii="Verdana" w:hAnsi="Verdana"/>
          <w:w w:val="105"/>
          <w:sz w:val="16"/>
        </w:rPr>
        <w:t>их</w:t>
      </w:r>
      <w:r>
        <w:rPr>
          <w:rFonts w:ascii="Verdana" w:hAnsi="Verdana"/>
          <w:spacing w:val="-16"/>
          <w:w w:val="105"/>
          <w:sz w:val="16"/>
        </w:rPr>
        <w:t> </w:t>
      </w:r>
      <w:r>
        <w:rPr>
          <w:rFonts w:ascii="Verdana" w:hAnsi="Verdana"/>
          <w:w w:val="105"/>
          <w:sz w:val="16"/>
        </w:rPr>
        <w:t>патологию*</w:t>
      </w:r>
    </w:p>
    <w:p>
      <w:pPr>
        <w:pStyle w:val="ListParagraph"/>
        <w:numPr>
          <w:ilvl w:val="1"/>
          <w:numId w:val="21"/>
        </w:numPr>
        <w:tabs>
          <w:tab w:pos="4839" w:val="left" w:leader="none"/>
        </w:tabs>
        <w:spacing w:line="204" w:lineRule="auto" w:before="0" w:after="0"/>
        <w:ind w:left="4702" w:right="295" w:firstLine="0"/>
        <w:jc w:val="both"/>
        <w:rPr>
          <w:rFonts w:ascii="Verdana" w:hAnsi="Verdana"/>
          <w:sz w:val="16"/>
        </w:rPr>
      </w:pPr>
      <w:r>
        <w:rPr>
          <w:rFonts w:ascii="Verdana" w:hAnsi="Verdana"/>
          <w:w w:val="105"/>
          <w:sz w:val="16"/>
        </w:rPr>
        <w:t>консультация</w:t>
      </w:r>
      <w:r>
        <w:rPr>
          <w:rFonts w:ascii="Verdana" w:hAnsi="Verdana"/>
          <w:spacing w:val="-15"/>
          <w:w w:val="105"/>
          <w:sz w:val="16"/>
        </w:rPr>
        <w:t> </w:t>
      </w:r>
      <w:r>
        <w:rPr>
          <w:rFonts w:ascii="Verdana" w:hAnsi="Verdana"/>
          <w:w w:val="105"/>
          <w:sz w:val="16"/>
        </w:rPr>
        <w:t>окулиста</w:t>
      </w:r>
      <w:r>
        <w:rPr>
          <w:rFonts w:ascii="Verdana" w:hAnsi="Verdana"/>
          <w:spacing w:val="-14"/>
          <w:w w:val="105"/>
          <w:sz w:val="16"/>
        </w:rPr>
        <w:t> </w:t>
      </w:r>
      <w:r>
        <w:rPr>
          <w:rFonts w:ascii="Verdana" w:hAnsi="Verdana"/>
          <w:w w:val="105"/>
          <w:sz w:val="16"/>
        </w:rPr>
        <w:t>на</w:t>
      </w:r>
      <w:r>
        <w:rPr>
          <w:rFonts w:ascii="Verdana" w:hAnsi="Verdana"/>
          <w:spacing w:val="-14"/>
          <w:w w:val="105"/>
          <w:sz w:val="16"/>
        </w:rPr>
        <w:t> </w:t>
      </w:r>
      <w:r>
        <w:rPr>
          <w:rFonts w:ascii="Verdana" w:hAnsi="Verdana"/>
          <w:w w:val="105"/>
          <w:sz w:val="16"/>
        </w:rPr>
        <w:t>предмет</w:t>
      </w:r>
      <w:r>
        <w:rPr>
          <w:rFonts w:ascii="Verdana" w:hAnsi="Verdana"/>
          <w:spacing w:val="-14"/>
          <w:w w:val="105"/>
          <w:sz w:val="16"/>
        </w:rPr>
        <w:t> </w:t>
      </w:r>
      <w:r>
        <w:rPr>
          <w:rFonts w:ascii="Verdana" w:hAnsi="Verdana"/>
          <w:w w:val="105"/>
          <w:sz w:val="16"/>
        </w:rPr>
        <w:t>наличия кровоизлияний или экссудата на глазном дне, отека соска зрительного нерва </w:t>
      </w:r>
      <w:r>
        <w:rPr>
          <w:rFonts w:ascii="Verdana" w:hAnsi="Verdana"/>
          <w:spacing w:val="-6"/>
          <w:w w:val="105"/>
          <w:sz w:val="16"/>
        </w:rPr>
        <w:t>при </w:t>
      </w:r>
      <w:r>
        <w:rPr>
          <w:rFonts w:ascii="Verdana" w:hAnsi="Verdana"/>
          <w:w w:val="105"/>
          <w:sz w:val="16"/>
        </w:rPr>
        <w:t>взятии под ДН и по</w:t>
      </w:r>
      <w:r>
        <w:rPr>
          <w:rFonts w:ascii="Verdana" w:hAnsi="Verdana"/>
          <w:spacing w:val="-18"/>
          <w:w w:val="105"/>
          <w:sz w:val="16"/>
        </w:rPr>
        <w:t> </w:t>
      </w:r>
      <w:r>
        <w:rPr>
          <w:rFonts w:ascii="Verdana" w:hAnsi="Verdana"/>
          <w:w w:val="105"/>
          <w:sz w:val="16"/>
        </w:rPr>
        <w:t>показаниям</w:t>
      </w:r>
    </w:p>
    <w:p>
      <w:pPr>
        <w:pStyle w:val="ListParagraph"/>
        <w:numPr>
          <w:ilvl w:val="1"/>
          <w:numId w:val="21"/>
        </w:numPr>
        <w:tabs>
          <w:tab w:pos="4901" w:val="left" w:leader="none"/>
        </w:tabs>
        <w:spacing w:line="204" w:lineRule="auto" w:before="0" w:after="0"/>
        <w:ind w:left="4702" w:right="294" w:firstLine="0"/>
        <w:jc w:val="both"/>
        <w:rPr>
          <w:rFonts w:ascii="Verdana" w:hAnsi="Verdana"/>
          <w:sz w:val="16"/>
        </w:rPr>
      </w:pPr>
      <w:r>
        <w:rPr>
          <w:rFonts w:ascii="Verdana" w:hAnsi="Verdana"/>
          <w:w w:val="105"/>
          <w:sz w:val="16"/>
        </w:rPr>
        <w:t>оценка суммарного сердечно-сосудистого риска по таблице величины риска при АГ </w:t>
      </w:r>
      <w:r>
        <w:rPr>
          <w:rFonts w:ascii="Verdana" w:hAnsi="Verdana"/>
          <w:spacing w:val="-15"/>
          <w:w w:val="105"/>
          <w:sz w:val="16"/>
        </w:rPr>
        <w:t>и </w:t>
      </w:r>
      <w:r>
        <w:rPr>
          <w:rFonts w:ascii="Verdana" w:hAnsi="Verdana"/>
          <w:w w:val="105"/>
          <w:sz w:val="16"/>
        </w:rPr>
        <w:t>по шкале SCORE (при интерпретации</w:t>
      </w:r>
      <w:r>
        <w:rPr>
          <w:rFonts w:ascii="Verdana" w:hAnsi="Verdana"/>
          <w:spacing w:val="-26"/>
          <w:w w:val="105"/>
          <w:sz w:val="16"/>
        </w:rPr>
        <w:t> </w:t>
      </w:r>
      <w:r>
        <w:rPr>
          <w:rFonts w:ascii="Verdana" w:hAnsi="Verdana"/>
          <w:w w:val="105"/>
          <w:sz w:val="16"/>
        </w:rPr>
        <w:t>уровня риска приоритет отдается более высокому показателю)</w:t>
      </w:r>
    </w:p>
    <w:p>
      <w:pPr>
        <w:pStyle w:val="ListParagraph"/>
        <w:numPr>
          <w:ilvl w:val="1"/>
          <w:numId w:val="21"/>
        </w:numPr>
        <w:tabs>
          <w:tab w:pos="5281" w:val="left" w:leader="none"/>
        </w:tabs>
        <w:spacing w:line="204" w:lineRule="auto" w:before="0" w:after="0"/>
        <w:ind w:left="4702" w:right="298" w:firstLine="0"/>
        <w:jc w:val="both"/>
        <w:rPr>
          <w:rFonts w:ascii="Verdana" w:hAnsi="Verdana"/>
          <w:sz w:val="16"/>
        </w:rPr>
      </w:pPr>
      <w:r>
        <w:rPr>
          <w:rFonts w:ascii="Verdana" w:hAnsi="Verdana"/>
          <w:w w:val="105"/>
          <w:sz w:val="16"/>
        </w:rPr>
        <w:t>корректировка терапии </w:t>
      </w:r>
      <w:r>
        <w:rPr>
          <w:rFonts w:ascii="Verdana" w:hAnsi="Verdana"/>
          <w:spacing w:val="-4"/>
          <w:w w:val="105"/>
          <w:sz w:val="16"/>
        </w:rPr>
        <w:t>(при </w:t>
      </w:r>
      <w:r>
        <w:rPr>
          <w:rFonts w:ascii="Verdana" w:hAnsi="Verdana"/>
          <w:w w:val="105"/>
          <w:sz w:val="16"/>
        </w:rPr>
        <w:t>необходимости)</w:t>
      </w:r>
    </w:p>
    <w:p>
      <w:pPr>
        <w:spacing w:line="204" w:lineRule="auto" w:before="0"/>
        <w:ind w:left="4702" w:right="294" w:firstLine="0"/>
        <w:jc w:val="both"/>
        <w:rPr>
          <w:rFonts w:ascii="Verdana" w:hAnsi="Verdana"/>
          <w:sz w:val="16"/>
        </w:rPr>
      </w:pPr>
      <w:r>
        <w:rPr>
          <w:rFonts w:ascii="Verdana" w:hAnsi="Verdana"/>
          <w:w w:val="105"/>
          <w:sz w:val="16"/>
        </w:rPr>
        <w:t>-объяснение пациенту и/или обеспечение его памяткой по алгоритму неотложных действий при жизнеугрожающем состоянии, вероятность развития которого у пациента наиболее высокая</w:t>
      </w:r>
    </w:p>
    <w:p>
      <w:pPr>
        <w:spacing w:after="0" w:line="204" w:lineRule="auto"/>
        <w:jc w:val="both"/>
        <w:rPr>
          <w:rFonts w:ascii="Verdana" w:hAnsi="Verdana"/>
          <w:sz w:val="16"/>
        </w:rPr>
        <w:sectPr>
          <w:pgSz w:w="11900" w:h="16840"/>
          <w:pgMar w:top="0" w:bottom="280" w:left="1420" w:right="1520"/>
        </w:sectPr>
      </w:pPr>
    </w:p>
    <w:p>
      <w:pPr>
        <w:pStyle w:val="BodyText"/>
        <w:spacing w:before="16"/>
        <w:ind w:left="380"/>
        <w:jc w:val="left"/>
      </w:pPr>
      <w:r>
        <w:rPr/>
        <w:t>Приложение Г5. Иные</w:t>
      </w:r>
    </w:p>
    <w:p>
      <w:pPr>
        <w:pStyle w:val="Heading3"/>
        <w:spacing w:line="256" w:lineRule="auto" w:before="297"/>
        <w:ind w:left="380" w:right="129"/>
      </w:pPr>
      <w:r>
        <w:rPr/>
        <w:t>Таблица П1/Г5. Распространенность и типичные причины вторичных гипертензий в различных возрастных группах</w:t>
      </w:r>
    </w:p>
    <w:p>
      <w:pPr>
        <w:pStyle w:val="BodyText"/>
        <w:spacing w:before="0"/>
        <w:ind w:left="0"/>
        <w:jc w:val="left"/>
        <w:rPr>
          <w:b/>
          <w:sz w:val="20"/>
        </w:rPr>
      </w:pPr>
    </w:p>
    <w:p>
      <w:pPr>
        <w:pStyle w:val="BodyText"/>
        <w:spacing w:before="0"/>
        <w:ind w:left="0"/>
        <w:jc w:val="left"/>
        <w:rPr>
          <w:b/>
          <w:sz w:val="20"/>
        </w:rPr>
      </w:pPr>
    </w:p>
    <w:p>
      <w:pPr>
        <w:pStyle w:val="BodyText"/>
        <w:spacing w:before="10"/>
        <w:ind w:left="0"/>
        <w:jc w:val="left"/>
        <w:rPr>
          <w:b/>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6"/>
        <w:gridCol w:w="1681"/>
        <w:gridCol w:w="3977"/>
      </w:tblGrid>
      <w:tr>
        <w:trPr>
          <w:trHeight w:val="460" w:hRule="atLeast"/>
        </w:trPr>
        <w:tc>
          <w:tcPr>
            <w:tcW w:w="2776" w:type="dxa"/>
          </w:tcPr>
          <w:p>
            <w:pPr>
              <w:pStyle w:val="TableParagraph"/>
              <w:rPr>
                <w:b/>
                <w:sz w:val="16"/>
              </w:rPr>
            </w:pPr>
            <w:r>
              <w:rPr>
                <w:b/>
                <w:w w:val="105"/>
                <w:sz w:val="16"/>
              </w:rPr>
              <w:t>Возрастная группа</w:t>
            </w:r>
          </w:p>
        </w:tc>
        <w:tc>
          <w:tcPr>
            <w:tcW w:w="1681" w:type="dxa"/>
          </w:tcPr>
          <w:p>
            <w:pPr>
              <w:pStyle w:val="TableParagraph"/>
              <w:rPr>
                <w:b/>
                <w:sz w:val="16"/>
              </w:rPr>
            </w:pPr>
            <w:r>
              <w:rPr>
                <w:b/>
                <w:w w:val="105"/>
                <w:sz w:val="16"/>
              </w:rPr>
              <w:t>Частота (%)</w:t>
            </w:r>
          </w:p>
        </w:tc>
        <w:tc>
          <w:tcPr>
            <w:tcW w:w="3977" w:type="dxa"/>
          </w:tcPr>
          <w:p>
            <w:pPr>
              <w:pStyle w:val="TableParagraph"/>
              <w:ind w:left="154"/>
              <w:rPr>
                <w:b/>
                <w:sz w:val="16"/>
              </w:rPr>
            </w:pPr>
            <w:r>
              <w:rPr>
                <w:b/>
                <w:w w:val="105"/>
                <w:sz w:val="16"/>
              </w:rPr>
              <w:t>Типичные причины</w:t>
            </w:r>
          </w:p>
        </w:tc>
      </w:tr>
      <w:tr>
        <w:trPr>
          <w:trHeight w:val="790" w:hRule="atLeast"/>
        </w:trPr>
        <w:tc>
          <w:tcPr>
            <w:tcW w:w="2776" w:type="dxa"/>
          </w:tcPr>
          <w:p>
            <w:pPr>
              <w:pStyle w:val="TableParagraph"/>
              <w:rPr>
                <w:sz w:val="16"/>
              </w:rPr>
            </w:pPr>
            <w:r>
              <w:rPr>
                <w:w w:val="105"/>
                <w:sz w:val="16"/>
              </w:rPr>
              <w:t>Дети (&lt;12 лет)</w:t>
            </w:r>
          </w:p>
        </w:tc>
        <w:tc>
          <w:tcPr>
            <w:tcW w:w="1681" w:type="dxa"/>
          </w:tcPr>
          <w:p>
            <w:pPr>
              <w:pStyle w:val="TableParagraph"/>
              <w:rPr>
                <w:sz w:val="16"/>
              </w:rPr>
            </w:pPr>
            <w:r>
              <w:rPr>
                <w:w w:val="105"/>
                <w:sz w:val="16"/>
              </w:rPr>
              <w:t>70–85</w:t>
            </w:r>
          </w:p>
        </w:tc>
        <w:tc>
          <w:tcPr>
            <w:tcW w:w="3977" w:type="dxa"/>
          </w:tcPr>
          <w:p>
            <w:pPr>
              <w:pStyle w:val="TableParagraph"/>
              <w:spacing w:line="204" w:lineRule="auto" w:before="161"/>
              <w:ind w:left="154"/>
              <w:rPr>
                <w:sz w:val="16"/>
              </w:rPr>
            </w:pPr>
            <w:r>
              <w:rPr>
                <w:sz w:val="16"/>
              </w:rPr>
              <w:t>Ренопаренхиматозные заболевания </w:t>
            </w:r>
            <w:r>
              <w:rPr>
                <w:w w:val="105"/>
                <w:sz w:val="16"/>
              </w:rPr>
              <w:t>Коарктация аорты</w:t>
            </w:r>
          </w:p>
          <w:p>
            <w:pPr>
              <w:pStyle w:val="TableParagraph"/>
              <w:spacing w:line="170" w:lineRule="exact" w:before="0"/>
              <w:ind w:left="154"/>
              <w:rPr>
                <w:sz w:val="16"/>
              </w:rPr>
            </w:pPr>
            <w:r>
              <w:rPr>
                <w:w w:val="105"/>
                <w:sz w:val="16"/>
              </w:rPr>
              <w:t>Моногенные заболевания</w:t>
            </w:r>
          </w:p>
        </w:tc>
      </w:tr>
      <w:tr>
        <w:trPr>
          <w:trHeight w:val="790" w:hRule="atLeast"/>
        </w:trPr>
        <w:tc>
          <w:tcPr>
            <w:tcW w:w="2776" w:type="dxa"/>
          </w:tcPr>
          <w:p>
            <w:pPr>
              <w:pStyle w:val="TableParagraph"/>
              <w:rPr>
                <w:sz w:val="16"/>
              </w:rPr>
            </w:pPr>
            <w:r>
              <w:rPr>
                <w:w w:val="105"/>
                <w:sz w:val="16"/>
              </w:rPr>
              <w:t>Подростки (12–18 лет)</w:t>
            </w:r>
          </w:p>
        </w:tc>
        <w:tc>
          <w:tcPr>
            <w:tcW w:w="1681" w:type="dxa"/>
          </w:tcPr>
          <w:p>
            <w:pPr>
              <w:pStyle w:val="TableParagraph"/>
              <w:rPr>
                <w:sz w:val="16"/>
              </w:rPr>
            </w:pPr>
            <w:r>
              <w:rPr>
                <w:w w:val="105"/>
                <w:sz w:val="16"/>
              </w:rPr>
              <w:t>10–15</w:t>
            </w:r>
          </w:p>
        </w:tc>
        <w:tc>
          <w:tcPr>
            <w:tcW w:w="3977" w:type="dxa"/>
          </w:tcPr>
          <w:p>
            <w:pPr>
              <w:pStyle w:val="TableParagraph"/>
              <w:spacing w:line="204" w:lineRule="auto" w:before="161"/>
              <w:ind w:left="154"/>
              <w:rPr>
                <w:sz w:val="16"/>
              </w:rPr>
            </w:pPr>
            <w:r>
              <w:rPr>
                <w:sz w:val="16"/>
              </w:rPr>
              <w:t>Ренопаренхиматозные заболевания </w:t>
            </w:r>
            <w:r>
              <w:rPr>
                <w:w w:val="105"/>
                <w:sz w:val="16"/>
              </w:rPr>
              <w:t>Коарктация аорты</w:t>
            </w:r>
          </w:p>
          <w:p>
            <w:pPr>
              <w:pStyle w:val="TableParagraph"/>
              <w:spacing w:line="170" w:lineRule="exact" w:before="0"/>
              <w:ind w:left="154"/>
              <w:rPr>
                <w:sz w:val="16"/>
              </w:rPr>
            </w:pPr>
            <w:r>
              <w:rPr>
                <w:w w:val="105"/>
                <w:sz w:val="16"/>
              </w:rPr>
              <w:t>Моногенные заболевания</w:t>
            </w:r>
          </w:p>
        </w:tc>
      </w:tr>
      <w:tr>
        <w:trPr>
          <w:trHeight w:val="955" w:hRule="atLeast"/>
        </w:trPr>
        <w:tc>
          <w:tcPr>
            <w:tcW w:w="2776" w:type="dxa"/>
          </w:tcPr>
          <w:p>
            <w:pPr>
              <w:pStyle w:val="TableParagraph"/>
              <w:rPr>
                <w:sz w:val="16"/>
              </w:rPr>
            </w:pPr>
            <w:r>
              <w:rPr>
                <w:w w:val="105"/>
                <w:sz w:val="16"/>
              </w:rPr>
              <w:t>Молодые (19–40 лет)</w:t>
            </w:r>
          </w:p>
        </w:tc>
        <w:tc>
          <w:tcPr>
            <w:tcW w:w="1681" w:type="dxa"/>
          </w:tcPr>
          <w:p>
            <w:pPr>
              <w:pStyle w:val="TableParagraph"/>
              <w:rPr>
                <w:sz w:val="16"/>
              </w:rPr>
            </w:pPr>
            <w:r>
              <w:rPr>
                <w:w w:val="105"/>
                <w:sz w:val="16"/>
              </w:rPr>
              <w:t>5–10</w:t>
            </w:r>
          </w:p>
        </w:tc>
        <w:tc>
          <w:tcPr>
            <w:tcW w:w="3977" w:type="dxa"/>
          </w:tcPr>
          <w:p>
            <w:pPr>
              <w:pStyle w:val="TableParagraph"/>
              <w:tabs>
                <w:tab w:pos="2771" w:val="left" w:leader="none"/>
              </w:tabs>
              <w:spacing w:line="204" w:lineRule="auto" w:before="161"/>
              <w:ind w:left="154" w:right="146"/>
              <w:rPr>
                <w:sz w:val="16"/>
              </w:rPr>
            </w:pPr>
            <w:r>
              <w:rPr>
                <w:w w:val="105"/>
                <w:sz w:val="16"/>
              </w:rPr>
              <w:t>Ренопаренхиматозные заболевания Фибромускулярная дисплазия Недиагностированные</w:t>
              <w:tab/>
            </w:r>
            <w:r>
              <w:rPr>
                <w:spacing w:val="-1"/>
                <w:sz w:val="16"/>
              </w:rPr>
              <w:t>моногенные </w:t>
            </w:r>
            <w:r>
              <w:rPr>
                <w:w w:val="105"/>
                <w:sz w:val="16"/>
              </w:rPr>
              <w:t>заболевания</w:t>
            </w:r>
          </w:p>
        </w:tc>
      </w:tr>
      <w:tr>
        <w:trPr>
          <w:trHeight w:val="1285" w:hRule="atLeast"/>
        </w:trPr>
        <w:tc>
          <w:tcPr>
            <w:tcW w:w="2776" w:type="dxa"/>
          </w:tcPr>
          <w:p>
            <w:pPr>
              <w:pStyle w:val="TableParagraph"/>
              <w:tabs>
                <w:tab w:pos="1121" w:val="left" w:leader="none"/>
                <w:tab w:pos="2008" w:val="left" w:leader="none"/>
              </w:tabs>
              <w:spacing w:line="204" w:lineRule="auto" w:before="161"/>
              <w:ind w:right="145"/>
              <w:rPr>
                <w:sz w:val="16"/>
              </w:rPr>
            </w:pPr>
            <w:r>
              <w:rPr>
                <w:w w:val="105"/>
                <w:sz w:val="16"/>
              </w:rPr>
              <w:t>Средний</w:t>
              <w:tab/>
              <w:t>возраст</w:t>
              <w:tab/>
            </w:r>
            <w:r>
              <w:rPr>
                <w:spacing w:val="-3"/>
                <w:w w:val="105"/>
                <w:sz w:val="16"/>
              </w:rPr>
              <w:t>(41–65 </w:t>
            </w:r>
            <w:r>
              <w:rPr>
                <w:w w:val="105"/>
                <w:sz w:val="16"/>
              </w:rPr>
              <w:t>лет)</w:t>
            </w:r>
          </w:p>
        </w:tc>
        <w:tc>
          <w:tcPr>
            <w:tcW w:w="1681" w:type="dxa"/>
          </w:tcPr>
          <w:p>
            <w:pPr>
              <w:pStyle w:val="TableParagraph"/>
              <w:rPr>
                <w:sz w:val="16"/>
              </w:rPr>
            </w:pPr>
            <w:r>
              <w:rPr>
                <w:w w:val="105"/>
                <w:sz w:val="16"/>
              </w:rPr>
              <w:t>5–15</w:t>
            </w:r>
          </w:p>
        </w:tc>
        <w:tc>
          <w:tcPr>
            <w:tcW w:w="3977" w:type="dxa"/>
          </w:tcPr>
          <w:p>
            <w:pPr>
              <w:pStyle w:val="TableParagraph"/>
              <w:spacing w:line="204" w:lineRule="auto" w:before="161"/>
              <w:ind w:left="154" w:right="762"/>
              <w:rPr>
                <w:sz w:val="16"/>
              </w:rPr>
            </w:pPr>
            <w:r>
              <w:rPr>
                <w:w w:val="105"/>
                <w:sz w:val="16"/>
              </w:rPr>
              <w:t>Первичный альдостеронизм Обструктивное ночное апноэ Синдром Кушинга Феохромоцитома</w:t>
            </w:r>
          </w:p>
          <w:p>
            <w:pPr>
              <w:pStyle w:val="TableParagraph"/>
              <w:spacing w:line="204" w:lineRule="auto" w:before="0"/>
              <w:ind w:left="154"/>
              <w:rPr>
                <w:sz w:val="16"/>
              </w:rPr>
            </w:pPr>
            <w:r>
              <w:rPr>
                <w:sz w:val="16"/>
              </w:rPr>
              <w:t>Ренопаренхиматозные заболевания </w:t>
            </w:r>
            <w:r>
              <w:rPr>
                <w:w w:val="105"/>
                <w:sz w:val="16"/>
              </w:rPr>
              <w:t>Атеросклероз почечных артерий</w:t>
            </w:r>
          </w:p>
        </w:tc>
      </w:tr>
      <w:tr>
        <w:trPr>
          <w:trHeight w:val="790" w:hRule="atLeast"/>
        </w:trPr>
        <w:tc>
          <w:tcPr>
            <w:tcW w:w="2776" w:type="dxa"/>
          </w:tcPr>
          <w:p>
            <w:pPr>
              <w:pStyle w:val="TableParagraph"/>
              <w:rPr>
                <w:sz w:val="16"/>
              </w:rPr>
            </w:pPr>
            <w:r>
              <w:rPr>
                <w:w w:val="105"/>
                <w:sz w:val="16"/>
              </w:rPr>
              <w:t>Пожилые(&gt;65 лет)</w:t>
            </w:r>
          </w:p>
        </w:tc>
        <w:tc>
          <w:tcPr>
            <w:tcW w:w="1681" w:type="dxa"/>
          </w:tcPr>
          <w:p>
            <w:pPr>
              <w:pStyle w:val="TableParagraph"/>
              <w:rPr>
                <w:sz w:val="16"/>
              </w:rPr>
            </w:pPr>
            <w:r>
              <w:rPr>
                <w:w w:val="105"/>
                <w:sz w:val="16"/>
              </w:rPr>
              <w:t>5–10</w:t>
            </w:r>
          </w:p>
        </w:tc>
        <w:tc>
          <w:tcPr>
            <w:tcW w:w="3977" w:type="dxa"/>
          </w:tcPr>
          <w:p>
            <w:pPr>
              <w:pStyle w:val="TableParagraph"/>
              <w:tabs>
                <w:tab w:pos="1797" w:val="left" w:leader="none"/>
                <w:tab w:pos="3106" w:val="left" w:leader="none"/>
              </w:tabs>
              <w:spacing w:line="204" w:lineRule="auto" w:before="161"/>
              <w:ind w:left="154" w:right="152"/>
              <w:rPr>
                <w:sz w:val="16"/>
              </w:rPr>
            </w:pPr>
            <w:r>
              <w:rPr>
                <w:w w:val="105"/>
                <w:sz w:val="16"/>
              </w:rPr>
              <w:t>Атеросклероз</w:t>
              <w:tab/>
              <w:t>почечных</w:t>
              <w:tab/>
            </w:r>
            <w:r>
              <w:rPr>
                <w:spacing w:val="-3"/>
                <w:w w:val="105"/>
                <w:sz w:val="16"/>
              </w:rPr>
              <w:t>артерий </w:t>
            </w:r>
            <w:r>
              <w:rPr>
                <w:w w:val="105"/>
                <w:sz w:val="16"/>
              </w:rPr>
              <w:t>Ренопаренхиматозные заболевания Заболевания щитовидной</w:t>
            </w:r>
            <w:r>
              <w:rPr>
                <w:spacing w:val="-11"/>
                <w:w w:val="105"/>
                <w:sz w:val="16"/>
              </w:rPr>
              <w:t> </w:t>
            </w:r>
            <w:r>
              <w:rPr>
                <w:w w:val="105"/>
                <w:sz w:val="16"/>
              </w:rPr>
              <w:t>железы</w:t>
            </w:r>
          </w:p>
        </w:tc>
      </w:tr>
    </w:tbl>
    <w:p>
      <w:pPr>
        <w:pStyle w:val="BodyText"/>
        <w:spacing w:before="0"/>
        <w:ind w:left="0"/>
        <w:jc w:val="left"/>
        <w:rPr>
          <w:b/>
          <w:sz w:val="20"/>
        </w:rPr>
      </w:pPr>
    </w:p>
    <w:p>
      <w:pPr>
        <w:pStyle w:val="BodyText"/>
        <w:spacing w:before="13"/>
        <w:ind w:left="0"/>
        <w:jc w:val="left"/>
        <w:rPr>
          <w:b/>
          <w:sz w:val="22"/>
        </w:rPr>
      </w:pPr>
    </w:p>
    <w:p>
      <w:pPr>
        <w:spacing w:line="256" w:lineRule="auto" w:before="97"/>
        <w:ind w:left="380" w:right="129" w:firstLine="0"/>
        <w:jc w:val="left"/>
        <w:rPr>
          <w:b/>
          <w:sz w:val="27"/>
        </w:rPr>
      </w:pPr>
      <w:r>
        <w:rPr>
          <w:b/>
          <w:sz w:val="27"/>
        </w:rPr>
        <w:t>Таблица П2/Г5. Редкие генетические причины вторичных артериальных гипертензий</w:t>
      </w:r>
    </w:p>
    <w:p>
      <w:pPr>
        <w:pStyle w:val="BodyText"/>
        <w:spacing w:before="0"/>
        <w:ind w:left="0"/>
        <w:jc w:val="left"/>
        <w:rPr>
          <w:b/>
          <w:sz w:val="20"/>
        </w:rPr>
      </w:pPr>
    </w:p>
    <w:p>
      <w:pPr>
        <w:pStyle w:val="BodyText"/>
        <w:spacing w:before="0"/>
        <w:ind w:left="0"/>
        <w:jc w:val="left"/>
        <w:rPr>
          <w:b/>
          <w:sz w:val="20"/>
        </w:rPr>
      </w:pPr>
    </w:p>
    <w:p>
      <w:pPr>
        <w:pStyle w:val="BodyText"/>
        <w:spacing w:before="10" w:after="1"/>
        <w:ind w:left="0"/>
        <w:jc w:val="left"/>
        <w:rPr>
          <w:b/>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21"/>
        <w:gridCol w:w="2731"/>
        <w:gridCol w:w="2881"/>
      </w:tblGrid>
      <w:tr>
        <w:trPr>
          <w:trHeight w:val="460" w:hRule="atLeast"/>
        </w:trPr>
        <w:tc>
          <w:tcPr>
            <w:tcW w:w="2821" w:type="dxa"/>
          </w:tcPr>
          <w:p>
            <w:pPr>
              <w:pStyle w:val="TableParagraph"/>
              <w:rPr>
                <w:sz w:val="16"/>
              </w:rPr>
            </w:pPr>
            <w:r>
              <w:rPr>
                <w:w w:val="105"/>
                <w:sz w:val="16"/>
              </w:rPr>
              <w:t>Заболевание</w:t>
            </w:r>
          </w:p>
        </w:tc>
        <w:tc>
          <w:tcPr>
            <w:tcW w:w="2731" w:type="dxa"/>
          </w:tcPr>
          <w:p>
            <w:pPr>
              <w:pStyle w:val="TableParagraph"/>
              <w:rPr>
                <w:sz w:val="16"/>
              </w:rPr>
            </w:pPr>
            <w:r>
              <w:rPr>
                <w:w w:val="105"/>
                <w:sz w:val="16"/>
              </w:rPr>
              <w:t>Фенотип</w:t>
            </w:r>
          </w:p>
        </w:tc>
        <w:tc>
          <w:tcPr>
            <w:tcW w:w="2881" w:type="dxa"/>
          </w:tcPr>
          <w:p>
            <w:pPr>
              <w:pStyle w:val="TableParagraph"/>
              <w:rPr>
                <w:sz w:val="16"/>
              </w:rPr>
            </w:pPr>
            <w:r>
              <w:rPr>
                <w:w w:val="105"/>
                <w:sz w:val="16"/>
              </w:rPr>
              <w:t>Механизм</w:t>
            </w:r>
          </w:p>
        </w:tc>
      </w:tr>
      <w:tr>
        <w:trPr>
          <w:trHeight w:val="955" w:hRule="atLeast"/>
        </w:trPr>
        <w:tc>
          <w:tcPr>
            <w:tcW w:w="2821" w:type="dxa"/>
          </w:tcPr>
          <w:p>
            <w:pPr>
              <w:pStyle w:val="TableParagraph"/>
              <w:rPr>
                <w:sz w:val="16"/>
              </w:rPr>
            </w:pPr>
            <w:r>
              <w:rPr>
                <w:w w:val="105"/>
                <w:sz w:val="16"/>
              </w:rPr>
              <w:t>Синдром Лиддла</w:t>
            </w:r>
          </w:p>
        </w:tc>
        <w:tc>
          <w:tcPr>
            <w:tcW w:w="2731" w:type="dxa"/>
          </w:tcPr>
          <w:p>
            <w:pPr>
              <w:pStyle w:val="TableParagraph"/>
              <w:tabs>
                <w:tab w:pos="1822" w:val="left" w:leader="none"/>
              </w:tabs>
              <w:spacing w:line="204" w:lineRule="auto" w:before="161"/>
              <w:ind w:right="138"/>
              <w:rPr>
                <w:sz w:val="16"/>
              </w:rPr>
            </w:pPr>
            <w:r>
              <w:rPr>
                <w:w w:val="105"/>
                <w:sz w:val="16"/>
              </w:rPr>
              <w:t>Гипокалиемия, метаболический</w:t>
              <w:tab/>
            </w:r>
            <w:r>
              <w:rPr>
                <w:spacing w:val="-3"/>
                <w:w w:val="105"/>
                <w:sz w:val="16"/>
              </w:rPr>
              <w:t>алкалоз, </w:t>
            </w:r>
            <w:r>
              <w:rPr>
                <w:w w:val="105"/>
                <w:sz w:val="16"/>
              </w:rPr>
              <w:t>низкие АРП и КРП, </w:t>
            </w:r>
            <w:r>
              <w:rPr>
                <w:spacing w:val="-3"/>
                <w:w w:val="105"/>
                <w:sz w:val="16"/>
              </w:rPr>
              <w:t>низкая </w:t>
            </w:r>
            <w:r>
              <w:rPr>
                <w:w w:val="105"/>
                <w:sz w:val="16"/>
              </w:rPr>
              <w:t>КАП</w:t>
            </w:r>
          </w:p>
        </w:tc>
        <w:tc>
          <w:tcPr>
            <w:tcW w:w="2881" w:type="dxa"/>
          </w:tcPr>
          <w:p>
            <w:pPr>
              <w:pStyle w:val="TableParagraph"/>
              <w:spacing w:line="204" w:lineRule="auto" w:before="161"/>
              <w:ind w:right="138"/>
              <w:jc w:val="both"/>
              <w:rPr>
                <w:sz w:val="16"/>
              </w:rPr>
            </w:pPr>
            <w:r>
              <w:rPr>
                <w:w w:val="105"/>
                <w:sz w:val="16"/>
              </w:rPr>
              <w:t>Повышение активности эпителиальных натриевых каналов почек; эффект от применения амилорида</w:t>
            </w:r>
          </w:p>
        </w:tc>
      </w:tr>
      <w:tr>
        <w:trPr>
          <w:trHeight w:val="955" w:hRule="atLeast"/>
        </w:trPr>
        <w:tc>
          <w:tcPr>
            <w:tcW w:w="2821" w:type="dxa"/>
          </w:tcPr>
          <w:p>
            <w:pPr>
              <w:pStyle w:val="TableParagraph"/>
              <w:tabs>
                <w:tab w:pos="1619" w:val="left" w:leader="none"/>
              </w:tabs>
              <w:spacing w:line="204" w:lineRule="auto" w:before="161"/>
              <w:ind w:right="142"/>
              <w:rPr>
                <w:sz w:val="16"/>
              </w:rPr>
            </w:pPr>
            <w:r>
              <w:rPr>
                <w:w w:val="105"/>
                <w:sz w:val="16"/>
              </w:rPr>
              <w:t>Синдром</w:t>
              <w:tab/>
            </w:r>
            <w:r>
              <w:rPr>
                <w:spacing w:val="-1"/>
                <w:sz w:val="16"/>
              </w:rPr>
              <w:t>кажущегося </w:t>
            </w:r>
            <w:r>
              <w:rPr>
                <w:w w:val="105"/>
                <w:sz w:val="16"/>
              </w:rPr>
              <w:t>избытка минералокортикоидов</w:t>
            </w:r>
          </w:p>
        </w:tc>
        <w:tc>
          <w:tcPr>
            <w:tcW w:w="2731" w:type="dxa"/>
          </w:tcPr>
          <w:p>
            <w:pPr>
              <w:pStyle w:val="TableParagraph"/>
              <w:tabs>
                <w:tab w:pos="1822" w:val="left" w:leader="none"/>
              </w:tabs>
              <w:spacing w:line="204" w:lineRule="auto" w:before="161"/>
              <w:ind w:right="138"/>
              <w:rPr>
                <w:sz w:val="16"/>
              </w:rPr>
            </w:pPr>
            <w:r>
              <w:rPr>
                <w:w w:val="105"/>
                <w:sz w:val="16"/>
              </w:rPr>
              <w:t>Гипокалиемия, метаболический</w:t>
              <w:tab/>
            </w:r>
            <w:r>
              <w:rPr>
                <w:spacing w:val="-3"/>
                <w:w w:val="105"/>
                <w:sz w:val="16"/>
              </w:rPr>
              <w:t>алкалоз, </w:t>
            </w:r>
            <w:r>
              <w:rPr>
                <w:w w:val="105"/>
                <w:sz w:val="16"/>
              </w:rPr>
              <w:t>низкие АРП и КРП, </w:t>
            </w:r>
            <w:r>
              <w:rPr>
                <w:spacing w:val="-3"/>
                <w:w w:val="105"/>
                <w:sz w:val="16"/>
              </w:rPr>
              <w:t>низкая </w:t>
            </w:r>
            <w:r>
              <w:rPr>
                <w:w w:val="105"/>
                <w:sz w:val="16"/>
              </w:rPr>
              <w:t>КАП</w:t>
            </w:r>
          </w:p>
        </w:tc>
        <w:tc>
          <w:tcPr>
            <w:tcW w:w="2881" w:type="dxa"/>
          </w:tcPr>
          <w:p>
            <w:pPr>
              <w:pStyle w:val="TableParagraph"/>
              <w:spacing w:line="204" w:lineRule="auto" w:before="161"/>
              <w:ind w:right="146"/>
              <w:rPr>
                <w:sz w:val="16"/>
              </w:rPr>
            </w:pPr>
            <w:r>
              <w:rPr>
                <w:w w:val="105"/>
                <w:sz w:val="16"/>
              </w:rPr>
              <w:t>Снижение активности 11β- дегидрогеназы-2</w:t>
            </w:r>
          </w:p>
        </w:tc>
      </w:tr>
      <w:tr>
        <w:trPr>
          <w:trHeight w:val="955" w:hRule="atLeast"/>
        </w:trPr>
        <w:tc>
          <w:tcPr>
            <w:tcW w:w="2821" w:type="dxa"/>
          </w:tcPr>
          <w:p>
            <w:pPr>
              <w:pStyle w:val="TableParagraph"/>
              <w:rPr>
                <w:sz w:val="16"/>
              </w:rPr>
            </w:pPr>
            <w:r>
              <w:rPr>
                <w:w w:val="105"/>
                <w:sz w:val="16"/>
              </w:rPr>
              <w:t>Синдром Гордона</w:t>
            </w:r>
          </w:p>
        </w:tc>
        <w:tc>
          <w:tcPr>
            <w:tcW w:w="2731" w:type="dxa"/>
          </w:tcPr>
          <w:p>
            <w:pPr>
              <w:pStyle w:val="TableParagraph"/>
              <w:tabs>
                <w:tab w:pos="1822" w:val="left" w:leader="none"/>
              </w:tabs>
              <w:spacing w:line="204" w:lineRule="auto" w:before="161"/>
              <w:ind w:right="138"/>
              <w:rPr>
                <w:sz w:val="16"/>
              </w:rPr>
            </w:pPr>
            <w:r>
              <w:rPr>
                <w:w w:val="105"/>
                <w:sz w:val="16"/>
              </w:rPr>
              <w:t>Гипокалиемия, метаболический</w:t>
              <w:tab/>
            </w:r>
            <w:r>
              <w:rPr>
                <w:spacing w:val="-3"/>
                <w:w w:val="105"/>
                <w:sz w:val="16"/>
              </w:rPr>
              <w:t>алкалоз, </w:t>
            </w:r>
            <w:r>
              <w:rPr>
                <w:w w:val="105"/>
                <w:sz w:val="16"/>
              </w:rPr>
              <w:t>низкие АРП и КРП, </w:t>
            </w:r>
            <w:r>
              <w:rPr>
                <w:spacing w:val="-3"/>
                <w:w w:val="105"/>
                <w:sz w:val="16"/>
              </w:rPr>
              <w:t>низкая </w:t>
            </w:r>
            <w:r>
              <w:rPr>
                <w:w w:val="105"/>
                <w:sz w:val="16"/>
              </w:rPr>
              <w:t>КАП</w:t>
            </w:r>
          </w:p>
        </w:tc>
        <w:tc>
          <w:tcPr>
            <w:tcW w:w="2881" w:type="dxa"/>
          </w:tcPr>
          <w:p>
            <w:pPr>
              <w:pStyle w:val="TableParagraph"/>
              <w:spacing w:line="204" w:lineRule="auto" w:before="161"/>
              <w:ind w:right="151"/>
              <w:jc w:val="both"/>
              <w:rPr>
                <w:sz w:val="16"/>
              </w:rPr>
            </w:pPr>
            <w:r>
              <w:rPr>
                <w:w w:val="105"/>
                <w:sz w:val="16"/>
              </w:rPr>
              <w:t>Повышение активности эпителиальных натриевых каналов</w:t>
            </w:r>
          </w:p>
        </w:tc>
      </w:tr>
      <w:tr>
        <w:trPr>
          <w:trHeight w:val="955" w:hRule="atLeast"/>
        </w:trPr>
        <w:tc>
          <w:tcPr>
            <w:tcW w:w="2821" w:type="dxa"/>
          </w:tcPr>
          <w:p>
            <w:pPr>
              <w:pStyle w:val="TableParagraph"/>
              <w:rPr>
                <w:sz w:val="16"/>
              </w:rPr>
            </w:pPr>
            <w:r>
              <w:rPr>
                <w:w w:val="105"/>
                <w:sz w:val="16"/>
              </w:rPr>
              <w:t>Синдром Геллера</w:t>
            </w:r>
          </w:p>
        </w:tc>
        <w:tc>
          <w:tcPr>
            <w:tcW w:w="2731" w:type="dxa"/>
          </w:tcPr>
          <w:p>
            <w:pPr>
              <w:pStyle w:val="TableParagraph"/>
              <w:spacing w:line="204" w:lineRule="auto" w:before="161"/>
              <w:ind w:right="139"/>
              <w:jc w:val="both"/>
              <w:rPr>
                <w:sz w:val="16"/>
              </w:rPr>
            </w:pPr>
            <w:r>
              <w:rPr>
                <w:w w:val="105"/>
                <w:sz w:val="16"/>
              </w:rPr>
              <w:t>Ухудшение АГ на фоне беременности, низкие АРП или КРП, низкая КАП</w:t>
            </w:r>
          </w:p>
        </w:tc>
        <w:tc>
          <w:tcPr>
            <w:tcW w:w="2881" w:type="dxa"/>
          </w:tcPr>
          <w:p>
            <w:pPr>
              <w:pStyle w:val="TableParagraph"/>
              <w:tabs>
                <w:tab w:pos="1933" w:val="left" w:leader="none"/>
                <w:tab w:pos="2513" w:val="left" w:leader="none"/>
              </w:tabs>
              <w:spacing w:line="204" w:lineRule="auto" w:before="161"/>
              <w:ind w:right="140"/>
              <w:rPr>
                <w:sz w:val="16"/>
              </w:rPr>
            </w:pPr>
            <w:r>
              <w:rPr>
                <w:w w:val="105"/>
                <w:sz w:val="16"/>
              </w:rPr>
              <w:t>Агонистическое</w:t>
              <w:tab/>
            </w:r>
            <w:r>
              <w:rPr>
                <w:sz w:val="16"/>
              </w:rPr>
              <w:t>действие </w:t>
            </w:r>
            <w:r>
              <w:rPr>
                <w:w w:val="105"/>
                <w:sz w:val="16"/>
              </w:rPr>
              <w:t>прогестерона</w:t>
              <w:tab/>
              <w:tab/>
            </w:r>
            <w:r>
              <w:rPr>
                <w:spacing w:val="-9"/>
                <w:w w:val="105"/>
                <w:sz w:val="16"/>
              </w:rPr>
              <w:t>на </w:t>
            </w:r>
            <w:r>
              <w:rPr>
                <w:w w:val="105"/>
                <w:sz w:val="16"/>
              </w:rPr>
              <w:t>минералокортикоидные рецепторы</w:t>
            </w:r>
          </w:p>
        </w:tc>
      </w:tr>
      <w:tr>
        <w:trPr>
          <w:trHeight w:val="955" w:hRule="atLeast"/>
        </w:trPr>
        <w:tc>
          <w:tcPr>
            <w:tcW w:w="2821" w:type="dxa"/>
          </w:tcPr>
          <w:p>
            <w:pPr>
              <w:pStyle w:val="TableParagraph"/>
              <w:spacing w:line="204" w:lineRule="auto" w:before="161"/>
              <w:ind w:right="142"/>
              <w:rPr>
                <w:sz w:val="16"/>
              </w:rPr>
            </w:pPr>
            <w:r>
              <w:rPr>
                <w:w w:val="105"/>
                <w:sz w:val="16"/>
              </w:rPr>
              <w:t>Излечимый </w:t>
            </w:r>
            <w:r>
              <w:rPr>
                <w:sz w:val="16"/>
              </w:rPr>
              <w:t>глюкокортикоидами </w:t>
            </w:r>
            <w:r>
              <w:rPr>
                <w:w w:val="105"/>
                <w:sz w:val="16"/>
              </w:rPr>
              <w:t>альдостеронизм</w:t>
            </w:r>
          </w:p>
        </w:tc>
        <w:tc>
          <w:tcPr>
            <w:tcW w:w="2731" w:type="dxa"/>
          </w:tcPr>
          <w:p>
            <w:pPr>
              <w:pStyle w:val="TableParagraph"/>
              <w:tabs>
                <w:tab w:pos="1007" w:val="left" w:leader="none"/>
                <w:tab w:pos="1596" w:val="left" w:leader="none"/>
                <w:tab w:pos="1822" w:val="left" w:leader="none"/>
                <w:tab w:pos="2163" w:val="left" w:leader="none"/>
              </w:tabs>
              <w:spacing w:line="204" w:lineRule="auto" w:before="161"/>
              <w:ind w:right="138"/>
              <w:rPr>
                <w:sz w:val="16"/>
              </w:rPr>
            </w:pPr>
            <w:r>
              <w:rPr>
                <w:w w:val="105"/>
                <w:sz w:val="16"/>
              </w:rPr>
              <w:t>Гипокалиемия, метаболический</w:t>
              <w:tab/>
              <w:tab/>
            </w:r>
            <w:r>
              <w:rPr>
                <w:spacing w:val="-3"/>
                <w:w w:val="105"/>
                <w:sz w:val="16"/>
              </w:rPr>
              <w:t>алкалоз, </w:t>
            </w:r>
            <w:r>
              <w:rPr>
                <w:w w:val="105"/>
                <w:sz w:val="16"/>
              </w:rPr>
              <w:t>низкие</w:t>
              <w:tab/>
              <w:t>АРП</w:t>
              <w:tab/>
              <w:t>или</w:t>
              <w:tab/>
              <w:t>КРП, повышенная</w:t>
            </w:r>
            <w:r>
              <w:rPr>
                <w:spacing w:val="-4"/>
                <w:w w:val="105"/>
                <w:sz w:val="16"/>
              </w:rPr>
              <w:t> </w:t>
            </w:r>
            <w:r>
              <w:rPr>
                <w:w w:val="105"/>
                <w:sz w:val="16"/>
              </w:rPr>
              <w:t>КАП</w:t>
            </w:r>
          </w:p>
        </w:tc>
        <w:tc>
          <w:tcPr>
            <w:tcW w:w="2881" w:type="dxa"/>
          </w:tcPr>
          <w:p>
            <w:pPr>
              <w:pStyle w:val="TableParagraph"/>
              <w:spacing w:line="180" w:lineRule="exact"/>
              <w:rPr>
                <w:sz w:val="16"/>
              </w:rPr>
            </w:pPr>
            <w:r>
              <w:rPr>
                <w:w w:val="105"/>
                <w:sz w:val="16"/>
              </w:rPr>
              <w:t>Химеризация гена CYP11β1</w:t>
            </w:r>
          </w:p>
          <w:p>
            <w:pPr>
              <w:pStyle w:val="TableParagraph"/>
              <w:tabs>
                <w:tab w:pos="573" w:val="left" w:leader="none"/>
                <w:tab w:pos="1635" w:val="left" w:leader="none"/>
                <w:tab w:pos="2533" w:val="left" w:leader="none"/>
              </w:tabs>
              <w:spacing w:line="204" w:lineRule="auto" w:before="10"/>
              <w:ind w:right="142"/>
              <w:rPr>
                <w:sz w:val="16"/>
              </w:rPr>
            </w:pPr>
            <w:r>
              <w:rPr>
                <w:w w:val="105"/>
                <w:sz w:val="16"/>
              </w:rPr>
              <w:t>—</w:t>
              <w:tab/>
              <w:t>CYP11β2;</w:t>
              <w:tab/>
              <w:t>эффект</w:t>
              <w:tab/>
            </w:r>
            <w:r>
              <w:rPr>
                <w:spacing w:val="-9"/>
                <w:w w:val="105"/>
                <w:sz w:val="16"/>
              </w:rPr>
              <w:t>от </w:t>
            </w:r>
            <w:r>
              <w:rPr>
                <w:w w:val="105"/>
                <w:sz w:val="16"/>
              </w:rPr>
              <w:t>применения глюкокортикоидов</w:t>
            </w:r>
          </w:p>
        </w:tc>
      </w:tr>
    </w:tbl>
    <w:p>
      <w:pPr>
        <w:pStyle w:val="BodyText"/>
        <w:tabs>
          <w:tab w:pos="1155" w:val="left" w:leader="none"/>
          <w:tab w:pos="1629" w:val="left" w:leader="none"/>
          <w:tab w:pos="3293" w:val="left" w:leader="none"/>
          <w:tab w:pos="4449" w:val="left" w:leader="none"/>
          <w:tab w:pos="5736" w:val="left" w:leader="none"/>
          <w:tab w:pos="6518" w:val="left" w:leader="none"/>
          <w:tab w:pos="6992" w:val="left" w:leader="none"/>
        </w:tabs>
        <w:spacing w:line="256" w:lineRule="auto" w:before="16"/>
        <w:ind w:left="380" w:right="142"/>
        <w:jc w:val="left"/>
      </w:pPr>
      <w:r>
        <w:rPr/>
        <w:t>АРП</w:t>
        <w:tab/>
        <w:t>—</w:t>
        <w:tab/>
        <w:t>активность</w:t>
        <w:tab/>
        <w:t>ренина</w:t>
        <w:tab/>
        <w:t>плазмы,</w:t>
        <w:tab/>
      </w:r>
      <w:r>
        <w:rPr>
          <w:spacing w:val="-3"/>
        </w:rPr>
        <w:t>КАП</w:t>
        <w:tab/>
      </w:r>
      <w:r>
        <w:rPr/>
        <w:t>—</w:t>
        <w:tab/>
      </w:r>
      <w:r>
        <w:rPr>
          <w:spacing w:val="-3"/>
        </w:rPr>
        <w:t>концентрация </w:t>
      </w:r>
      <w:r>
        <w:rPr/>
        <w:t>альдостерона плазмы, КРП — концентрация ренина</w:t>
      </w:r>
      <w:r>
        <w:rPr>
          <w:spacing w:val="-29"/>
        </w:rPr>
        <w:t> </w:t>
      </w:r>
      <w:r>
        <w:rPr/>
        <w:t>плазмы.</w:t>
      </w:r>
    </w:p>
    <w:p>
      <w:pPr>
        <w:spacing w:after="0" w:line="256" w:lineRule="auto"/>
        <w:jc w:val="left"/>
        <w:sectPr>
          <w:pgSz w:w="11900" w:h="16840"/>
          <w:pgMar w:top="0" w:bottom="280" w:left="1420" w:right="1520"/>
        </w:sectPr>
      </w:pPr>
    </w:p>
    <w:p>
      <w:pPr>
        <w:pStyle w:val="Heading3"/>
        <w:spacing w:line="256" w:lineRule="auto" w:before="16"/>
        <w:ind w:left="380" w:right="128"/>
        <w:jc w:val="both"/>
      </w:pPr>
      <w:r>
        <w:rPr/>
        <w:pict>
          <v:shape style="position:absolute;margin-left:90.037003pt;margin-top:841.849976pt;width:422.45pt;height:.1pt;mso-position-horizontal-relative:page;mso-position-vertical-relative:page;z-index:15980544" coordorigin="1801,16837" coordsize="8449,1" path="m10249,16837l10234,16837,1816,16837,1801,16837,1816,16837,10234,16837,10249,16837xe" filled="true" fillcolor="#000000" stroked="false">
            <v:path arrowok="t"/>
            <v:fill type="solid"/>
            <w10:wrap type="none"/>
          </v:shape>
        </w:pict>
      </w:r>
      <w:r>
        <w:rPr/>
        <w:t>Таблица П3/Г5. Лекарственные препараты и другие субстанции, приводящие к повышению артериального давления</w:t>
      </w:r>
    </w:p>
    <w:p>
      <w:pPr>
        <w:pStyle w:val="BodyText"/>
        <w:spacing w:before="12"/>
        <w:ind w:left="0"/>
        <w:jc w:val="left"/>
        <w:rPr>
          <w:b/>
          <w:sz w:val="18"/>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66"/>
        <w:gridCol w:w="5267"/>
      </w:tblGrid>
      <w:tr>
        <w:trPr>
          <w:trHeight w:val="460" w:hRule="atLeast"/>
        </w:trPr>
        <w:tc>
          <w:tcPr>
            <w:tcW w:w="8433" w:type="dxa"/>
            <w:gridSpan w:val="2"/>
          </w:tcPr>
          <w:p>
            <w:pPr>
              <w:pStyle w:val="TableParagraph"/>
              <w:rPr>
                <w:b/>
                <w:sz w:val="16"/>
              </w:rPr>
            </w:pPr>
            <w:r>
              <w:rPr>
                <w:b/>
                <w:w w:val="105"/>
                <w:sz w:val="16"/>
              </w:rPr>
              <w:t>Препарат/субстанция</w:t>
            </w:r>
          </w:p>
        </w:tc>
      </w:tr>
      <w:tr>
        <w:trPr>
          <w:trHeight w:val="625" w:hRule="atLeast"/>
        </w:trPr>
        <w:tc>
          <w:tcPr>
            <w:tcW w:w="3166" w:type="dxa"/>
          </w:tcPr>
          <w:p>
            <w:pPr>
              <w:pStyle w:val="TableParagraph"/>
              <w:rPr>
                <w:sz w:val="16"/>
              </w:rPr>
            </w:pPr>
            <w:r>
              <w:rPr>
                <w:w w:val="105"/>
                <w:sz w:val="16"/>
              </w:rPr>
              <w:t>Оральные контрацептивы</w:t>
            </w:r>
          </w:p>
        </w:tc>
        <w:tc>
          <w:tcPr>
            <w:tcW w:w="5267" w:type="dxa"/>
          </w:tcPr>
          <w:p>
            <w:pPr>
              <w:pStyle w:val="TableParagraph"/>
              <w:spacing w:line="204" w:lineRule="auto" w:before="161"/>
              <w:rPr>
                <w:sz w:val="16"/>
              </w:rPr>
            </w:pPr>
            <w:r>
              <w:rPr>
                <w:w w:val="105"/>
                <w:sz w:val="16"/>
              </w:rPr>
              <w:t>Особенно с содержанием эстрогенов; вызывают АГ ~ у 5% женщин, обычно легкую, но возможна и тяжелая</w:t>
            </w:r>
          </w:p>
        </w:tc>
      </w:tr>
      <w:tr>
        <w:trPr>
          <w:trHeight w:val="460" w:hRule="atLeast"/>
        </w:trPr>
        <w:tc>
          <w:tcPr>
            <w:tcW w:w="3166" w:type="dxa"/>
          </w:tcPr>
          <w:p>
            <w:pPr>
              <w:pStyle w:val="TableParagraph"/>
              <w:rPr>
                <w:sz w:val="16"/>
              </w:rPr>
            </w:pPr>
            <w:r>
              <w:rPr>
                <w:w w:val="105"/>
                <w:sz w:val="16"/>
              </w:rPr>
              <w:t>Препараты для снижения веса</w:t>
            </w:r>
          </w:p>
        </w:tc>
        <w:tc>
          <w:tcPr>
            <w:tcW w:w="5267" w:type="dxa"/>
          </w:tcPr>
          <w:p>
            <w:pPr>
              <w:pStyle w:val="TableParagraph"/>
              <w:rPr>
                <w:sz w:val="16"/>
              </w:rPr>
            </w:pPr>
            <w:r>
              <w:rPr>
                <w:w w:val="105"/>
                <w:sz w:val="16"/>
              </w:rPr>
              <w:t>Например, фенилпропаноламин и сибутрамин</w:t>
            </w:r>
          </w:p>
        </w:tc>
      </w:tr>
      <w:tr>
        <w:trPr>
          <w:trHeight w:val="625" w:hRule="atLeast"/>
        </w:trPr>
        <w:tc>
          <w:tcPr>
            <w:tcW w:w="3166" w:type="dxa"/>
          </w:tcPr>
          <w:p>
            <w:pPr>
              <w:pStyle w:val="TableParagraph"/>
              <w:tabs>
                <w:tab w:pos="1588" w:val="left" w:leader="none"/>
              </w:tabs>
              <w:spacing w:line="204" w:lineRule="auto" w:before="161"/>
              <w:ind w:right="146"/>
              <w:rPr>
                <w:sz w:val="16"/>
              </w:rPr>
            </w:pPr>
            <w:r>
              <w:rPr>
                <w:w w:val="105"/>
                <w:sz w:val="16"/>
              </w:rPr>
              <w:t>Назальные</w:t>
              <w:tab/>
            </w:r>
            <w:r>
              <w:rPr>
                <w:spacing w:val="-1"/>
                <w:sz w:val="16"/>
              </w:rPr>
              <w:t>противоотечные </w:t>
            </w:r>
            <w:r>
              <w:rPr>
                <w:w w:val="105"/>
                <w:sz w:val="16"/>
              </w:rPr>
              <w:t>препараты</w:t>
            </w:r>
          </w:p>
        </w:tc>
        <w:tc>
          <w:tcPr>
            <w:tcW w:w="5267" w:type="dxa"/>
          </w:tcPr>
          <w:p>
            <w:pPr>
              <w:pStyle w:val="TableParagraph"/>
              <w:spacing w:line="204" w:lineRule="auto" w:before="161"/>
              <w:rPr>
                <w:sz w:val="16"/>
              </w:rPr>
            </w:pPr>
            <w:r>
              <w:rPr>
                <w:w w:val="105"/>
                <w:sz w:val="16"/>
              </w:rPr>
              <w:t>Например, фенилэфрина гидрохлорид и нафазолина гидрохлорид</w:t>
            </w:r>
          </w:p>
        </w:tc>
      </w:tr>
      <w:tr>
        <w:trPr>
          <w:trHeight w:val="625" w:hRule="atLeast"/>
        </w:trPr>
        <w:tc>
          <w:tcPr>
            <w:tcW w:w="3166" w:type="dxa"/>
          </w:tcPr>
          <w:p>
            <w:pPr>
              <w:pStyle w:val="TableParagraph"/>
              <w:rPr>
                <w:sz w:val="16"/>
              </w:rPr>
            </w:pPr>
            <w:r>
              <w:rPr>
                <w:w w:val="105"/>
                <w:sz w:val="16"/>
              </w:rPr>
              <w:t>Стимуляторы</w:t>
            </w:r>
          </w:p>
        </w:tc>
        <w:tc>
          <w:tcPr>
            <w:tcW w:w="5267" w:type="dxa"/>
          </w:tcPr>
          <w:p>
            <w:pPr>
              <w:pStyle w:val="TableParagraph"/>
              <w:tabs>
                <w:tab w:pos="1541" w:val="left" w:leader="none"/>
                <w:tab w:pos="2430" w:val="left" w:leader="none"/>
                <w:tab w:pos="3377" w:val="left" w:leader="none"/>
                <w:tab w:pos="4238" w:val="left" w:leader="none"/>
              </w:tabs>
              <w:spacing w:line="204" w:lineRule="auto" w:before="161"/>
              <w:ind w:right="141"/>
              <w:rPr>
                <w:sz w:val="16"/>
              </w:rPr>
            </w:pPr>
            <w:r>
              <w:rPr>
                <w:w w:val="105"/>
                <w:sz w:val="16"/>
              </w:rPr>
              <w:t>Амфетамины,</w:t>
              <w:tab/>
              <w:t>кокаин,</w:t>
              <w:tab/>
              <w:t>экстази;</w:t>
              <w:tab/>
              <w:t>обычно</w:t>
              <w:tab/>
            </w:r>
            <w:r>
              <w:rPr>
                <w:spacing w:val="-3"/>
                <w:w w:val="105"/>
                <w:sz w:val="16"/>
              </w:rPr>
              <w:t>вызывают </w:t>
            </w:r>
            <w:r>
              <w:rPr>
                <w:w w:val="105"/>
                <w:sz w:val="16"/>
              </w:rPr>
              <w:t>острый подъем АД, а не хроническую</w:t>
            </w:r>
            <w:r>
              <w:rPr>
                <w:spacing w:val="-22"/>
                <w:w w:val="105"/>
                <w:sz w:val="16"/>
              </w:rPr>
              <w:t> </w:t>
            </w:r>
            <w:r>
              <w:rPr>
                <w:w w:val="105"/>
                <w:sz w:val="16"/>
              </w:rPr>
              <w:t>АГ</w:t>
            </w:r>
          </w:p>
        </w:tc>
      </w:tr>
      <w:tr>
        <w:trPr>
          <w:trHeight w:val="1120" w:hRule="atLeast"/>
        </w:trPr>
        <w:tc>
          <w:tcPr>
            <w:tcW w:w="3166" w:type="dxa"/>
          </w:tcPr>
          <w:p>
            <w:pPr>
              <w:pStyle w:val="TableParagraph"/>
              <w:rPr>
                <w:sz w:val="16"/>
              </w:rPr>
            </w:pPr>
            <w:r>
              <w:rPr>
                <w:w w:val="105"/>
                <w:sz w:val="16"/>
              </w:rPr>
              <w:t>Лакрица</w:t>
            </w:r>
          </w:p>
        </w:tc>
        <w:tc>
          <w:tcPr>
            <w:tcW w:w="5267" w:type="dxa"/>
          </w:tcPr>
          <w:p>
            <w:pPr>
              <w:pStyle w:val="TableParagraph"/>
              <w:spacing w:line="204" w:lineRule="auto" w:before="161"/>
              <w:ind w:right="138"/>
              <w:jc w:val="both"/>
              <w:rPr>
                <w:sz w:val="16"/>
              </w:rPr>
            </w:pPr>
            <w:r>
              <w:rPr>
                <w:w w:val="105"/>
                <w:sz w:val="16"/>
              </w:rPr>
              <w:t>Хроническое избыточное употребление лакрицы приводит к проявлениям, похожим на гиперальдостеронизм за счет стимуляции минералокортикоидных рецепторов и угнетения метаболизма кортизола</w:t>
            </w:r>
          </w:p>
        </w:tc>
      </w:tr>
      <w:tr>
        <w:trPr>
          <w:trHeight w:val="955" w:hRule="atLeast"/>
        </w:trPr>
        <w:tc>
          <w:tcPr>
            <w:tcW w:w="3166" w:type="dxa"/>
          </w:tcPr>
          <w:p>
            <w:pPr>
              <w:pStyle w:val="TableParagraph"/>
              <w:rPr>
                <w:sz w:val="16"/>
              </w:rPr>
            </w:pPr>
            <w:r>
              <w:rPr>
                <w:w w:val="105"/>
                <w:sz w:val="16"/>
              </w:rPr>
              <w:t>Иммуносупрессанты</w:t>
            </w:r>
          </w:p>
        </w:tc>
        <w:tc>
          <w:tcPr>
            <w:tcW w:w="5267" w:type="dxa"/>
          </w:tcPr>
          <w:p>
            <w:pPr>
              <w:pStyle w:val="TableParagraph"/>
              <w:spacing w:line="204" w:lineRule="auto" w:before="161"/>
              <w:ind w:right="138"/>
              <w:jc w:val="both"/>
              <w:rPr>
                <w:sz w:val="16"/>
              </w:rPr>
            </w:pPr>
            <w:r>
              <w:rPr>
                <w:w w:val="105"/>
                <w:sz w:val="16"/>
              </w:rPr>
              <w:t>Например, циклоспорин А (такролимус оказывает меньшее действие на АД, а рапамицин практически его не имеет) и стероиды (например, кортикостероиды и гидрокортизон)</w:t>
            </w:r>
          </w:p>
        </w:tc>
      </w:tr>
      <w:tr>
        <w:trPr>
          <w:trHeight w:val="790" w:hRule="atLeast"/>
        </w:trPr>
        <w:tc>
          <w:tcPr>
            <w:tcW w:w="3166" w:type="dxa"/>
          </w:tcPr>
          <w:p>
            <w:pPr>
              <w:pStyle w:val="TableParagraph"/>
              <w:spacing w:line="204" w:lineRule="auto" w:before="161"/>
              <w:ind w:right="146"/>
              <w:rPr>
                <w:sz w:val="16"/>
              </w:rPr>
            </w:pPr>
            <w:r>
              <w:rPr>
                <w:w w:val="105"/>
                <w:sz w:val="16"/>
              </w:rPr>
              <w:t>Нестероидные </w:t>
            </w:r>
            <w:r>
              <w:rPr>
                <w:sz w:val="16"/>
              </w:rPr>
              <w:t>противовоспалительные </w:t>
            </w:r>
            <w:r>
              <w:rPr>
                <w:w w:val="105"/>
                <w:sz w:val="16"/>
              </w:rPr>
              <w:t>препараты</w:t>
            </w:r>
          </w:p>
        </w:tc>
        <w:tc>
          <w:tcPr>
            <w:tcW w:w="5267" w:type="dxa"/>
          </w:tcPr>
          <w:p>
            <w:pPr>
              <w:pStyle w:val="TableParagraph"/>
              <w:spacing w:before="0"/>
              <w:ind w:left="0"/>
              <w:rPr>
                <w:rFonts w:ascii="Times New Roman"/>
                <w:sz w:val="16"/>
              </w:rPr>
            </w:pPr>
          </w:p>
        </w:tc>
      </w:tr>
      <w:tr>
        <w:trPr>
          <w:trHeight w:val="790" w:hRule="atLeast"/>
        </w:trPr>
        <w:tc>
          <w:tcPr>
            <w:tcW w:w="3166" w:type="dxa"/>
          </w:tcPr>
          <w:p>
            <w:pPr>
              <w:pStyle w:val="TableParagraph"/>
              <w:spacing w:line="204" w:lineRule="auto" w:before="161"/>
              <w:rPr>
                <w:sz w:val="16"/>
              </w:rPr>
            </w:pPr>
            <w:r>
              <w:rPr>
                <w:w w:val="105"/>
                <w:sz w:val="16"/>
              </w:rPr>
              <w:t>Антиангиогенные </w:t>
            </w:r>
            <w:r>
              <w:rPr>
                <w:sz w:val="16"/>
              </w:rPr>
              <w:t>противоопухолевые препараты</w:t>
            </w:r>
          </w:p>
        </w:tc>
        <w:tc>
          <w:tcPr>
            <w:tcW w:w="5267" w:type="dxa"/>
          </w:tcPr>
          <w:p>
            <w:pPr>
              <w:pStyle w:val="TableParagraph"/>
              <w:spacing w:line="204" w:lineRule="auto" w:before="161"/>
              <w:ind w:right="141"/>
              <w:jc w:val="both"/>
              <w:rPr>
                <w:sz w:val="16"/>
              </w:rPr>
            </w:pPr>
            <w:r>
              <w:rPr>
                <w:w w:val="105"/>
                <w:sz w:val="16"/>
              </w:rPr>
              <w:t>Например, ингибиторы эндотелиального сосудистого фактора роста (бевацизумаб), ингибиторы тирозинкиназы (сунитиниб) и сорафениб</w:t>
            </w:r>
          </w:p>
        </w:tc>
      </w:tr>
      <w:tr>
        <w:trPr>
          <w:trHeight w:val="625" w:hRule="atLeast"/>
        </w:trPr>
        <w:tc>
          <w:tcPr>
            <w:tcW w:w="3166" w:type="dxa"/>
          </w:tcPr>
          <w:p>
            <w:pPr>
              <w:pStyle w:val="TableParagraph"/>
              <w:spacing w:line="204" w:lineRule="auto" w:before="161"/>
              <w:ind w:right="70"/>
              <w:rPr>
                <w:sz w:val="16"/>
              </w:rPr>
            </w:pPr>
            <w:r>
              <w:rPr>
                <w:w w:val="105"/>
                <w:sz w:val="16"/>
              </w:rPr>
              <w:t>Другие препараты и субстанции, способные повышать АД</w:t>
            </w:r>
          </w:p>
        </w:tc>
        <w:tc>
          <w:tcPr>
            <w:tcW w:w="5267" w:type="dxa"/>
          </w:tcPr>
          <w:p>
            <w:pPr>
              <w:pStyle w:val="TableParagraph"/>
              <w:spacing w:line="204" w:lineRule="auto" w:before="161"/>
              <w:rPr>
                <w:sz w:val="16"/>
              </w:rPr>
            </w:pPr>
            <w:r>
              <w:rPr>
                <w:w w:val="105"/>
                <w:sz w:val="16"/>
              </w:rPr>
              <w:t>Анаболические стероиды, эритропоэтин, растительные препараты (эфедра и марихуана)</w:t>
            </w:r>
          </w:p>
        </w:tc>
      </w:tr>
    </w:tbl>
    <w:p>
      <w:pPr>
        <w:pStyle w:val="BodyText"/>
        <w:spacing w:before="2"/>
        <w:ind w:left="0"/>
        <w:jc w:val="left"/>
        <w:rPr>
          <w:b/>
          <w:sz w:val="50"/>
        </w:rPr>
      </w:pPr>
    </w:p>
    <w:p>
      <w:pPr>
        <w:spacing w:line="256" w:lineRule="auto" w:before="0"/>
        <w:ind w:left="380" w:right="134" w:firstLine="0"/>
        <w:jc w:val="both"/>
        <w:rPr>
          <w:b/>
          <w:sz w:val="27"/>
        </w:rPr>
      </w:pPr>
      <w:r>
        <w:rPr>
          <w:b/>
          <w:sz w:val="27"/>
        </w:rPr>
        <w:t>Таблица П4/Г5. Мероприятия, которые могут повысить приверженность пациентов с артериальной гипертензией к лекарственной терапии</w:t>
      </w:r>
    </w:p>
    <w:p>
      <w:pPr>
        <w:pStyle w:val="BodyText"/>
        <w:spacing w:before="0"/>
        <w:ind w:left="0"/>
        <w:jc w:val="left"/>
        <w:rPr>
          <w:b/>
          <w:sz w:val="20"/>
        </w:rPr>
      </w:pPr>
    </w:p>
    <w:p>
      <w:pPr>
        <w:pStyle w:val="BodyText"/>
        <w:spacing w:before="0"/>
        <w:ind w:left="0"/>
        <w:jc w:val="left"/>
        <w:rPr>
          <w:b/>
          <w:sz w:val="20"/>
        </w:rPr>
      </w:pPr>
    </w:p>
    <w:p>
      <w:pPr>
        <w:pStyle w:val="BodyText"/>
        <w:spacing w:before="11"/>
        <w:ind w:left="0"/>
        <w:jc w:val="left"/>
        <w:rPr>
          <w:b/>
        </w:r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460" w:hRule="atLeast"/>
        </w:trPr>
        <w:tc>
          <w:tcPr>
            <w:tcW w:w="8434" w:type="dxa"/>
          </w:tcPr>
          <w:p>
            <w:pPr>
              <w:pStyle w:val="TableParagraph"/>
              <w:rPr>
                <w:b/>
                <w:sz w:val="16"/>
              </w:rPr>
            </w:pPr>
            <w:r>
              <w:rPr>
                <w:b/>
                <w:w w:val="105"/>
                <w:sz w:val="16"/>
              </w:rPr>
              <w:t>На уровне врача</w:t>
            </w:r>
          </w:p>
        </w:tc>
      </w:tr>
      <w:tr>
        <w:trPr>
          <w:trHeight w:val="1120" w:hRule="atLeast"/>
        </w:trPr>
        <w:tc>
          <w:tcPr>
            <w:tcW w:w="8434" w:type="dxa"/>
          </w:tcPr>
          <w:p>
            <w:pPr>
              <w:pStyle w:val="TableParagraph"/>
              <w:spacing w:line="204" w:lineRule="auto" w:before="161"/>
              <w:ind w:right="139"/>
              <w:jc w:val="both"/>
              <w:rPr>
                <w:sz w:val="16"/>
              </w:rPr>
            </w:pPr>
            <w:r>
              <w:rPr>
                <w:w w:val="105"/>
                <w:sz w:val="16"/>
              </w:rPr>
              <w:t>Предоставление пациенту информации о рисках при АГ и преимуществах терапии, согласование стратегии лечения, направленной на поддержание нормального АД с использованием рекомендаций по изменению образа жизни и назначения фиксированных комбинаций; использование информационных материалов, программ обучения, консультирование с помощью компьютерных технологий</w:t>
            </w:r>
          </w:p>
        </w:tc>
      </w:tr>
      <w:tr>
        <w:trPr>
          <w:trHeight w:val="460" w:hRule="atLeast"/>
        </w:trPr>
        <w:tc>
          <w:tcPr>
            <w:tcW w:w="8434" w:type="dxa"/>
          </w:tcPr>
          <w:p>
            <w:pPr>
              <w:pStyle w:val="TableParagraph"/>
              <w:rPr>
                <w:sz w:val="16"/>
              </w:rPr>
            </w:pPr>
            <w:r>
              <w:rPr>
                <w:w w:val="105"/>
                <w:sz w:val="16"/>
              </w:rPr>
              <w:t>Получение обратной связи в отношении соблюдения рекомендаций и наличия улучшения</w:t>
            </w:r>
          </w:p>
        </w:tc>
      </w:tr>
      <w:tr>
        <w:trPr>
          <w:trHeight w:val="625" w:hRule="atLeast"/>
        </w:trPr>
        <w:tc>
          <w:tcPr>
            <w:tcW w:w="8434" w:type="dxa"/>
          </w:tcPr>
          <w:p>
            <w:pPr>
              <w:pStyle w:val="TableParagraph"/>
              <w:spacing w:line="204" w:lineRule="auto" w:before="161"/>
              <w:ind w:right="70"/>
              <w:rPr>
                <w:sz w:val="16"/>
              </w:rPr>
            </w:pPr>
            <w:r>
              <w:rPr>
                <w:w w:val="105"/>
                <w:sz w:val="16"/>
              </w:rPr>
              <w:t>Оценка и разрешение индивидуальных проблем, препятствующих высокой приверженности к лечению</w:t>
            </w:r>
          </w:p>
        </w:tc>
      </w:tr>
      <w:tr>
        <w:trPr>
          <w:trHeight w:val="460" w:hRule="atLeast"/>
        </w:trPr>
        <w:tc>
          <w:tcPr>
            <w:tcW w:w="8434" w:type="dxa"/>
          </w:tcPr>
          <w:p>
            <w:pPr>
              <w:pStyle w:val="TableParagraph"/>
              <w:rPr>
                <w:sz w:val="16"/>
              </w:rPr>
            </w:pPr>
            <w:r>
              <w:rPr>
                <w:w w:val="105"/>
                <w:sz w:val="16"/>
              </w:rPr>
              <w:t>Сотрудничество с другими медицинскими сотрудниками</w:t>
            </w:r>
          </w:p>
        </w:tc>
      </w:tr>
      <w:tr>
        <w:trPr>
          <w:trHeight w:val="460" w:hRule="atLeast"/>
        </w:trPr>
        <w:tc>
          <w:tcPr>
            <w:tcW w:w="8434" w:type="dxa"/>
          </w:tcPr>
          <w:p>
            <w:pPr>
              <w:pStyle w:val="TableParagraph"/>
              <w:rPr>
                <w:b/>
                <w:sz w:val="16"/>
              </w:rPr>
            </w:pPr>
            <w:r>
              <w:rPr>
                <w:b/>
                <w:w w:val="105"/>
                <w:sz w:val="16"/>
              </w:rPr>
              <w:t>На уровне пациента</w:t>
            </w:r>
          </w:p>
        </w:tc>
      </w:tr>
      <w:tr>
        <w:trPr>
          <w:trHeight w:val="460" w:hRule="atLeast"/>
        </w:trPr>
        <w:tc>
          <w:tcPr>
            <w:tcW w:w="8434" w:type="dxa"/>
          </w:tcPr>
          <w:p>
            <w:pPr>
              <w:pStyle w:val="TableParagraph"/>
              <w:rPr>
                <w:sz w:val="16"/>
              </w:rPr>
            </w:pPr>
            <w:r>
              <w:rPr>
                <w:w w:val="105"/>
                <w:sz w:val="16"/>
              </w:rPr>
              <w:t>Самоконтроль АД (в том числе телемониторирование)</w:t>
            </w:r>
          </w:p>
        </w:tc>
      </w:tr>
      <w:tr>
        <w:trPr>
          <w:trHeight w:val="460" w:hRule="atLeast"/>
        </w:trPr>
        <w:tc>
          <w:tcPr>
            <w:tcW w:w="8434" w:type="dxa"/>
          </w:tcPr>
          <w:p>
            <w:pPr>
              <w:pStyle w:val="TableParagraph"/>
              <w:rPr>
                <w:sz w:val="16"/>
              </w:rPr>
            </w:pPr>
            <w:r>
              <w:rPr>
                <w:w w:val="105"/>
                <w:sz w:val="16"/>
              </w:rPr>
              <w:t>Групповые занятия и тренинги</w:t>
            </w:r>
          </w:p>
        </w:tc>
      </w:tr>
      <w:tr>
        <w:trPr>
          <w:trHeight w:val="460" w:hRule="atLeast"/>
        </w:trPr>
        <w:tc>
          <w:tcPr>
            <w:tcW w:w="8434" w:type="dxa"/>
          </w:tcPr>
          <w:p>
            <w:pPr>
              <w:pStyle w:val="TableParagraph"/>
              <w:rPr>
                <w:sz w:val="16"/>
              </w:rPr>
            </w:pPr>
            <w:r>
              <w:rPr>
                <w:w w:val="105"/>
                <w:sz w:val="16"/>
              </w:rPr>
              <w:t>Рекомендации в сочетании с мотивационными стратегиями</w:t>
            </w:r>
          </w:p>
        </w:tc>
      </w:tr>
    </w:tbl>
    <w:p>
      <w:pPr>
        <w:spacing w:after="0"/>
        <w:rPr>
          <w:sz w:val="16"/>
        </w:rPr>
        <w:sectPr>
          <w:pgSz w:w="11900" w:h="16840"/>
          <w:pgMar w:top="0" w:bottom="0" w:left="1420" w:right="1520"/>
        </w:sectPr>
      </w:pPr>
    </w:p>
    <w:tbl>
      <w:tblPr>
        <w:tblW w:w="0" w:type="auto"/>
        <w:jc w:val="left"/>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34"/>
      </w:tblGrid>
      <w:tr>
        <w:trPr>
          <w:trHeight w:val="460" w:hRule="atLeast"/>
        </w:trPr>
        <w:tc>
          <w:tcPr>
            <w:tcW w:w="8434" w:type="dxa"/>
          </w:tcPr>
          <w:p>
            <w:pPr>
              <w:pStyle w:val="TableParagraph"/>
              <w:rPr>
                <w:sz w:val="16"/>
              </w:rPr>
            </w:pPr>
            <w:r>
              <w:rPr>
                <w:w w:val="105"/>
                <w:sz w:val="16"/>
              </w:rPr>
              <w:t>Использование систем напоминания</w:t>
            </w:r>
          </w:p>
        </w:tc>
      </w:tr>
      <w:tr>
        <w:trPr>
          <w:trHeight w:val="460" w:hRule="atLeast"/>
        </w:trPr>
        <w:tc>
          <w:tcPr>
            <w:tcW w:w="8434" w:type="dxa"/>
          </w:tcPr>
          <w:p>
            <w:pPr>
              <w:pStyle w:val="TableParagraph"/>
              <w:rPr>
                <w:sz w:val="16"/>
              </w:rPr>
            </w:pPr>
            <w:r>
              <w:rPr>
                <w:w w:val="105"/>
                <w:sz w:val="16"/>
              </w:rPr>
              <w:t>Получение поддержки семьи и общества</w:t>
            </w:r>
          </w:p>
        </w:tc>
      </w:tr>
      <w:tr>
        <w:trPr>
          <w:trHeight w:val="460" w:hRule="atLeast"/>
        </w:trPr>
        <w:tc>
          <w:tcPr>
            <w:tcW w:w="8434" w:type="dxa"/>
          </w:tcPr>
          <w:p>
            <w:pPr>
              <w:pStyle w:val="TableParagraph"/>
              <w:rPr>
                <w:sz w:val="16"/>
              </w:rPr>
            </w:pPr>
            <w:r>
              <w:rPr>
                <w:w w:val="105"/>
                <w:sz w:val="16"/>
              </w:rPr>
              <w:t>Обеспечение лекарственными препаратами на рабочем месте</w:t>
            </w:r>
          </w:p>
        </w:tc>
      </w:tr>
      <w:tr>
        <w:trPr>
          <w:trHeight w:val="460" w:hRule="atLeast"/>
        </w:trPr>
        <w:tc>
          <w:tcPr>
            <w:tcW w:w="8434" w:type="dxa"/>
          </w:tcPr>
          <w:p>
            <w:pPr>
              <w:pStyle w:val="TableParagraph"/>
              <w:rPr>
                <w:b/>
                <w:sz w:val="16"/>
              </w:rPr>
            </w:pPr>
            <w:r>
              <w:rPr>
                <w:b/>
                <w:w w:val="105"/>
                <w:sz w:val="16"/>
              </w:rPr>
              <w:t>На уровне лекарственной терапии</w:t>
            </w:r>
          </w:p>
        </w:tc>
      </w:tr>
      <w:tr>
        <w:trPr>
          <w:trHeight w:val="625" w:hRule="atLeast"/>
        </w:trPr>
        <w:tc>
          <w:tcPr>
            <w:tcW w:w="8434" w:type="dxa"/>
          </w:tcPr>
          <w:p>
            <w:pPr>
              <w:pStyle w:val="TableParagraph"/>
              <w:spacing w:line="204" w:lineRule="auto" w:before="161"/>
              <w:rPr>
                <w:sz w:val="16"/>
              </w:rPr>
            </w:pPr>
            <w:r>
              <w:rPr>
                <w:w w:val="105"/>
                <w:sz w:val="16"/>
              </w:rPr>
              <w:t>Упрощение схем приема препарата, предпочтение — фиксированным комбинациям и стратегии «одной таблетки»</w:t>
            </w:r>
          </w:p>
        </w:tc>
      </w:tr>
      <w:tr>
        <w:trPr>
          <w:trHeight w:val="460" w:hRule="atLeast"/>
        </w:trPr>
        <w:tc>
          <w:tcPr>
            <w:tcW w:w="8434" w:type="dxa"/>
          </w:tcPr>
          <w:p>
            <w:pPr>
              <w:pStyle w:val="TableParagraph"/>
              <w:rPr>
                <w:sz w:val="16"/>
              </w:rPr>
            </w:pPr>
            <w:r>
              <w:rPr>
                <w:w w:val="105"/>
                <w:sz w:val="16"/>
              </w:rPr>
              <w:t>Упаковки с системой напоминаний</w:t>
            </w:r>
          </w:p>
        </w:tc>
      </w:tr>
      <w:tr>
        <w:trPr>
          <w:trHeight w:val="460" w:hRule="atLeast"/>
        </w:trPr>
        <w:tc>
          <w:tcPr>
            <w:tcW w:w="8434" w:type="dxa"/>
          </w:tcPr>
          <w:p>
            <w:pPr>
              <w:pStyle w:val="TableParagraph"/>
              <w:rPr>
                <w:b/>
                <w:sz w:val="16"/>
              </w:rPr>
            </w:pPr>
            <w:r>
              <w:rPr>
                <w:b/>
                <w:w w:val="105"/>
                <w:sz w:val="16"/>
              </w:rPr>
              <w:t>На уровне системы здравоохранения</w:t>
            </w:r>
          </w:p>
        </w:tc>
      </w:tr>
      <w:tr>
        <w:trPr>
          <w:trHeight w:val="625" w:hRule="atLeast"/>
        </w:trPr>
        <w:tc>
          <w:tcPr>
            <w:tcW w:w="8434" w:type="dxa"/>
          </w:tcPr>
          <w:p>
            <w:pPr>
              <w:pStyle w:val="TableParagraph"/>
              <w:spacing w:line="204" w:lineRule="auto" w:before="161"/>
              <w:rPr>
                <w:sz w:val="16"/>
              </w:rPr>
            </w:pPr>
            <w:r>
              <w:rPr>
                <w:w w:val="105"/>
                <w:sz w:val="16"/>
              </w:rPr>
              <w:t>Поддержка развития систем мониторирования (телефонные контакты, посещения на дому, телемониторинг результатов домашнего контроля АД)</w:t>
            </w:r>
          </w:p>
        </w:tc>
      </w:tr>
      <w:tr>
        <w:trPr>
          <w:trHeight w:val="625" w:hRule="atLeast"/>
        </w:trPr>
        <w:tc>
          <w:tcPr>
            <w:tcW w:w="8434" w:type="dxa"/>
          </w:tcPr>
          <w:p>
            <w:pPr>
              <w:pStyle w:val="TableParagraph"/>
              <w:spacing w:line="204" w:lineRule="auto" w:before="161"/>
              <w:rPr>
                <w:sz w:val="16"/>
              </w:rPr>
            </w:pPr>
            <w:r>
              <w:rPr>
                <w:w w:val="105"/>
                <w:sz w:val="16"/>
              </w:rPr>
              <w:t>Финансовая поддержка системы взаимодействия между различными представителями системы здравоохранения (например, фармацевты и медицинские сестры)</w:t>
            </w:r>
          </w:p>
        </w:tc>
      </w:tr>
      <w:tr>
        <w:trPr>
          <w:trHeight w:val="460" w:hRule="atLeast"/>
        </w:trPr>
        <w:tc>
          <w:tcPr>
            <w:tcW w:w="8434" w:type="dxa"/>
          </w:tcPr>
          <w:p>
            <w:pPr>
              <w:pStyle w:val="TableParagraph"/>
              <w:rPr>
                <w:sz w:val="16"/>
              </w:rPr>
            </w:pPr>
            <w:r>
              <w:rPr>
                <w:w w:val="105"/>
                <w:sz w:val="16"/>
              </w:rPr>
              <w:t>Система компенсации стратегии «одной таблетки»</w:t>
            </w:r>
          </w:p>
        </w:tc>
      </w:tr>
      <w:tr>
        <w:trPr>
          <w:trHeight w:val="625" w:hRule="atLeast"/>
        </w:trPr>
        <w:tc>
          <w:tcPr>
            <w:tcW w:w="8434" w:type="dxa"/>
          </w:tcPr>
          <w:p>
            <w:pPr>
              <w:pStyle w:val="TableParagraph"/>
              <w:spacing w:line="204" w:lineRule="auto" w:before="161"/>
              <w:rPr>
                <w:sz w:val="16"/>
              </w:rPr>
            </w:pPr>
            <w:r>
              <w:rPr>
                <w:w w:val="105"/>
                <w:sz w:val="16"/>
              </w:rPr>
              <w:t>Развитие национальных баз данных, включая данные о назначении лекарственных препаратов, доступных для врачей и фармацевтов</w:t>
            </w:r>
          </w:p>
        </w:tc>
      </w:tr>
      <w:tr>
        <w:trPr>
          <w:trHeight w:val="460" w:hRule="atLeast"/>
        </w:trPr>
        <w:tc>
          <w:tcPr>
            <w:tcW w:w="8434" w:type="dxa"/>
          </w:tcPr>
          <w:p>
            <w:pPr>
              <w:pStyle w:val="TableParagraph"/>
              <w:rPr>
                <w:sz w:val="16"/>
              </w:rPr>
            </w:pPr>
            <w:r>
              <w:rPr>
                <w:w w:val="105"/>
                <w:sz w:val="16"/>
              </w:rPr>
              <w:t>Доступность препаратов</w:t>
            </w:r>
          </w:p>
        </w:tc>
      </w:tr>
    </w:tbl>
    <w:sectPr>
      <w:pgSz w:w="11900" w:h="16840"/>
      <w:pgMar w:top="0" w:bottom="280" w:left="142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Lucida Sans Unicode">
    <w:altName w:val="Lucida Sans Unicode"/>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0"/>
      <w:numFmt w:val="bullet"/>
      <w:lvlText w:val="-"/>
      <w:lvlJc w:val="left"/>
      <w:pPr>
        <w:ind w:left="545" w:hanging="140"/>
      </w:pPr>
      <w:rPr>
        <w:rFonts w:hint="default" w:ascii="Verdana" w:hAnsi="Verdana" w:eastAsia="Verdana" w:cs="Verdana"/>
        <w:w w:val="103"/>
        <w:sz w:val="16"/>
        <w:szCs w:val="16"/>
        <w:lang w:val="ru-RU" w:eastAsia="en-US" w:bidi="ar-SA"/>
      </w:rPr>
    </w:lvl>
    <w:lvl w:ilvl="1">
      <w:start w:val="0"/>
      <w:numFmt w:val="bullet"/>
      <w:lvlText w:val="-"/>
      <w:lvlJc w:val="left"/>
      <w:pPr>
        <w:ind w:left="4702" w:hanging="689"/>
      </w:pPr>
      <w:rPr>
        <w:rFonts w:hint="default" w:ascii="Verdana" w:hAnsi="Verdana" w:eastAsia="Verdana" w:cs="Verdana"/>
        <w:w w:val="103"/>
        <w:sz w:val="16"/>
        <w:szCs w:val="16"/>
        <w:lang w:val="ru-RU" w:eastAsia="en-US" w:bidi="ar-SA"/>
      </w:rPr>
    </w:lvl>
    <w:lvl w:ilvl="2">
      <w:start w:val="0"/>
      <w:numFmt w:val="bullet"/>
      <w:lvlText w:val="•"/>
      <w:lvlJc w:val="left"/>
      <w:pPr>
        <w:ind w:left="4711" w:hanging="689"/>
      </w:pPr>
      <w:rPr>
        <w:rFonts w:hint="default"/>
        <w:lang w:val="ru-RU" w:eastAsia="en-US" w:bidi="ar-SA"/>
      </w:rPr>
    </w:lvl>
    <w:lvl w:ilvl="3">
      <w:start w:val="0"/>
      <w:numFmt w:val="bullet"/>
      <w:lvlText w:val="•"/>
      <w:lvlJc w:val="left"/>
      <w:pPr>
        <w:ind w:left="4722" w:hanging="689"/>
      </w:pPr>
      <w:rPr>
        <w:rFonts w:hint="default"/>
        <w:lang w:val="ru-RU" w:eastAsia="en-US" w:bidi="ar-SA"/>
      </w:rPr>
    </w:lvl>
    <w:lvl w:ilvl="4">
      <w:start w:val="0"/>
      <w:numFmt w:val="bullet"/>
      <w:lvlText w:val="•"/>
      <w:lvlJc w:val="left"/>
      <w:pPr>
        <w:ind w:left="4734" w:hanging="689"/>
      </w:pPr>
      <w:rPr>
        <w:rFonts w:hint="default"/>
        <w:lang w:val="ru-RU" w:eastAsia="en-US" w:bidi="ar-SA"/>
      </w:rPr>
    </w:lvl>
    <w:lvl w:ilvl="5">
      <w:start w:val="0"/>
      <w:numFmt w:val="bullet"/>
      <w:lvlText w:val="•"/>
      <w:lvlJc w:val="left"/>
      <w:pPr>
        <w:ind w:left="4745" w:hanging="689"/>
      </w:pPr>
      <w:rPr>
        <w:rFonts w:hint="default"/>
        <w:lang w:val="ru-RU" w:eastAsia="en-US" w:bidi="ar-SA"/>
      </w:rPr>
    </w:lvl>
    <w:lvl w:ilvl="6">
      <w:start w:val="0"/>
      <w:numFmt w:val="bullet"/>
      <w:lvlText w:val="•"/>
      <w:lvlJc w:val="left"/>
      <w:pPr>
        <w:ind w:left="4757" w:hanging="689"/>
      </w:pPr>
      <w:rPr>
        <w:rFonts w:hint="default"/>
        <w:lang w:val="ru-RU" w:eastAsia="en-US" w:bidi="ar-SA"/>
      </w:rPr>
    </w:lvl>
    <w:lvl w:ilvl="7">
      <w:start w:val="0"/>
      <w:numFmt w:val="bullet"/>
      <w:lvlText w:val="•"/>
      <w:lvlJc w:val="left"/>
      <w:pPr>
        <w:ind w:left="4768" w:hanging="689"/>
      </w:pPr>
      <w:rPr>
        <w:rFonts w:hint="default"/>
        <w:lang w:val="ru-RU" w:eastAsia="en-US" w:bidi="ar-SA"/>
      </w:rPr>
    </w:lvl>
    <w:lvl w:ilvl="8">
      <w:start w:val="0"/>
      <w:numFmt w:val="bullet"/>
      <w:lvlText w:val="•"/>
      <w:lvlJc w:val="left"/>
      <w:pPr>
        <w:ind w:left="4780" w:hanging="689"/>
      </w:pPr>
      <w:rPr>
        <w:rFonts w:hint="default"/>
        <w:lang w:val="ru-RU" w:eastAsia="en-US" w:bidi="ar-SA"/>
      </w:rPr>
    </w:lvl>
  </w:abstractNum>
  <w:abstractNum w:abstractNumId="19">
    <w:multiLevelType w:val="hybridMultilevel"/>
    <w:lvl w:ilvl="0">
      <w:start w:val="0"/>
      <w:numFmt w:val="bullet"/>
      <w:lvlText w:val="-"/>
      <w:lvlJc w:val="left"/>
      <w:pPr>
        <w:ind w:left="154" w:hanging="174"/>
      </w:pPr>
      <w:rPr>
        <w:rFonts w:hint="default" w:ascii="Verdana" w:hAnsi="Verdana" w:eastAsia="Verdana" w:cs="Verdana"/>
        <w:w w:val="103"/>
        <w:sz w:val="16"/>
        <w:szCs w:val="16"/>
        <w:lang w:val="ru-RU" w:eastAsia="en-US" w:bidi="ar-SA"/>
      </w:rPr>
    </w:lvl>
    <w:lvl w:ilvl="1">
      <w:start w:val="0"/>
      <w:numFmt w:val="bullet"/>
      <w:lvlText w:val="•"/>
      <w:lvlJc w:val="left"/>
      <w:pPr>
        <w:ind w:left="569" w:hanging="174"/>
      </w:pPr>
      <w:rPr>
        <w:rFonts w:hint="default"/>
        <w:lang w:val="ru-RU" w:eastAsia="en-US" w:bidi="ar-SA"/>
      </w:rPr>
    </w:lvl>
    <w:lvl w:ilvl="2">
      <w:start w:val="0"/>
      <w:numFmt w:val="bullet"/>
      <w:lvlText w:val="•"/>
      <w:lvlJc w:val="left"/>
      <w:pPr>
        <w:ind w:left="979" w:hanging="174"/>
      </w:pPr>
      <w:rPr>
        <w:rFonts w:hint="default"/>
        <w:lang w:val="ru-RU" w:eastAsia="en-US" w:bidi="ar-SA"/>
      </w:rPr>
    </w:lvl>
    <w:lvl w:ilvl="3">
      <w:start w:val="0"/>
      <w:numFmt w:val="bullet"/>
      <w:lvlText w:val="•"/>
      <w:lvlJc w:val="left"/>
      <w:pPr>
        <w:ind w:left="1389" w:hanging="174"/>
      </w:pPr>
      <w:rPr>
        <w:rFonts w:hint="default"/>
        <w:lang w:val="ru-RU" w:eastAsia="en-US" w:bidi="ar-SA"/>
      </w:rPr>
    </w:lvl>
    <w:lvl w:ilvl="4">
      <w:start w:val="0"/>
      <w:numFmt w:val="bullet"/>
      <w:lvlText w:val="•"/>
      <w:lvlJc w:val="left"/>
      <w:pPr>
        <w:ind w:left="1798" w:hanging="174"/>
      </w:pPr>
      <w:rPr>
        <w:rFonts w:hint="default"/>
        <w:lang w:val="ru-RU" w:eastAsia="en-US" w:bidi="ar-SA"/>
      </w:rPr>
    </w:lvl>
    <w:lvl w:ilvl="5">
      <w:start w:val="0"/>
      <w:numFmt w:val="bullet"/>
      <w:lvlText w:val="•"/>
      <w:lvlJc w:val="left"/>
      <w:pPr>
        <w:ind w:left="2208" w:hanging="174"/>
      </w:pPr>
      <w:rPr>
        <w:rFonts w:hint="default"/>
        <w:lang w:val="ru-RU" w:eastAsia="en-US" w:bidi="ar-SA"/>
      </w:rPr>
    </w:lvl>
    <w:lvl w:ilvl="6">
      <w:start w:val="0"/>
      <w:numFmt w:val="bullet"/>
      <w:lvlText w:val="•"/>
      <w:lvlJc w:val="left"/>
      <w:pPr>
        <w:ind w:left="2618" w:hanging="174"/>
      </w:pPr>
      <w:rPr>
        <w:rFonts w:hint="default"/>
        <w:lang w:val="ru-RU" w:eastAsia="en-US" w:bidi="ar-SA"/>
      </w:rPr>
    </w:lvl>
    <w:lvl w:ilvl="7">
      <w:start w:val="0"/>
      <w:numFmt w:val="bullet"/>
      <w:lvlText w:val="•"/>
      <w:lvlJc w:val="left"/>
      <w:pPr>
        <w:ind w:left="3027" w:hanging="174"/>
      </w:pPr>
      <w:rPr>
        <w:rFonts w:hint="default"/>
        <w:lang w:val="ru-RU" w:eastAsia="en-US" w:bidi="ar-SA"/>
      </w:rPr>
    </w:lvl>
    <w:lvl w:ilvl="8">
      <w:start w:val="0"/>
      <w:numFmt w:val="bullet"/>
      <w:lvlText w:val="•"/>
      <w:lvlJc w:val="left"/>
      <w:pPr>
        <w:ind w:left="3437" w:hanging="174"/>
      </w:pPr>
      <w:rPr>
        <w:rFonts w:hint="default"/>
        <w:lang w:val="ru-RU" w:eastAsia="en-US" w:bidi="ar-SA"/>
      </w:rPr>
    </w:lvl>
  </w:abstractNum>
  <w:abstractNum w:abstractNumId="18">
    <w:multiLevelType w:val="hybridMultilevel"/>
    <w:lvl w:ilvl="0">
      <w:start w:val="0"/>
      <w:numFmt w:val="bullet"/>
      <w:lvlText w:val="—"/>
      <w:lvlJc w:val="left"/>
      <w:pPr>
        <w:ind w:left="937" w:hanging="305"/>
      </w:pPr>
      <w:rPr>
        <w:rFonts w:hint="default" w:ascii="Palatino Linotype" w:hAnsi="Palatino Linotype" w:eastAsia="Palatino Linotype" w:cs="Palatino Linotype"/>
        <w:w w:val="88"/>
        <w:sz w:val="27"/>
        <w:szCs w:val="27"/>
        <w:lang w:val="ru-RU" w:eastAsia="en-US" w:bidi="ar-SA"/>
      </w:rPr>
    </w:lvl>
    <w:lvl w:ilvl="1">
      <w:start w:val="0"/>
      <w:numFmt w:val="bullet"/>
      <w:lvlText w:val="•"/>
      <w:lvlJc w:val="left"/>
      <w:pPr>
        <w:ind w:left="1742" w:hanging="305"/>
      </w:pPr>
      <w:rPr>
        <w:rFonts w:hint="default"/>
        <w:lang w:val="ru-RU" w:eastAsia="en-US" w:bidi="ar-SA"/>
      </w:rPr>
    </w:lvl>
    <w:lvl w:ilvl="2">
      <w:start w:val="0"/>
      <w:numFmt w:val="bullet"/>
      <w:lvlText w:val="•"/>
      <w:lvlJc w:val="left"/>
      <w:pPr>
        <w:ind w:left="2544" w:hanging="305"/>
      </w:pPr>
      <w:rPr>
        <w:rFonts w:hint="default"/>
        <w:lang w:val="ru-RU" w:eastAsia="en-US" w:bidi="ar-SA"/>
      </w:rPr>
    </w:lvl>
    <w:lvl w:ilvl="3">
      <w:start w:val="0"/>
      <w:numFmt w:val="bullet"/>
      <w:lvlText w:val="•"/>
      <w:lvlJc w:val="left"/>
      <w:pPr>
        <w:ind w:left="3346" w:hanging="305"/>
      </w:pPr>
      <w:rPr>
        <w:rFonts w:hint="default"/>
        <w:lang w:val="ru-RU" w:eastAsia="en-US" w:bidi="ar-SA"/>
      </w:rPr>
    </w:lvl>
    <w:lvl w:ilvl="4">
      <w:start w:val="0"/>
      <w:numFmt w:val="bullet"/>
      <w:lvlText w:val="•"/>
      <w:lvlJc w:val="left"/>
      <w:pPr>
        <w:ind w:left="4148" w:hanging="305"/>
      </w:pPr>
      <w:rPr>
        <w:rFonts w:hint="default"/>
        <w:lang w:val="ru-RU" w:eastAsia="en-US" w:bidi="ar-SA"/>
      </w:rPr>
    </w:lvl>
    <w:lvl w:ilvl="5">
      <w:start w:val="0"/>
      <w:numFmt w:val="bullet"/>
      <w:lvlText w:val="•"/>
      <w:lvlJc w:val="left"/>
      <w:pPr>
        <w:ind w:left="4950" w:hanging="305"/>
      </w:pPr>
      <w:rPr>
        <w:rFonts w:hint="default"/>
        <w:lang w:val="ru-RU" w:eastAsia="en-US" w:bidi="ar-SA"/>
      </w:rPr>
    </w:lvl>
    <w:lvl w:ilvl="6">
      <w:start w:val="0"/>
      <w:numFmt w:val="bullet"/>
      <w:lvlText w:val="•"/>
      <w:lvlJc w:val="left"/>
      <w:pPr>
        <w:ind w:left="5752" w:hanging="305"/>
      </w:pPr>
      <w:rPr>
        <w:rFonts w:hint="default"/>
        <w:lang w:val="ru-RU" w:eastAsia="en-US" w:bidi="ar-SA"/>
      </w:rPr>
    </w:lvl>
    <w:lvl w:ilvl="7">
      <w:start w:val="0"/>
      <w:numFmt w:val="bullet"/>
      <w:lvlText w:val="•"/>
      <w:lvlJc w:val="left"/>
      <w:pPr>
        <w:ind w:left="6554" w:hanging="305"/>
      </w:pPr>
      <w:rPr>
        <w:rFonts w:hint="default"/>
        <w:lang w:val="ru-RU" w:eastAsia="en-US" w:bidi="ar-SA"/>
      </w:rPr>
    </w:lvl>
    <w:lvl w:ilvl="8">
      <w:start w:val="0"/>
      <w:numFmt w:val="bullet"/>
      <w:lvlText w:val="•"/>
      <w:lvlJc w:val="left"/>
      <w:pPr>
        <w:ind w:left="7356" w:hanging="305"/>
      </w:pPr>
      <w:rPr>
        <w:rFonts w:hint="default"/>
        <w:lang w:val="ru-RU" w:eastAsia="en-US" w:bidi="ar-SA"/>
      </w:rPr>
    </w:lvl>
  </w:abstractNum>
  <w:abstractNum w:abstractNumId="17">
    <w:multiLevelType w:val="hybridMultilevel"/>
    <w:lvl w:ilvl="0">
      <w:start w:val="1"/>
      <w:numFmt w:val="decimal"/>
      <w:lvlText w:val="%1."/>
      <w:lvlJc w:val="left"/>
      <w:pPr>
        <w:ind w:left="680" w:hanging="286"/>
        <w:jc w:val="left"/>
      </w:pPr>
      <w:rPr>
        <w:rFonts w:hint="default" w:ascii="Palatino Linotype" w:hAnsi="Palatino Linotype" w:eastAsia="Palatino Linotype" w:cs="Palatino Linotype"/>
        <w:spacing w:val="-9"/>
        <w:w w:val="106"/>
        <w:sz w:val="27"/>
        <w:szCs w:val="27"/>
        <w:lang w:val="ru-RU" w:eastAsia="en-US" w:bidi="ar-SA"/>
      </w:rPr>
    </w:lvl>
    <w:lvl w:ilvl="1">
      <w:start w:val="0"/>
      <w:numFmt w:val="bullet"/>
      <w:lvlText w:val="•"/>
      <w:lvlJc w:val="left"/>
      <w:pPr>
        <w:ind w:left="1508" w:hanging="286"/>
      </w:pPr>
      <w:rPr>
        <w:rFonts w:hint="default"/>
        <w:lang w:val="ru-RU" w:eastAsia="en-US" w:bidi="ar-SA"/>
      </w:rPr>
    </w:lvl>
    <w:lvl w:ilvl="2">
      <w:start w:val="0"/>
      <w:numFmt w:val="bullet"/>
      <w:lvlText w:val="•"/>
      <w:lvlJc w:val="left"/>
      <w:pPr>
        <w:ind w:left="2336" w:hanging="286"/>
      </w:pPr>
      <w:rPr>
        <w:rFonts w:hint="default"/>
        <w:lang w:val="ru-RU" w:eastAsia="en-US" w:bidi="ar-SA"/>
      </w:rPr>
    </w:lvl>
    <w:lvl w:ilvl="3">
      <w:start w:val="0"/>
      <w:numFmt w:val="bullet"/>
      <w:lvlText w:val="•"/>
      <w:lvlJc w:val="left"/>
      <w:pPr>
        <w:ind w:left="3164" w:hanging="286"/>
      </w:pPr>
      <w:rPr>
        <w:rFonts w:hint="default"/>
        <w:lang w:val="ru-RU" w:eastAsia="en-US" w:bidi="ar-SA"/>
      </w:rPr>
    </w:lvl>
    <w:lvl w:ilvl="4">
      <w:start w:val="0"/>
      <w:numFmt w:val="bullet"/>
      <w:lvlText w:val="•"/>
      <w:lvlJc w:val="left"/>
      <w:pPr>
        <w:ind w:left="3992" w:hanging="286"/>
      </w:pPr>
      <w:rPr>
        <w:rFonts w:hint="default"/>
        <w:lang w:val="ru-RU" w:eastAsia="en-US" w:bidi="ar-SA"/>
      </w:rPr>
    </w:lvl>
    <w:lvl w:ilvl="5">
      <w:start w:val="0"/>
      <w:numFmt w:val="bullet"/>
      <w:lvlText w:val="•"/>
      <w:lvlJc w:val="left"/>
      <w:pPr>
        <w:ind w:left="4820" w:hanging="286"/>
      </w:pPr>
      <w:rPr>
        <w:rFonts w:hint="default"/>
        <w:lang w:val="ru-RU" w:eastAsia="en-US" w:bidi="ar-SA"/>
      </w:rPr>
    </w:lvl>
    <w:lvl w:ilvl="6">
      <w:start w:val="0"/>
      <w:numFmt w:val="bullet"/>
      <w:lvlText w:val="•"/>
      <w:lvlJc w:val="left"/>
      <w:pPr>
        <w:ind w:left="5648" w:hanging="286"/>
      </w:pPr>
      <w:rPr>
        <w:rFonts w:hint="default"/>
        <w:lang w:val="ru-RU" w:eastAsia="en-US" w:bidi="ar-SA"/>
      </w:rPr>
    </w:lvl>
    <w:lvl w:ilvl="7">
      <w:start w:val="0"/>
      <w:numFmt w:val="bullet"/>
      <w:lvlText w:val="•"/>
      <w:lvlJc w:val="left"/>
      <w:pPr>
        <w:ind w:left="6476" w:hanging="286"/>
      </w:pPr>
      <w:rPr>
        <w:rFonts w:hint="default"/>
        <w:lang w:val="ru-RU" w:eastAsia="en-US" w:bidi="ar-SA"/>
      </w:rPr>
    </w:lvl>
    <w:lvl w:ilvl="8">
      <w:start w:val="0"/>
      <w:numFmt w:val="bullet"/>
      <w:lvlText w:val="•"/>
      <w:lvlJc w:val="left"/>
      <w:pPr>
        <w:ind w:left="7304" w:hanging="286"/>
      </w:pPr>
      <w:rPr>
        <w:rFonts w:hint="default"/>
        <w:lang w:val="ru-RU" w:eastAsia="en-US" w:bidi="ar-SA"/>
      </w:rPr>
    </w:lvl>
  </w:abstractNum>
  <w:abstractNum w:abstractNumId="16">
    <w:multiLevelType w:val="hybridMultilevel"/>
    <w:lvl w:ilvl="0">
      <w:start w:val="0"/>
      <w:numFmt w:val="bullet"/>
      <w:lvlText w:val="—"/>
      <w:lvlJc w:val="left"/>
      <w:pPr>
        <w:ind w:left="937" w:hanging="305"/>
      </w:pPr>
      <w:rPr>
        <w:rFonts w:hint="default" w:ascii="Palatino Linotype" w:hAnsi="Palatino Linotype" w:eastAsia="Palatino Linotype" w:cs="Palatino Linotype"/>
        <w:w w:val="88"/>
        <w:sz w:val="27"/>
        <w:szCs w:val="27"/>
        <w:lang w:val="ru-RU" w:eastAsia="en-US" w:bidi="ar-SA"/>
      </w:rPr>
    </w:lvl>
    <w:lvl w:ilvl="1">
      <w:start w:val="0"/>
      <w:numFmt w:val="bullet"/>
      <w:lvlText w:val="•"/>
      <w:lvlJc w:val="left"/>
      <w:pPr>
        <w:ind w:left="1742" w:hanging="305"/>
      </w:pPr>
      <w:rPr>
        <w:rFonts w:hint="default"/>
        <w:lang w:val="ru-RU" w:eastAsia="en-US" w:bidi="ar-SA"/>
      </w:rPr>
    </w:lvl>
    <w:lvl w:ilvl="2">
      <w:start w:val="0"/>
      <w:numFmt w:val="bullet"/>
      <w:lvlText w:val="•"/>
      <w:lvlJc w:val="left"/>
      <w:pPr>
        <w:ind w:left="2544" w:hanging="305"/>
      </w:pPr>
      <w:rPr>
        <w:rFonts w:hint="default"/>
        <w:lang w:val="ru-RU" w:eastAsia="en-US" w:bidi="ar-SA"/>
      </w:rPr>
    </w:lvl>
    <w:lvl w:ilvl="3">
      <w:start w:val="0"/>
      <w:numFmt w:val="bullet"/>
      <w:lvlText w:val="•"/>
      <w:lvlJc w:val="left"/>
      <w:pPr>
        <w:ind w:left="3346" w:hanging="305"/>
      </w:pPr>
      <w:rPr>
        <w:rFonts w:hint="default"/>
        <w:lang w:val="ru-RU" w:eastAsia="en-US" w:bidi="ar-SA"/>
      </w:rPr>
    </w:lvl>
    <w:lvl w:ilvl="4">
      <w:start w:val="0"/>
      <w:numFmt w:val="bullet"/>
      <w:lvlText w:val="•"/>
      <w:lvlJc w:val="left"/>
      <w:pPr>
        <w:ind w:left="4148" w:hanging="305"/>
      </w:pPr>
      <w:rPr>
        <w:rFonts w:hint="default"/>
        <w:lang w:val="ru-RU" w:eastAsia="en-US" w:bidi="ar-SA"/>
      </w:rPr>
    </w:lvl>
    <w:lvl w:ilvl="5">
      <w:start w:val="0"/>
      <w:numFmt w:val="bullet"/>
      <w:lvlText w:val="•"/>
      <w:lvlJc w:val="left"/>
      <w:pPr>
        <w:ind w:left="4950" w:hanging="305"/>
      </w:pPr>
      <w:rPr>
        <w:rFonts w:hint="default"/>
        <w:lang w:val="ru-RU" w:eastAsia="en-US" w:bidi="ar-SA"/>
      </w:rPr>
    </w:lvl>
    <w:lvl w:ilvl="6">
      <w:start w:val="0"/>
      <w:numFmt w:val="bullet"/>
      <w:lvlText w:val="•"/>
      <w:lvlJc w:val="left"/>
      <w:pPr>
        <w:ind w:left="5752" w:hanging="305"/>
      </w:pPr>
      <w:rPr>
        <w:rFonts w:hint="default"/>
        <w:lang w:val="ru-RU" w:eastAsia="en-US" w:bidi="ar-SA"/>
      </w:rPr>
    </w:lvl>
    <w:lvl w:ilvl="7">
      <w:start w:val="0"/>
      <w:numFmt w:val="bullet"/>
      <w:lvlText w:val="•"/>
      <w:lvlJc w:val="left"/>
      <w:pPr>
        <w:ind w:left="6554" w:hanging="305"/>
      </w:pPr>
      <w:rPr>
        <w:rFonts w:hint="default"/>
        <w:lang w:val="ru-RU" w:eastAsia="en-US" w:bidi="ar-SA"/>
      </w:rPr>
    </w:lvl>
    <w:lvl w:ilvl="8">
      <w:start w:val="0"/>
      <w:numFmt w:val="bullet"/>
      <w:lvlText w:val="•"/>
      <w:lvlJc w:val="left"/>
      <w:pPr>
        <w:ind w:left="7356" w:hanging="305"/>
      </w:pPr>
      <w:rPr>
        <w:rFonts w:hint="default"/>
        <w:lang w:val="ru-RU" w:eastAsia="en-US" w:bidi="ar-SA"/>
      </w:rPr>
    </w:lvl>
  </w:abstractNum>
  <w:abstractNum w:abstractNumId="15">
    <w:multiLevelType w:val="hybridMultilevel"/>
    <w:lvl w:ilvl="0">
      <w:start w:val="1"/>
      <w:numFmt w:val="decimal"/>
      <w:lvlText w:val="%1"/>
      <w:lvlJc w:val="left"/>
      <w:pPr>
        <w:ind w:left="842" w:hanging="463"/>
        <w:jc w:val="left"/>
      </w:pPr>
      <w:rPr>
        <w:rFonts w:hint="default" w:ascii="Palatino Linotype" w:hAnsi="Palatino Linotype" w:eastAsia="Palatino Linotype" w:cs="Palatino Linotype"/>
        <w:w w:val="106"/>
        <w:position w:val="14"/>
        <w:sz w:val="27"/>
        <w:szCs w:val="27"/>
        <w:lang w:val="ru-RU" w:eastAsia="en-US" w:bidi="ar-SA"/>
      </w:rPr>
    </w:lvl>
    <w:lvl w:ilvl="1">
      <w:start w:val="0"/>
      <w:numFmt w:val="bullet"/>
      <w:lvlText w:val="•"/>
      <w:lvlJc w:val="left"/>
      <w:pPr>
        <w:ind w:left="1652" w:hanging="463"/>
      </w:pPr>
      <w:rPr>
        <w:rFonts w:hint="default"/>
        <w:lang w:val="ru-RU" w:eastAsia="en-US" w:bidi="ar-SA"/>
      </w:rPr>
    </w:lvl>
    <w:lvl w:ilvl="2">
      <w:start w:val="0"/>
      <w:numFmt w:val="bullet"/>
      <w:lvlText w:val="•"/>
      <w:lvlJc w:val="left"/>
      <w:pPr>
        <w:ind w:left="2464" w:hanging="463"/>
      </w:pPr>
      <w:rPr>
        <w:rFonts w:hint="default"/>
        <w:lang w:val="ru-RU" w:eastAsia="en-US" w:bidi="ar-SA"/>
      </w:rPr>
    </w:lvl>
    <w:lvl w:ilvl="3">
      <w:start w:val="0"/>
      <w:numFmt w:val="bullet"/>
      <w:lvlText w:val="•"/>
      <w:lvlJc w:val="left"/>
      <w:pPr>
        <w:ind w:left="3276" w:hanging="463"/>
      </w:pPr>
      <w:rPr>
        <w:rFonts w:hint="default"/>
        <w:lang w:val="ru-RU" w:eastAsia="en-US" w:bidi="ar-SA"/>
      </w:rPr>
    </w:lvl>
    <w:lvl w:ilvl="4">
      <w:start w:val="0"/>
      <w:numFmt w:val="bullet"/>
      <w:lvlText w:val="•"/>
      <w:lvlJc w:val="left"/>
      <w:pPr>
        <w:ind w:left="4088" w:hanging="463"/>
      </w:pPr>
      <w:rPr>
        <w:rFonts w:hint="default"/>
        <w:lang w:val="ru-RU" w:eastAsia="en-US" w:bidi="ar-SA"/>
      </w:rPr>
    </w:lvl>
    <w:lvl w:ilvl="5">
      <w:start w:val="0"/>
      <w:numFmt w:val="bullet"/>
      <w:lvlText w:val="•"/>
      <w:lvlJc w:val="left"/>
      <w:pPr>
        <w:ind w:left="4900" w:hanging="463"/>
      </w:pPr>
      <w:rPr>
        <w:rFonts w:hint="default"/>
        <w:lang w:val="ru-RU" w:eastAsia="en-US" w:bidi="ar-SA"/>
      </w:rPr>
    </w:lvl>
    <w:lvl w:ilvl="6">
      <w:start w:val="0"/>
      <w:numFmt w:val="bullet"/>
      <w:lvlText w:val="•"/>
      <w:lvlJc w:val="left"/>
      <w:pPr>
        <w:ind w:left="5712" w:hanging="463"/>
      </w:pPr>
      <w:rPr>
        <w:rFonts w:hint="default"/>
        <w:lang w:val="ru-RU" w:eastAsia="en-US" w:bidi="ar-SA"/>
      </w:rPr>
    </w:lvl>
    <w:lvl w:ilvl="7">
      <w:start w:val="0"/>
      <w:numFmt w:val="bullet"/>
      <w:lvlText w:val="•"/>
      <w:lvlJc w:val="left"/>
      <w:pPr>
        <w:ind w:left="6524" w:hanging="463"/>
      </w:pPr>
      <w:rPr>
        <w:rFonts w:hint="default"/>
        <w:lang w:val="ru-RU" w:eastAsia="en-US" w:bidi="ar-SA"/>
      </w:rPr>
    </w:lvl>
    <w:lvl w:ilvl="8">
      <w:start w:val="0"/>
      <w:numFmt w:val="bullet"/>
      <w:lvlText w:val="•"/>
      <w:lvlJc w:val="left"/>
      <w:pPr>
        <w:ind w:left="7336" w:hanging="463"/>
      </w:pPr>
      <w:rPr>
        <w:rFonts w:hint="default"/>
        <w:lang w:val="ru-RU" w:eastAsia="en-US" w:bidi="ar-SA"/>
      </w:rPr>
    </w:lvl>
  </w:abstractNum>
  <w:abstractNum w:abstractNumId="14">
    <w:multiLevelType w:val="hybridMultilevel"/>
    <w:lvl w:ilvl="0">
      <w:start w:val="0"/>
      <w:numFmt w:val="bullet"/>
      <w:lvlText w:val="–"/>
      <w:lvlJc w:val="left"/>
      <w:pPr>
        <w:ind w:left="154" w:hanging="206"/>
      </w:pPr>
      <w:rPr>
        <w:rFonts w:hint="default" w:ascii="Verdana" w:hAnsi="Verdana" w:eastAsia="Verdana" w:cs="Verdana"/>
        <w:w w:val="103"/>
        <w:sz w:val="16"/>
        <w:szCs w:val="16"/>
        <w:lang w:val="ru-RU" w:eastAsia="en-US" w:bidi="ar-SA"/>
      </w:rPr>
    </w:lvl>
    <w:lvl w:ilvl="1">
      <w:start w:val="0"/>
      <w:numFmt w:val="bullet"/>
      <w:lvlText w:val="•"/>
      <w:lvlJc w:val="left"/>
      <w:pPr>
        <w:ind w:left="568" w:hanging="206"/>
      </w:pPr>
      <w:rPr>
        <w:rFonts w:hint="default"/>
        <w:lang w:val="ru-RU" w:eastAsia="en-US" w:bidi="ar-SA"/>
      </w:rPr>
    </w:lvl>
    <w:lvl w:ilvl="2">
      <w:start w:val="0"/>
      <w:numFmt w:val="bullet"/>
      <w:lvlText w:val="•"/>
      <w:lvlJc w:val="left"/>
      <w:pPr>
        <w:ind w:left="976" w:hanging="206"/>
      </w:pPr>
      <w:rPr>
        <w:rFonts w:hint="default"/>
        <w:lang w:val="ru-RU" w:eastAsia="en-US" w:bidi="ar-SA"/>
      </w:rPr>
    </w:lvl>
    <w:lvl w:ilvl="3">
      <w:start w:val="0"/>
      <w:numFmt w:val="bullet"/>
      <w:lvlText w:val="•"/>
      <w:lvlJc w:val="left"/>
      <w:pPr>
        <w:ind w:left="1384" w:hanging="206"/>
      </w:pPr>
      <w:rPr>
        <w:rFonts w:hint="default"/>
        <w:lang w:val="ru-RU" w:eastAsia="en-US" w:bidi="ar-SA"/>
      </w:rPr>
    </w:lvl>
    <w:lvl w:ilvl="4">
      <w:start w:val="0"/>
      <w:numFmt w:val="bullet"/>
      <w:lvlText w:val="•"/>
      <w:lvlJc w:val="left"/>
      <w:pPr>
        <w:ind w:left="1792" w:hanging="206"/>
      </w:pPr>
      <w:rPr>
        <w:rFonts w:hint="default"/>
        <w:lang w:val="ru-RU" w:eastAsia="en-US" w:bidi="ar-SA"/>
      </w:rPr>
    </w:lvl>
    <w:lvl w:ilvl="5">
      <w:start w:val="0"/>
      <w:numFmt w:val="bullet"/>
      <w:lvlText w:val="•"/>
      <w:lvlJc w:val="left"/>
      <w:pPr>
        <w:ind w:left="2201" w:hanging="206"/>
      </w:pPr>
      <w:rPr>
        <w:rFonts w:hint="default"/>
        <w:lang w:val="ru-RU" w:eastAsia="en-US" w:bidi="ar-SA"/>
      </w:rPr>
    </w:lvl>
    <w:lvl w:ilvl="6">
      <w:start w:val="0"/>
      <w:numFmt w:val="bullet"/>
      <w:lvlText w:val="•"/>
      <w:lvlJc w:val="left"/>
      <w:pPr>
        <w:ind w:left="2609" w:hanging="206"/>
      </w:pPr>
      <w:rPr>
        <w:rFonts w:hint="default"/>
        <w:lang w:val="ru-RU" w:eastAsia="en-US" w:bidi="ar-SA"/>
      </w:rPr>
    </w:lvl>
    <w:lvl w:ilvl="7">
      <w:start w:val="0"/>
      <w:numFmt w:val="bullet"/>
      <w:lvlText w:val="•"/>
      <w:lvlJc w:val="left"/>
      <w:pPr>
        <w:ind w:left="3017" w:hanging="206"/>
      </w:pPr>
      <w:rPr>
        <w:rFonts w:hint="default"/>
        <w:lang w:val="ru-RU" w:eastAsia="en-US" w:bidi="ar-SA"/>
      </w:rPr>
    </w:lvl>
    <w:lvl w:ilvl="8">
      <w:start w:val="0"/>
      <w:numFmt w:val="bullet"/>
      <w:lvlText w:val="•"/>
      <w:lvlJc w:val="left"/>
      <w:pPr>
        <w:ind w:left="3425" w:hanging="206"/>
      </w:pPr>
      <w:rPr>
        <w:rFonts w:hint="default"/>
        <w:lang w:val="ru-RU" w:eastAsia="en-US" w:bidi="ar-SA"/>
      </w:rPr>
    </w:lvl>
  </w:abstractNum>
  <w:abstractNum w:abstractNumId="13">
    <w:multiLevelType w:val="hybridMultilevel"/>
    <w:lvl w:ilvl="0">
      <w:start w:val="0"/>
      <w:numFmt w:val="bullet"/>
      <w:lvlText w:val="•"/>
      <w:lvlJc w:val="left"/>
      <w:pPr>
        <w:ind w:left="155" w:hanging="1232"/>
      </w:pPr>
      <w:rPr>
        <w:rFonts w:hint="default" w:ascii="Verdana" w:hAnsi="Verdana" w:eastAsia="Verdana" w:cs="Verdana"/>
        <w:w w:val="103"/>
        <w:sz w:val="16"/>
        <w:szCs w:val="16"/>
        <w:lang w:val="ru-RU" w:eastAsia="en-US" w:bidi="ar-SA"/>
      </w:rPr>
    </w:lvl>
    <w:lvl w:ilvl="1">
      <w:start w:val="0"/>
      <w:numFmt w:val="bullet"/>
      <w:lvlText w:val="•"/>
      <w:lvlJc w:val="left"/>
      <w:pPr>
        <w:ind w:left="480" w:hanging="1232"/>
      </w:pPr>
      <w:rPr>
        <w:rFonts w:hint="default"/>
        <w:lang w:val="ru-RU" w:eastAsia="en-US" w:bidi="ar-SA"/>
      </w:rPr>
    </w:lvl>
    <w:lvl w:ilvl="2">
      <w:start w:val="0"/>
      <w:numFmt w:val="bullet"/>
      <w:lvlText w:val="•"/>
      <w:lvlJc w:val="left"/>
      <w:pPr>
        <w:ind w:left="1361" w:hanging="1232"/>
      </w:pPr>
      <w:rPr>
        <w:rFonts w:hint="default"/>
        <w:lang w:val="ru-RU" w:eastAsia="en-US" w:bidi="ar-SA"/>
      </w:rPr>
    </w:lvl>
    <w:lvl w:ilvl="3">
      <w:start w:val="0"/>
      <w:numFmt w:val="bullet"/>
      <w:lvlText w:val="•"/>
      <w:lvlJc w:val="left"/>
      <w:pPr>
        <w:ind w:left="2243" w:hanging="1232"/>
      </w:pPr>
      <w:rPr>
        <w:rFonts w:hint="default"/>
        <w:lang w:val="ru-RU" w:eastAsia="en-US" w:bidi="ar-SA"/>
      </w:rPr>
    </w:lvl>
    <w:lvl w:ilvl="4">
      <w:start w:val="0"/>
      <w:numFmt w:val="bullet"/>
      <w:lvlText w:val="•"/>
      <w:lvlJc w:val="left"/>
      <w:pPr>
        <w:ind w:left="3124" w:hanging="1232"/>
      </w:pPr>
      <w:rPr>
        <w:rFonts w:hint="default"/>
        <w:lang w:val="ru-RU" w:eastAsia="en-US" w:bidi="ar-SA"/>
      </w:rPr>
    </w:lvl>
    <w:lvl w:ilvl="5">
      <w:start w:val="0"/>
      <w:numFmt w:val="bullet"/>
      <w:lvlText w:val="•"/>
      <w:lvlJc w:val="left"/>
      <w:pPr>
        <w:ind w:left="4006" w:hanging="1232"/>
      </w:pPr>
      <w:rPr>
        <w:rFonts w:hint="default"/>
        <w:lang w:val="ru-RU" w:eastAsia="en-US" w:bidi="ar-SA"/>
      </w:rPr>
    </w:lvl>
    <w:lvl w:ilvl="6">
      <w:start w:val="0"/>
      <w:numFmt w:val="bullet"/>
      <w:lvlText w:val="•"/>
      <w:lvlJc w:val="left"/>
      <w:pPr>
        <w:ind w:left="4887" w:hanging="1232"/>
      </w:pPr>
      <w:rPr>
        <w:rFonts w:hint="default"/>
        <w:lang w:val="ru-RU" w:eastAsia="en-US" w:bidi="ar-SA"/>
      </w:rPr>
    </w:lvl>
    <w:lvl w:ilvl="7">
      <w:start w:val="0"/>
      <w:numFmt w:val="bullet"/>
      <w:lvlText w:val="•"/>
      <w:lvlJc w:val="left"/>
      <w:pPr>
        <w:ind w:left="5769" w:hanging="1232"/>
      </w:pPr>
      <w:rPr>
        <w:rFonts w:hint="default"/>
        <w:lang w:val="ru-RU" w:eastAsia="en-US" w:bidi="ar-SA"/>
      </w:rPr>
    </w:lvl>
    <w:lvl w:ilvl="8">
      <w:start w:val="0"/>
      <w:numFmt w:val="bullet"/>
      <w:lvlText w:val="•"/>
      <w:lvlJc w:val="left"/>
      <w:pPr>
        <w:ind w:left="6650" w:hanging="1232"/>
      </w:pPr>
      <w:rPr>
        <w:rFonts w:hint="default"/>
        <w:lang w:val="ru-RU" w:eastAsia="en-US" w:bidi="ar-SA"/>
      </w:rPr>
    </w:lvl>
  </w:abstractNum>
  <w:abstractNum w:abstractNumId="12">
    <w:multiLevelType w:val="hybridMultilevel"/>
    <w:lvl w:ilvl="0">
      <w:start w:val="1"/>
      <w:numFmt w:val="decimal"/>
      <w:lvlText w:val="%1."/>
      <w:lvlJc w:val="left"/>
      <w:pPr>
        <w:ind w:left="380" w:hanging="297"/>
        <w:jc w:val="left"/>
      </w:pPr>
      <w:rPr>
        <w:rFonts w:hint="default" w:ascii="Palatino Linotype" w:hAnsi="Palatino Linotype" w:eastAsia="Palatino Linotype" w:cs="Palatino Linotype"/>
        <w:w w:val="106"/>
        <w:sz w:val="27"/>
        <w:szCs w:val="27"/>
        <w:lang w:val="ru-RU" w:eastAsia="en-US" w:bidi="ar-SA"/>
      </w:rPr>
    </w:lvl>
    <w:lvl w:ilvl="1">
      <w:start w:val="0"/>
      <w:numFmt w:val="bullet"/>
      <w:lvlText w:val="•"/>
      <w:lvlJc w:val="left"/>
      <w:pPr>
        <w:ind w:left="1238" w:hanging="297"/>
      </w:pPr>
      <w:rPr>
        <w:rFonts w:hint="default"/>
        <w:lang w:val="ru-RU" w:eastAsia="en-US" w:bidi="ar-SA"/>
      </w:rPr>
    </w:lvl>
    <w:lvl w:ilvl="2">
      <w:start w:val="0"/>
      <w:numFmt w:val="bullet"/>
      <w:lvlText w:val="•"/>
      <w:lvlJc w:val="left"/>
      <w:pPr>
        <w:ind w:left="2096" w:hanging="297"/>
      </w:pPr>
      <w:rPr>
        <w:rFonts w:hint="default"/>
        <w:lang w:val="ru-RU" w:eastAsia="en-US" w:bidi="ar-SA"/>
      </w:rPr>
    </w:lvl>
    <w:lvl w:ilvl="3">
      <w:start w:val="0"/>
      <w:numFmt w:val="bullet"/>
      <w:lvlText w:val="•"/>
      <w:lvlJc w:val="left"/>
      <w:pPr>
        <w:ind w:left="2954" w:hanging="297"/>
      </w:pPr>
      <w:rPr>
        <w:rFonts w:hint="default"/>
        <w:lang w:val="ru-RU" w:eastAsia="en-US" w:bidi="ar-SA"/>
      </w:rPr>
    </w:lvl>
    <w:lvl w:ilvl="4">
      <w:start w:val="0"/>
      <w:numFmt w:val="bullet"/>
      <w:lvlText w:val="•"/>
      <w:lvlJc w:val="left"/>
      <w:pPr>
        <w:ind w:left="3812" w:hanging="297"/>
      </w:pPr>
      <w:rPr>
        <w:rFonts w:hint="default"/>
        <w:lang w:val="ru-RU" w:eastAsia="en-US" w:bidi="ar-SA"/>
      </w:rPr>
    </w:lvl>
    <w:lvl w:ilvl="5">
      <w:start w:val="0"/>
      <w:numFmt w:val="bullet"/>
      <w:lvlText w:val="•"/>
      <w:lvlJc w:val="left"/>
      <w:pPr>
        <w:ind w:left="4670" w:hanging="297"/>
      </w:pPr>
      <w:rPr>
        <w:rFonts w:hint="default"/>
        <w:lang w:val="ru-RU" w:eastAsia="en-US" w:bidi="ar-SA"/>
      </w:rPr>
    </w:lvl>
    <w:lvl w:ilvl="6">
      <w:start w:val="0"/>
      <w:numFmt w:val="bullet"/>
      <w:lvlText w:val="•"/>
      <w:lvlJc w:val="left"/>
      <w:pPr>
        <w:ind w:left="5528" w:hanging="297"/>
      </w:pPr>
      <w:rPr>
        <w:rFonts w:hint="default"/>
        <w:lang w:val="ru-RU" w:eastAsia="en-US" w:bidi="ar-SA"/>
      </w:rPr>
    </w:lvl>
    <w:lvl w:ilvl="7">
      <w:start w:val="0"/>
      <w:numFmt w:val="bullet"/>
      <w:lvlText w:val="•"/>
      <w:lvlJc w:val="left"/>
      <w:pPr>
        <w:ind w:left="6386" w:hanging="297"/>
      </w:pPr>
      <w:rPr>
        <w:rFonts w:hint="default"/>
        <w:lang w:val="ru-RU" w:eastAsia="en-US" w:bidi="ar-SA"/>
      </w:rPr>
    </w:lvl>
    <w:lvl w:ilvl="8">
      <w:start w:val="0"/>
      <w:numFmt w:val="bullet"/>
      <w:lvlText w:val="•"/>
      <w:lvlJc w:val="left"/>
      <w:pPr>
        <w:ind w:left="7244" w:hanging="297"/>
      </w:pPr>
      <w:rPr>
        <w:rFonts w:hint="default"/>
        <w:lang w:val="ru-RU" w:eastAsia="en-US" w:bidi="ar-SA"/>
      </w:rPr>
    </w:lvl>
  </w:abstractNum>
  <w:abstractNum w:abstractNumId="11">
    <w:multiLevelType w:val="hybridMultilevel"/>
    <w:lvl w:ilvl="0">
      <w:start w:val="6"/>
      <w:numFmt w:val="decimal"/>
      <w:lvlText w:val="%1."/>
      <w:lvlJc w:val="left"/>
      <w:pPr>
        <w:ind w:left="680" w:hanging="286"/>
        <w:jc w:val="right"/>
      </w:pPr>
      <w:rPr>
        <w:rFonts w:hint="default" w:ascii="Palatino Linotype" w:hAnsi="Palatino Linotype" w:eastAsia="Palatino Linotype" w:cs="Palatino Linotype"/>
        <w:spacing w:val="-9"/>
        <w:w w:val="106"/>
        <w:sz w:val="27"/>
        <w:szCs w:val="27"/>
        <w:lang w:val="ru-RU" w:eastAsia="en-US" w:bidi="ar-SA"/>
      </w:rPr>
    </w:lvl>
    <w:lvl w:ilvl="1">
      <w:start w:val="1"/>
      <w:numFmt w:val="decimal"/>
      <w:lvlText w:val="%2."/>
      <w:lvlJc w:val="left"/>
      <w:pPr>
        <w:ind w:left="665" w:hanging="285"/>
        <w:jc w:val="left"/>
      </w:pPr>
      <w:rPr>
        <w:rFonts w:hint="default" w:ascii="Palatino Linotype" w:hAnsi="Palatino Linotype" w:eastAsia="Palatino Linotype" w:cs="Palatino Linotype"/>
        <w:w w:val="106"/>
        <w:sz w:val="27"/>
        <w:szCs w:val="27"/>
        <w:lang w:val="ru-RU" w:eastAsia="en-US" w:bidi="ar-SA"/>
      </w:rPr>
    </w:lvl>
    <w:lvl w:ilvl="2">
      <w:start w:val="0"/>
      <w:numFmt w:val="bullet"/>
      <w:lvlText w:val="•"/>
      <w:lvlJc w:val="left"/>
      <w:pPr>
        <w:ind w:left="1180" w:hanging="285"/>
      </w:pPr>
      <w:rPr>
        <w:rFonts w:hint="default"/>
        <w:lang w:val="ru-RU" w:eastAsia="en-US" w:bidi="ar-SA"/>
      </w:rPr>
    </w:lvl>
    <w:lvl w:ilvl="3">
      <w:start w:val="0"/>
      <w:numFmt w:val="bullet"/>
      <w:lvlText w:val="•"/>
      <w:lvlJc w:val="left"/>
      <w:pPr>
        <w:ind w:left="2152" w:hanging="285"/>
      </w:pPr>
      <w:rPr>
        <w:rFonts w:hint="default"/>
        <w:lang w:val="ru-RU" w:eastAsia="en-US" w:bidi="ar-SA"/>
      </w:rPr>
    </w:lvl>
    <w:lvl w:ilvl="4">
      <w:start w:val="0"/>
      <w:numFmt w:val="bullet"/>
      <w:lvlText w:val="•"/>
      <w:lvlJc w:val="left"/>
      <w:pPr>
        <w:ind w:left="3125" w:hanging="285"/>
      </w:pPr>
      <w:rPr>
        <w:rFonts w:hint="default"/>
        <w:lang w:val="ru-RU" w:eastAsia="en-US" w:bidi="ar-SA"/>
      </w:rPr>
    </w:lvl>
    <w:lvl w:ilvl="5">
      <w:start w:val="0"/>
      <w:numFmt w:val="bullet"/>
      <w:lvlText w:val="•"/>
      <w:lvlJc w:val="left"/>
      <w:pPr>
        <w:ind w:left="4097" w:hanging="285"/>
      </w:pPr>
      <w:rPr>
        <w:rFonts w:hint="default"/>
        <w:lang w:val="ru-RU" w:eastAsia="en-US" w:bidi="ar-SA"/>
      </w:rPr>
    </w:lvl>
    <w:lvl w:ilvl="6">
      <w:start w:val="0"/>
      <w:numFmt w:val="bullet"/>
      <w:lvlText w:val="•"/>
      <w:lvlJc w:val="left"/>
      <w:pPr>
        <w:ind w:left="5070" w:hanging="285"/>
      </w:pPr>
      <w:rPr>
        <w:rFonts w:hint="default"/>
        <w:lang w:val="ru-RU" w:eastAsia="en-US" w:bidi="ar-SA"/>
      </w:rPr>
    </w:lvl>
    <w:lvl w:ilvl="7">
      <w:start w:val="0"/>
      <w:numFmt w:val="bullet"/>
      <w:lvlText w:val="•"/>
      <w:lvlJc w:val="left"/>
      <w:pPr>
        <w:ind w:left="6042" w:hanging="285"/>
      </w:pPr>
      <w:rPr>
        <w:rFonts w:hint="default"/>
        <w:lang w:val="ru-RU" w:eastAsia="en-US" w:bidi="ar-SA"/>
      </w:rPr>
    </w:lvl>
    <w:lvl w:ilvl="8">
      <w:start w:val="0"/>
      <w:numFmt w:val="bullet"/>
      <w:lvlText w:val="•"/>
      <w:lvlJc w:val="left"/>
      <w:pPr>
        <w:ind w:left="7015" w:hanging="285"/>
      </w:pPr>
      <w:rPr>
        <w:rFonts w:hint="default"/>
        <w:lang w:val="ru-RU" w:eastAsia="en-US" w:bidi="ar-SA"/>
      </w:rPr>
    </w:lvl>
  </w:abstractNum>
  <w:abstractNum w:abstractNumId="10">
    <w:multiLevelType w:val="hybridMultilevel"/>
    <w:lvl w:ilvl="0">
      <w:start w:val="3"/>
      <w:numFmt w:val="decimal"/>
      <w:lvlText w:val="%1."/>
      <w:lvlJc w:val="left"/>
      <w:pPr>
        <w:ind w:left="680" w:hanging="286"/>
        <w:jc w:val="left"/>
      </w:pPr>
      <w:rPr>
        <w:rFonts w:hint="default" w:ascii="Palatino Linotype" w:hAnsi="Palatino Linotype" w:eastAsia="Palatino Linotype" w:cs="Palatino Linotype"/>
        <w:spacing w:val="-9"/>
        <w:w w:val="106"/>
        <w:sz w:val="27"/>
        <w:szCs w:val="27"/>
        <w:lang w:val="ru-RU" w:eastAsia="en-US" w:bidi="ar-SA"/>
      </w:rPr>
    </w:lvl>
    <w:lvl w:ilvl="1">
      <w:start w:val="0"/>
      <w:numFmt w:val="bullet"/>
      <w:lvlText w:val="•"/>
      <w:lvlJc w:val="left"/>
      <w:pPr>
        <w:ind w:left="1508" w:hanging="286"/>
      </w:pPr>
      <w:rPr>
        <w:rFonts w:hint="default"/>
        <w:lang w:val="ru-RU" w:eastAsia="en-US" w:bidi="ar-SA"/>
      </w:rPr>
    </w:lvl>
    <w:lvl w:ilvl="2">
      <w:start w:val="0"/>
      <w:numFmt w:val="bullet"/>
      <w:lvlText w:val="•"/>
      <w:lvlJc w:val="left"/>
      <w:pPr>
        <w:ind w:left="2336" w:hanging="286"/>
      </w:pPr>
      <w:rPr>
        <w:rFonts w:hint="default"/>
        <w:lang w:val="ru-RU" w:eastAsia="en-US" w:bidi="ar-SA"/>
      </w:rPr>
    </w:lvl>
    <w:lvl w:ilvl="3">
      <w:start w:val="0"/>
      <w:numFmt w:val="bullet"/>
      <w:lvlText w:val="•"/>
      <w:lvlJc w:val="left"/>
      <w:pPr>
        <w:ind w:left="3164" w:hanging="286"/>
      </w:pPr>
      <w:rPr>
        <w:rFonts w:hint="default"/>
        <w:lang w:val="ru-RU" w:eastAsia="en-US" w:bidi="ar-SA"/>
      </w:rPr>
    </w:lvl>
    <w:lvl w:ilvl="4">
      <w:start w:val="0"/>
      <w:numFmt w:val="bullet"/>
      <w:lvlText w:val="•"/>
      <w:lvlJc w:val="left"/>
      <w:pPr>
        <w:ind w:left="3992" w:hanging="286"/>
      </w:pPr>
      <w:rPr>
        <w:rFonts w:hint="default"/>
        <w:lang w:val="ru-RU" w:eastAsia="en-US" w:bidi="ar-SA"/>
      </w:rPr>
    </w:lvl>
    <w:lvl w:ilvl="5">
      <w:start w:val="0"/>
      <w:numFmt w:val="bullet"/>
      <w:lvlText w:val="•"/>
      <w:lvlJc w:val="left"/>
      <w:pPr>
        <w:ind w:left="4820" w:hanging="286"/>
      </w:pPr>
      <w:rPr>
        <w:rFonts w:hint="default"/>
        <w:lang w:val="ru-RU" w:eastAsia="en-US" w:bidi="ar-SA"/>
      </w:rPr>
    </w:lvl>
    <w:lvl w:ilvl="6">
      <w:start w:val="0"/>
      <w:numFmt w:val="bullet"/>
      <w:lvlText w:val="•"/>
      <w:lvlJc w:val="left"/>
      <w:pPr>
        <w:ind w:left="5648" w:hanging="286"/>
      </w:pPr>
      <w:rPr>
        <w:rFonts w:hint="default"/>
        <w:lang w:val="ru-RU" w:eastAsia="en-US" w:bidi="ar-SA"/>
      </w:rPr>
    </w:lvl>
    <w:lvl w:ilvl="7">
      <w:start w:val="0"/>
      <w:numFmt w:val="bullet"/>
      <w:lvlText w:val="•"/>
      <w:lvlJc w:val="left"/>
      <w:pPr>
        <w:ind w:left="6476" w:hanging="286"/>
      </w:pPr>
      <w:rPr>
        <w:rFonts w:hint="default"/>
        <w:lang w:val="ru-RU" w:eastAsia="en-US" w:bidi="ar-SA"/>
      </w:rPr>
    </w:lvl>
    <w:lvl w:ilvl="8">
      <w:start w:val="0"/>
      <w:numFmt w:val="bullet"/>
      <w:lvlText w:val="•"/>
      <w:lvlJc w:val="left"/>
      <w:pPr>
        <w:ind w:left="7304" w:hanging="286"/>
      </w:pPr>
      <w:rPr>
        <w:rFonts w:hint="default"/>
        <w:lang w:val="ru-RU" w:eastAsia="en-US" w:bidi="ar-SA"/>
      </w:rPr>
    </w:lvl>
  </w:abstractNum>
  <w:abstractNum w:abstractNumId="9">
    <w:multiLevelType w:val="hybridMultilevel"/>
    <w:lvl w:ilvl="0">
      <w:start w:val="0"/>
      <w:numFmt w:val="bullet"/>
      <w:lvlText w:val="-"/>
      <w:lvlJc w:val="left"/>
      <w:pPr>
        <w:ind w:left="380" w:hanging="181"/>
      </w:pPr>
      <w:rPr>
        <w:rFonts w:hint="default"/>
        <w:w w:val="127"/>
        <w:lang w:val="ru-RU" w:eastAsia="en-US" w:bidi="ar-SA"/>
      </w:rPr>
    </w:lvl>
    <w:lvl w:ilvl="1">
      <w:start w:val="0"/>
      <w:numFmt w:val="bullet"/>
      <w:lvlText w:val="—"/>
      <w:lvlJc w:val="left"/>
      <w:pPr>
        <w:ind w:left="937" w:hanging="305"/>
      </w:pPr>
      <w:rPr>
        <w:rFonts w:hint="default" w:ascii="Palatino Linotype" w:hAnsi="Palatino Linotype" w:eastAsia="Palatino Linotype" w:cs="Palatino Linotype"/>
        <w:w w:val="88"/>
        <w:sz w:val="27"/>
        <w:szCs w:val="27"/>
        <w:lang w:val="ru-RU" w:eastAsia="en-US" w:bidi="ar-SA"/>
      </w:rPr>
    </w:lvl>
    <w:lvl w:ilvl="2">
      <w:start w:val="0"/>
      <w:numFmt w:val="bullet"/>
      <w:lvlText w:val="•"/>
      <w:lvlJc w:val="left"/>
      <w:pPr>
        <w:ind w:left="1831" w:hanging="305"/>
      </w:pPr>
      <w:rPr>
        <w:rFonts w:hint="default"/>
        <w:lang w:val="ru-RU" w:eastAsia="en-US" w:bidi="ar-SA"/>
      </w:rPr>
    </w:lvl>
    <w:lvl w:ilvl="3">
      <w:start w:val="0"/>
      <w:numFmt w:val="bullet"/>
      <w:lvlText w:val="•"/>
      <w:lvlJc w:val="left"/>
      <w:pPr>
        <w:ind w:left="2722" w:hanging="305"/>
      </w:pPr>
      <w:rPr>
        <w:rFonts w:hint="default"/>
        <w:lang w:val="ru-RU" w:eastAsia="en-US" w:bidi="ar-SA"/>
      </w:rPr>
    </w:lvl>
    <w:lvl w:ilvl="4">
      <w:start w:val="0"/>
      <w:numFmt w:val="bullet"/>
      <w:lvlText w:val="•"/>
      <w:lvlJc w:val="left"/>
      <w:pPr>
        <w:ind w:left="3613" w:hanging="305"/>
      </w:pPr>
      <w:rPr>
        <w:rFonts w:hint="default"/>
        <w:lang w:val="ru-RU" w:eastAsia="en-US" w:bidi="ar-SA"/>
      </w:rPr>
    </w:lvl>
    <w:lvl w:ilvl="5">
      <w:start w:val="0"/>
      <w:numFmt w:val="bullet"/>
      <w:lvlText w:val="•"/>
      <w:lvlJc w:val="left"/>
      <w:pPr>
        <w:ind w:left="4504" w:hanging="305"/>
      </w:pPr>
      <w:rPr>
        <w:rFonts w:hint="default"/>
        <w:lang w:val="ru-RU" w:eastAsia="en-US" w:bidi="ar-SA"/>
      </w:rPr>
    </w:lvl>
    <w:lvl w:ilvl="6">
      <w:start w:val="0"/>
      <w:numFmt w:val="bullet"/>
      <w:lvlText w:val="•"/>
      <w:lvlJc w:val="left"/>
      <w:pPr>
        <w:ind w:left="5395" w:hanging="305"/>
      </w:pPr>
      <w:rPr>
        <w:rFonts w:hint="default"/>
        <w:lang w:val="ru-RU" w:eastAsia="en-US" w:bidi="ar-SA"/>
      </w:rPr>
    </w:lvl>
    <w:lvl w:ilvl="7">
      <w:start w:val="0"/>
      <w:numFmt w:val="bullet"/>
      <w:lvlText w:val="•"/>
      <w:lvlJc w:val="left"/>
      <w:pPr>
        <w:ind w:left="6286" w:hanging="305"/>
      </w:pPr>
      <w:rPr>
        <w:rFonts w:hint="default"/>
        <w:lang w:val="ru-RU" w:eastAsia="en-US" w:bidi="ar-SA"/>
      </w:rPr>
    </w:lvl>
    <w:lvl w:ilvl="8">
      <w:start w:val="0"/>
      <w:numFmt w:val="bullet"/>
      <w:lvlText w:val="•"/>
      <w:lvlJc w:val="left"/>
      <w:pPr>
        <w:ind w:left="7177" w:hanging="305"/>
      </w:pPr>
      <w:rPr>
        <w:rFonts w:hint="default"/>
        <w:lang w:val="ru-RU" w:eastAsia="en-US" w:bidi="ar-SA"/>
      </w:rPr>
    </w:lvl>
  </w:abstractNum>
  <w:abstractNum w:abstractNumId="8">
    <w:multiLevelType w:val="hybridMultilevel"/>
    <w:lvl w:ilvl="0">
      <w:start w:val="7"/>
      <w:numFmt w:val="decimal"/>
      <w:lvlText w:val="%1."/>
      <w:lvlJc w:val="left"/>
      <w:pPr>
        <w:ind w:left="380" w:hanging="518"/>
        <w:jc w:val="left"/>
      </w:pPr>
      <w:rPr>
        <w:rFonts w:hint="default" w:ascii="Palatino Linotype" w:hAnsi="Palatino Linotype" w:eastAsia="Palatino Linotype" w:cs="Palatino Linotype"/>
        <w:b/>
        <w:bCs/>
        <w:spacing w:val="-26"/>
        <w:w w:val="113"/>
        <w:sz w:val="48"/>
        <w:szCs w:val="48"/>
        <w:lang w:val="ru-RU" w:eastAsia="en-US" w:bidi="ar-SA"/>
      </w:rPr>
    </w:lvl>
    <w:lvl w:ilvl="1">
      <w:start w:val="1"/>
      <w:numFmt w:val="decimal"/>
      <w:lvlText w:val="%1.%2."/>
      <w:lvlJc w:val="left"/>
      <w:pPr>
        <w:ind w:left="1020" w:hanging="641"/>
        <w:jc w:val="left"/>
      </w:pPr>
      <w:rPr>
        <w:rFonts w:hint="default" w:ascii="Palatino Linotype" w:hAnsi="Palatino Linotype" w:eastAsia="Palatino Linotype" w:cs="Palatino Linotype"/>
        <w:b/>
        <w:bCs/>
        <w:spacing w:val="-18"/>
        <w:w w:val="113"/>
        <w:sz w:val="33"/>
        <w:szCs w:val="33"/>
        <w:lang w:val="ru-RU" w:eastAsia="en-US" w:bidi="ar-SA"/>
      </w:rPr>
    </w:lvl>
    <w:lvl w:ilvl="2">
      <w:start w:val="0"/>
      <w:numFmt w:val="bullet"/>
      <w:lvlText w:val="•"/>
      <w:lvlJc w:val="left"/>
      <w:pPr>
        <w:ind w:left="1902" w:hanging="641"/>
      </w:pPr>
      <w:rPr>
        <w:rFonts w:hint="default"/>
        <w:lang w:val="ru-RU" w:eastAsia="en-US" w:bidi="ar-SA"/>
      </w:rPr>
    </w:lvl>
    <w:lvl w:ilvl="3">
      <w:start w:val="0"/>
      <w:numFmt w:val="bullet"/>
      <w:lvlText w:val="•"/>
      <w:lvlJc w:val="left"/>
      <w:pPr>
        <w:ind w:left="2784" w:hanging="641"/>
      </w:pPr>
      <w:rPr>
        <w:rFonts w:hint="default"/>
        <w:lang w:val="ru-RU" w:eastAsia="en-US" w:bidi="ar-SA"/>
      </w:rPr>
    </w:lvl>
    <w:lvl w:ilvl="4">
      <w:start w:val="0"/>
      <w:numFmt w:val="bullet"/>
      <w:lvlText w:val="•"/>
      <w:lvlJc w:val="left"/>
      <w:pPr>
        <w:ind w:left="3666" w:hanging="641"/>
      </w:pPr>
      <w:rPr>
        <w:rFonts w:hint="default"/>
        <w:lang w:val="ru-RU" w:eastAsia="en-US" w:bidi="ar-SA"/>
      </w:rPr>
    </w:lvl>
    <w:lvl w:ilvl="5">
      <w:start w:val="0"/>
      <w:numFmt w:val="bullet"/>
      <w:lvlText w:val="•"/>
      <w:lvlJc w:val="left"/>
      <w:pPr>
        <w:ind w:left="4548" w:hanging="641"/>
      </w:pPr>
      <w:rPr>
        <w:rFonts w:hint="default"/>
        <w:lang w:val="ru-RU" w:eastAsia="en-US" w:bidi="ar-SA"/>
      </w:rPr>
    </w:lvl>
    <w:lvl w:ilvl="6">
      <w:start w:val="0"/>
      <w:numFmt w:val="bullet"/>
      <w:lvlText w:val="•"/>
      <w:lvlJc w:val="left"/>
      <w:pPr>
        <w:ind w:left="5431" w:hanging="641"/>
      </w:pPr>
      <w:rPr>
        <w:rFonts w:hint="default"/>
        <w:lang w:val="ru-RU" w:eastAsia="en-US" w:bidi="ar-SA"/>
      </w:rPr>
    </w:lvl>
    <w:lvl w:ilvl="7">
      <w:start w:val="0"/>
      <w:numFmt w:val="bullet"/>
      <w:lvlText w:val="•"/>
      <w:lvlJc w:val="left"/>
      <w:pPr>
        <w:ind w:left="6313" w:hanging="641"/>
      </w:pPr>
      <w:rPr>
        <w:rFonts w:hint="default"/>
        <w:lang w:val="ru-RU" w:eastAsia="en-US" w:bidi="ar-SA"/>
      </w:rPr>
    </w:lvl>
    <w:lvl w:ilvl="8">
      <w:start w:val="0"/>
      <w:numFmt w:val="bullet"/>
      <w:lvlText w:val="•"/>
      <w:lvlJc w:val="left"/>
      <w:pPr>
        <w:ind w:left="7195" w:hanging="641"/>
      </w:pPr>
      <w:rPr>
        <w:rFonts w:hint="default"/>
        <w:lang w:val="ru-RU" w:eastAsia="en-US" w:bidi="ar-SA"/>
      </w:rPr>
    </w:lvl>
  </w:abstractNum>
  <w:abstractNum w:abstractNumId="7">
    <w:multiLevelType w:val="hybridMultilevel"/>
    <w:lvl w:ilvl="0">
      <w:start w:val="4"/>
      <w:numFmt w:val="decimal"/>
      <w:lvlText w:val="%1."/>
      <w:lvlJc w:val="left"/>
      <w:pPr>
        <w:ind w:left="923" w:hanging="544"/>
        <w:jc w:val="left"/>
      </w:pPr>
      <w:rPr>
        <w:rFonts w:hint="default" w:ascii="Palatino Linotype" w:hAnsi="Palatino Linotype" w:eastAsia="Palatino Linotype" w:cs="Palatino Linotype"/>
        <w:b/>
        <w:bCs/>
        <w:w w:val="113"/>
        <w:sz w:val="48"/>
        <w:szCs w:val="48"/>
        <w:lang w:val="ru-RU" w:eastAsia="en-US" w:bidi="ar-SA"/>
      </w:rPr>
    </w:lvl>
    <w:lvl w:ilvl="1">
      <w:start w:val="0"/>
      <w:numFmt w:val="bullet"/>
      <w:lvlText w:val="•"/>
      <w:lvlJc w:val="left"/>
      <w:pPr>
        <w:ind w:left="1724" w:hanging="544"/>
      </w:pPr>
      <w:rPr>
        <w:rFonts w:hint="default"/>
        <w:lang w:val="ru-RU" w:eastAsia="en-US" w:bidi="ar-SA"/>
      </w:rPr>
    </w:lvl>
    <w:lvl w:ilvl="2">
      <w:start w:val="0"/>
      <w:numFmt w:val="bullet"/>
      <w:lvlText w:val="•"/>
      <w:lvlJc w:val="left"/>
      <w:pPr>
        <w:ind w:left="2528" w:hanging="544"/>
      </w:pPr>
      <w:rPr>
        <w:rFonts w:hint="default"/>
        <w:lang w:val="ru-RU" w:eastAsia="en-US" w:bidi="ar-SA"/>
      </w:rPr>
    </w:lvl>
    <w:lvl w:ilvl="3">
      <w:start w:val="0"/>
      <w:numFmt w:val="bullet"/>
      <w:lvlText w:val="•"/>
      <w:lvlJc w:val="left"/>
      <w:pPr>
        <w:ind w:left="3332" w:hanging="544"/>
      </w:pPr>
      <w:rPr>
        <w:rFonts w:hint="default"/>
        <w:lang w:val="ru-RU" w:eastAsia="en-US" w:bidi="ar-SA"/>
      </w:rPr>
    </w:lvl>
    <w:lvl w:ilvl="4">
      <w:start w:val="0"/>
      <w:numFmt w:val="bullet"/>
      <w:lvlText w:val="•"/>
      <w:lvlJc w:val="left"/>
      <w:pPr>
        <w:ind w:left="4136" w:hanging="544"/>
      </w:pPr>
      <w:rPr>
        <w:rFonts w:hint="default"/>
        <w:lang w:val="ru-RU" w:eastAsia="en-US" w:bidi="ar-SA"/>
      </w:rPr>
    </w:lvl>
    <w:lvl w:ilvl="5">
      <w:start w:val="0"/>
      <w:numFmt w:val="bullet"/>
      <w:lvlText w:val="•"/>
      <w:lvlJc w:val="left"/>
      <w:pPr>
        <w:ind w:left="4940" w:hanging="544"/>
      </w:pPr>
      <w:rPr>
        <w:rFonts w:hint="default"/>
        <w:lang w:val="ru-RU" w:eastAsia="en-US" w:bidi="ar-SA"/>
      </w:rPr>
    </w:lvl>
    <w:lvl w:ilvl="6">
      <w:start w:val="0"/>
      <w:numFmt w:val="bullet"/>
      <w:lvlText w:val="•"/>
      <w:lvlJc w:val="left"/>
      <w:pPr>
        <w:ind w:left="5744" w:hanging="544"/>
      </w:pPr>
      <w:rPr>
        <w:rFonts w:hint="default"/>
        <w:lang w:val="ru-RU" w:eastAsia="en-US" w:bidi="ar-SA"/>
      </w:rPr>
    </w:lvl>
    <w:lvl w:ilvl="7">
      <w:start w:val="0"/>
      <w:numFmt w:val="bullet"/>
      <w:lvlText w:val="•"/>
      <w:lvlJc w:val="left"/>
      <w:pPr>
        <w:ind w:left="6548" w:hanging="544"/>
      </w:pPr>
      <w:rPr>
        <w:rFonts w:hint="default"/>
        <w:lang w:val="ru-RU" w:eastAsia="en-US" w:bidi="ar-SA"/>
      </w:rPr>
    </w:lvl>
    <w:lvl w:ilvl="8">
      <w:start w:val="0"/>
      <w:numFmt w:val="bullet"/>
      <w:lvlText w:val="•"/>
      <w:lvlJc w:val="left"/>
      <w:pPr>
        <w:ind w:left="7352" w:hanging="544"/>
      </w:pPr>
      <w:rPr>
        <w:rFonts w:hint="default"/>
        <w:lang w:val="ru-RU" w:eastAsia="en-US" w:bidi="ar-SA"/>
      </w:rPr>
    </w:lvl>
  </w:abstractNum>
  <w:abstractNum w:abstractNumId="6">
    <w:multiLevelType w:val="hybridMultilevel"/>
    <w:lvl w:ilvl="0">
      <w:start w:val="0"/>
      <w:numFmt w:val="bullet"/>
      <w:lvlText w:val="-"/>
      <w:lvlJc w:val="left"/>
      <w:pPr>
        <w:ind w:left="695" w:hanging="191"/>
      </w:pPr>
      <w:rPr>
        <w:rFonts w:hint="default" w:ascii="Palatino Linotype" w:hAnsi="Palatino Linotype" w:eastAsia="Palatino Linotype" w:cs="Palatino Linotype"/>
        <w:w w:val="127"/>
        <w:sz w:val="27"/>
        <w:szCs w:val="27"/>
        <w:lang w:val="ru-RU" w:eastAsia="en-US" w:bidi="ar-SA"/>
      </w:rPr>
    </w:lvl>
    <w:lvl w:ilvl="1">
      <w:start w:val="0"/>
      <w:numFmt w:val="bullet"/>
      <w:lvlText w:val="•"/>
      <w:lvlJc w:val="left"/>
      <w:pPr>
        <w:ind w:left="1526" w:hanging="191"/>
      </w:pPr>
      <w:rPr>
        <w:rFonts w:hint="default"/>
        <w:lang w:val="ru-RU" w:eastAsia="en-US" w:bidi="ar-SA"/>
      </w:rPr>
    </w:lvl>
    <w:lvl w:ilvl="2">
      <w:start w:val="0"/>
      <w:numFmt w:val="bullet"/>
      <w:lvlText w:val="•"/>
      <w:lvlJc w:val="left"/>
      <w:pPr>
        <w:ind w:left="2352" w:hanging="191"/>
      </w:pPr>
      <w:rPr>
        <w:rFonts w:hint="default"/>
        <w:lang w:val="ru-RU" w:eastAsia="en-US" w:bidi="ar-SA"/>
      </w:rPr>
    </w:lvl>
    <w:lvl w:ilvl="3">
      <w:start w:val="0"/>
      <w:numFmt w:val="bullet"/>
      <w:lvlText w:val="•"/>
      <w:lvlJc w:val="left"/>
      <w:pPr>
        <w:ind w:left="3178" w:hanging="191"/>
      </w:pPr>
      <w:rPr>
        <w:rFonts w:hint="default"/>
        <w:lang w:val="ru-RU" w:eastAsia="en-US" w:bidi="ar-SA"/>
      </w:rPr>
    </w:lvl>
    <w:lvl w:ilvl="4">
      <w:start w:val="0"/>
      <w:numFmt w:val="bullet"/>
      <w:lvlText w:val="•"/>
      <w:lvlJc w:val="left"/>
      <w:pPr>
        <w:ind w:left="4004" w:hanging="191"/>
      </w:pPr>
      <w:rPr>
        <w:rFonts w:hint="default"/>
        <w:lang w:val="ru-RU" w:eastAsia="en-US" w:bidi="ar-SA"/>
      </w:rPr>
    </w:lvl>
    <w:lvl w:ilvl="5">
      <w:start w:val="0"/>
      <w:numFmt w:val="bullet"/>
      <w:lvlText w:val="•"/>
      <w:lvlJc w:val="left"/>
      <w:pPr>
        <w:ind w:left="4830" w:hanging="191"/>
      </w:pPr>
      <w:rPr>
        <w:rFonts w:hint="default"/>
        <w:lang w:val="ru-RU" w:eastAsia="en-US" w:bidi="ar-SA"/>
      </w:rPr>
    </w:lvl>
    <w:lvl w:ilvl="6">
      <w:start w:val="0"/>
      <w:numFmt w:val="bullet"/>
      <w:lvlText w:val="•"/>
      <w:lvlJc w:val="left"/>
      <w:pPr>
        <w:ind w:left="5656" w:hanging="191"/>
      </w:pPr>
      <w:rPr>
        <w:rFonts w:hint="default"/>
        <w:lang w:val="ru-RU" w:eastAsia="en-US" w:bidi="ar-SA"/>
      </w:rPr>
    </w:lvl>
    <w:lvl w:ilvl="7">
      <w:start w:val="0"/>
      <w:numFmt w:val="bullet"/>
      <w:lvlText w:val="•"/>
      <w:lvlJc w:val="left"/>
      <w:pPr>
        <w:ind w:left="6482" w:hanging="191"/>
      </w:pPr>
      <w:rPr>
        <w:rFonts w:hint="default"/>
        <w:lang w:val="ru-RU" w:eastAsia="en-US" w:bidi="ar-SA"/>
      </w:rPr>
    </w:lvl>
    <w:lvl w:ilvl="8">
      <w:start w:val="0"/>
      <w:numFmt w:val="bullet"/>
      <w:lvlText w:val="•"/>
      <w:lvlJc w:val="left"/>
      <w:pPr>
        <w:ind w:left="7308" w:hanging="191"/>
      </w:pPr>
      <w:rPr>
        <w:rFonts w:hint="default"/>
        <w:lang w:val="ru-RU" w:eastAsia="en-US" w:bidi="ar-SA"/>
      </w:rPr>
    </w:lvl>
  </w:abstractNum>
  <w:abstractNum w:abstractNumId="5">
    <w:multiLevelType w:val="hybridMultilevel"/>
    <w:lvl w:ilvl="0">
      <w:start w:val="3"/>
      <w:numFmt w:val="decimal"/>
      <w:lvlText w:val="%1"/>
      <w:lvlJc w:val="left"/>
      <w:pPr>
        <w:ind w:left="380" w:hanging="658"/>
        <w:jc w:val="left"/>
      </w:pPr>
      <w:rPr>
        <w:rFonts w:hint="default"/>
        <w:lang w:val="ru-RU" w:eastAsia="en-US" w:bidi="ar-SA"/>
      </w:rPr>
    </w:lvl>
    <w:lvl w:ilvl="1">
      <w:start w:val="5"/>
      <w:numFmt w:val="decimal"/>
      <w:lvlText w:val="%1.%2."/>
      <w:lvlJc w:val="left"/>
      <w:pPr>
        <w:ind w:left="380" w:hanging="658"/>
        <w:jc w:val="left"/>
      </w:pPr>
      <w:rPr>
        <w:rFonts w:hint="default" w:ascii="Palatino Linotype" w:hAnsi="Palatino Linotype" w:eastAsia="Palatino Linotype" w:cs="Palatino Linotype"/>
        <w:b/>
        <w:bCs/>
        <w:w w:val="113"/>
        <w:sz w:val="33"/>
        <w:szCs w:val="33"/>
        <w:lang w:val="ru-RU" w:eastAsia="en-US" w:bidi="ar-SA"/>
      </w:rPr>
    </w:lvl>
    <w:lvl w:ilvl="2">
      <w:start w:val="1"/>
      <w:numFmt w:val="decimal"/>
      <w:lvlText w:val="%1.%2.%3."/>
      <w:lvlJc w:val="left"/>
      <w:pPr>
        <w:ind w:left="1466" w:hanging="771"/>
        <w:jc w:val="left"/>
      </w:pPr>
      <w:rPr>
        <w:rFonts w:hint="default" w:ascii="Palatino Linotype" w:hAnsi="Palatino Linotype" w:eastAsia="Palatino Linotype" w:cs="Palatino Linotype"/>
        <w:b/>
        <w:bCs/>
        <w:w w:val="112"/>
        <w:sz w:val="27"/>
        <w:szCs w:val="27"/>
        <w:lang w:val="ru-RU" w:eastAsia="en-US" w:bidi="ar-SA"/>
      </w:rPr>
    </w:lvl>
    <w:lvl w:ilvl="3">
      <w:start w:val="0"/>
      <w:numFmt w:val="bullet"/>
      <w:lvlText w:val="•"/>
      <w:lvlJc w:val="left"/>
      <w:pPr>
        <w:ind w:left="3126" w:hanging="771"/>
      </w:pPr>
      <w:rPr>
        <w:rFonts w:hint="default"/>
        <w:lang w:val="ru-RU" w:eastAsia="en-US" w:bidi="ar-SA"/>
      </w:rPr>
    </w:lvl>
    <w:lvl w:ilvl="4">
      <w:start w:val="0"/>
      <w:numFmt w:val="bullet"/>
      <w:lvlText w:val="•"/>
      <w:lvlJc w:val="left"/>
      <w:pPr>
        <w:ind w:left="3960" w:hanging="771"/>
      </w:pPr>
      <w:rPr>
        <w:rFonts w:hint="default"/>
        <w:lang w:val="ru-RU" w:eastAsia="en-US" w:bidi="ar-SA"/>
      </w:rPr>
    </w:lvl>
    <w:lvl w:ilvl="5">
      <w:start w:val="0"/>
      <w:numFmt w:val="bullet"/>
      <w:lvlText w:val="•"/>
      <w:lvlJc w:val="left"/>
      <w:pPr>
        <w:ind w:left="4793" w:hanging="771"/>
      </w:pPr>
      <w:rPr>
        <w:rFonts w:hint="default"/>
        <w:lang w:val="ru-RU" w:eastAsia="en-US" w:bidi="ar-SA"/>
      </w:rPr>
    </w:lvl>
    <w:lvl w:ilvl="6">
      <w:start w:val="0"/>
      <w:numFmt w:val="bullet"/>
      <w:lvlText w:val="•"/>
      <w:lvlJc w:val="left"/>
      <w:pPr>
        <w:ind w:left="5626" w:hanging="771"/>
      </w:pPr>
      <w:rPr>
        <w:rFonts w:hint="default"/>
        <w:lang w:val="ru-RU" w:eastAsia="en-US" w:bidi="ar-SA"/>
      </w:rPr>
    </w:lvl>
    <w:lvl w:ilvl="7">
      <w:start w:val="0"/>
      <w:numFmt w:val="bullet"/>
      <w:lvlText w:val="•"/>
      <w:lvlJc w:val="left"/>
      <w:pPr>
        <w:ind w:left="6460" w:hanging="771"/>
      </w:pPr>
      <w:rPr>
        <w:rFonts w:hint="default"/>
        <w:lang w:val="ru-RU" w:eastAsia="en-US" w:bidi="ar-SA"/>
      </w:rPr>
    </w:lvl>
    <w:lvl w:ilvl="8">
      <w:start w:val="0"/>
      <w:numFmt w:val="bullet"/>
      <w:lvlText w:val="•"/>
      <w:lvlJc w:val="left"/>
      <w:pPr>
        <w:ind w:left="7293" w:hanging="771"/>
      </w:pPr>
      <w:rPr>
        <w:rFonts w:hint="default"/>
        <w:lang w:val="ru-RU" w:eastAsia="en-US" w:bidi="ar-SA"/>
      </w:rPr>
    </w:lvl>
  </w:abstractNum>
  <w:abstractNum w:abstractNumId="4">
    <w:multiLevelType w:val="hybridMultilevel"/>
    <w:lvl w:ilvl="0">
      <w:start w:val="2"/>
      <w:numFmt w:val="decimal"/>
      <w:lvlText w:val="%1"/>
      <w:lvlJc w:val="left"/>
      <w:pPr>
        <w:ind w:left="1038" w:hanging="658"/>
        <w:jc w:val="left"/>
      </w:pPr>
      <w:rPr>
        <w:rFonts w:hint="default"/>
        <w:lang w:val="ru-RU" w:eastAsia="en-US" w:bidi="ar-SA"/>
      </w:rPr>
    </w:lvl>
    <w:lvl w:ilvl="1">
      <w:start w:val="8"/>
      <w:numFmt w:val="decimal"/>
      <w:lvlText w:val="%1.%2."/>
      <w:lvlJc w:val="left"/>
      <w:pPr>
        <w:ind w:left="1038" w:hanging="658"/>
        <w:jc w:val="left"/>
      </w:pPr>
      <w:rPr>
        <w:rFonts w:hint="default" w:ascii="Palatino Linotype" w:hAnsi="Palatino Linotype" w:eastAsia="Palatino Linotype" w:cs="Palatino Linotype"/>
        <w:b/>
        <w:bCs/>
        <w:w w:val="113"/>
        <w:sz w:val="33"/>
        <w:szCs w:val="33"/>
        <w:lang w:val="ru-RU" w:eastAsia="en-US" w:bidi="ar-SA"/>
      </w:rPr>
    </w:lvl>
    <w:lvl w:ilvl="2">
      <w:start w:val="0"/>
      <w:numFmt w:val="bullet"/>
      <w:lvlText w:val="•"/>
      <w:lvlJc w:val="left"/>
      <w:pPr>
        <w:ind w:left="2624" w:hanging="658"/>
      </w:pPr>
      <w:rPr>
        <w:rFonts w:hint="default"/>
        <w:lang w:val="ru-RU" w:eastAsia="en-US" w:bidi="ar-SA"/>
      </w:rPr>
    </w:lvl>
    <w:lvl w:ilvl="3">
      <w:start w:val="0"/>
      <w:numFmt w:val="bullet"/>
      <w:lvlText w:val="•"/>
      <w:lvlJc w:val="left"/>
      <w:pPr>
        <w:ind w:left="3416" w:hanging="658"/>
      </w:pPr>
      <w:rPr>
        <w:rFonts w:hint="default"/>
        <w:lang w:val="ru-RU" w:eastAsia="en-US" w:bidi="ar-SA"/>
      </w:rPr>
    </w:lvl>
    <w:lvl w:ilvl="4">
      <w:start w:val="0"/>
      <w:numFmt w:val="bullet"/>
      <w:lvlText w:val="•"/>
      <w:lvlJc w:val="left"/>
      <w:pPr>
        <w:ind w:left="4208" w:hanging="658"/>
      </w:pPr>
      <w:rPr>
        <w:rFonts w:hint="default"/>
        <w:lang w:val="ru-RU" w:eastAsia="en-US" w:bidi="ar-SA"/>
      </w:rPr>
    </w:lvl>
    <w:lvl w:ilvl="5">
      <w:start w:val="0"/>
      <w:numFmt w:val="bullet"/>
      <w:lvlText w:val="•"/>
      <w:lvlJc w:val="left"/>
      <w:pPr>
        <w:ind w:left="5000" w:hanging="658"/>
      </w:pPr>
      <w:rPr>
        <w:rFonts w:hint="default"/>
        <w:lang w:val="ru-RU" w:eastAsia="en-US" w:bidi="ar-SA"/>
      </w:rPr>
    </w:lvl>
    <w:lvl w:ilvl="6">
      <w:start w:val="0"/>
      <w:numFmt w:val="bullet"/>
      <w:lvlText w:val="•"/>
      <w:lvlJc w:val="left"/>
      <w:pPr>
        <w:ind w:left="5792" w:hanging="658"/>
      </w:pPr>
      <w:rPr>
        <w:rFonts w:hint="default"/>
        <w:lang w:val="ru-RU" w:eastAsia="en-US" w:bidi="ar-SA"/>
      </w:rPr>
    </w:lvl>
    <w:lvl w:ilvl="7">
      <w:start w:val="0"/>
      <w:numFmt w:val="bullet"/>
      <w:lvlText w:val="•"/>
      <w:lvlJc w:val="left"/>
      <w:pPr>
        <w:ind w:left="6584" w:hanging="658"/>
      </w:pPr>
      <w:rPr>
        <w:rFonts w:hint="default"/>
        <w:lang w:val="ru-RU" w:eastAsia="en-US" w:bidi="ar-SA"/>
      </w:rPr>
    </w:lvl>
    <w:lvl w:ilvl="8">
      <w:start w:val="0"/>
      <w:numFmt w:val="bullet"/>
      <w:lvlText w:val="•"/>
      <w:lvlJc w:val="left"/>
      <w:pPr>
        <w:ind w:left="7376" w:hanging="658"/>
      </w:pPr>
      <w:rPr>
        <w:rFonts w:hint="default"/>
        <w:lang w:val="ru-RU" w:eastAsia="en-US" w:bidi="ar-SA"/>
      </w:rPr>
    </w:lvl>
  </w:abstractNum>
  <w:abstractNum w:abstractNumId="3">
    <w:multiLevelType w:val="hybridMultilevel"/>
    <w:lvl w:ilvl="0">
      <w:start w:val="2"/>
      <w:numFmt w:val="decimal"/>
      <w:lvlText w:val="%1"/>
      <w:lvlJc w:val="left"/>
      <w:pPr>
        <w:ind w:left="950" w:hanging="570"/>
        <w:jc w:val="left"/>
      </w:pPr>
      <w:rPr>
        <w:rFonts w:hint="default"/>
        <w:lang w:val="ru-RU" w:eastAsia="en-US" w:bidi="ar-SA"/>
      </w:rPr>
    </w:lvl>
    <w:lvl w:ilvl="1">
      <w:start w:val="1"/>
      <w:numFmt w:val="decimal"/>
      <w:lvlText w:val="%1.%2."/>
      <w:lvlJc w:val="left"/>
      <w:pPr>
        <w:ind w:left="950" w:hanging="570"/>
        <w:jc w:val="left"/>
      </w:pPr>
      <w:rPr>
        <w:rFonts w:hint="default" w:ascii="Palatino Linotype" w:hAnsi="Palatino Linotype" w:eastAsia="Palatino Linotype" w:cs="Palatino Linotype"/>
        <w:b/>
        <w:bCs/>
        <w:w w:val="113"/>
        <w:sz w:val="31"/>
        <w:szCs w:val="31"/>
        <w:lang w:val="ru-RU" w:eastAsia="en-US" w:bidi="ar-SA"/>
      </w:rPr>
    </w:lvl>
    <w:lvl w:ilvl="2">
      <w:start w:val="1"/>
      <w:numFmt w:val="decimal"/>
      <w:lvlText w:val="%3."/>
      <w:lvlJc w:val="left"/>
      <w:pPr>
        <w:ind w:left="695" w:hanging="312"/>
        <w:jc w:val="left"/>
      </w:pPr>
      <w:rPr>
        <w:rFonts w:hint="default" w:ascii="Palatino Linotype" w:hAnsi="Palatino Linotype" w:eastAsia="Palatino Linotype" w:cs="Palatino Linotype"/>
        <w:i/>
        <w:w w:val="104"/>
        <w:sz w:val="27"/>
        <w:szCs w:val="27"/>
        <w:lang w:val="ru-RU" w:eastAsia="en-US" w:bidi="ar-SA"/>
      </w:rPr>
    </w:lvl>
    <w:lvl w:ilvl="3">
      <w:start w:val="0"/>
      <w:numFmt w:val="bullet"/>
      <w:lvlText w:val="•"/>
      <w:lvlJc w:val="left"/>
      <w:pPr>
        <w:ind w:left="2737" w:hanging="312"/>
      </w:pPr>
      <w:rPr>
        <w:rFonts w:hint="default"/>
        <w:lang w:val="ru-RU" w:eastAsia="en-US" w:bidi="ar-SA"/>
      </w:rPr>
    </w:lvl>
    <w:lvl w:ilvl="4">
      <w:start w:val="0"/>
      <w:numFmt w:val="bullet"/>
      <w:lvlText w:val="•"/>
      <w:lvlJc w:val="left"/>
      <w:pPr>
        <w:ind w:left="3626" w:hanging="312"/>
      </w:pPr>
      <w:rPr>
        <w:rFonts w:hint="default"/>
        <w:lang w:val="ru-RU" w:eastAsia="en-US" w:bidi="ar-SA"/>
      </w:rPr>
    </w:lvl>
    <w:lvl w:ilvl="5">
      <w:start w:val="0"/>
      <w:numFmt w:val="bullet"/>
      <w:lvlText w:val="•"/>
      <w:lvlJc w:val="left"/>
      <w:pPr>
        <w:ind w:left="4515" w:hanging="312"/>
      </w:pPr>
      <w:rPr>
        <w:rFonts w:hint="default"/>
        <w:lang w:val="ru-RU" w:eastAsia="en-US" w:bidi="ar-SA"/>
      </w:rPr>
    </w:lvl>
    <w:lvl w:ilvl="6">
      <w:start w:val="0"/>
      <w:numFmt w:val="bullet"/>
      <w:lvlText w:val="•"/>
      <w:lvlJc w:val="left"/>
      <w:pPr>
        <w:ind w:left="5404" w:hanging="312"/>
      </w:pPr>
      <w:rPr>
        <w:rFonts w:hint="default"/>
        <w:lang w:val="ru-RU" w:eastAsia="en-US" w:bidi="ar-SA"/>
      </w:rPr>
    </w:lvl>
    <w:lvl w:ilvl="7">
      <w:start w:val="0"/>
      <w:numFmt w:val="bullet"/>
      <w:lvlText w:val="•"/>
      <w:lvlJc w:val="left"/>
      <w:pPr>
        <w:ind w:left="6293" w:hanging="312"/>
      </w:pPr>
      <w:rPr>
        <w:rFonts w:hint="default"/>
        <w:lang w:val="ru-RU" w:eastAsia="en-US" w:bidi="ar-SA"/>
      </w:rPr>
    </w:lvl>
    <w:lvl w:ilvl="8">
      <w:start w:val="0"/>
      <w:numFmt w:val="bullet"/>
      <w:lvlText w:val="•"/>
      <w:lvlJc w:val="left"/>
      <w:pPr>
        <w:ind w:left="7182" w:hanging="312"/>
      </w:pPr>
      <w:rPr>
        <w:rFonts w:hint="default"/>
        <w:lang w:val="ru-RU" w:eastAsia="en-US" w:bidi="ar-SA"/>
      </w:rPr>
    </w:lvl>
  </w:abstractNum>
  <w:abstractNum w:abstractNumId="2">
    <w:multiLevelType w:val="hybridMultilevel"/>
    <w:lvl w:ilvl="0">
      <w:start w:val="0"/>
      <w:numFmt w:val="bullet"/>
      <w:lvlText w:val="•"/>
      <w:lvlJc w:val="left"/>
      <w:pPr>
        <w:ind w:left="380" w:hanging="189"/>
      </w:pPr>
      <w:rPr>
        <w:rFonts w:hint="default" w:ascii="Palatino Linotype" w:hAnsi="Palatino Linotype" w:eastAsia="Palatino Linotype" w:cs="Palatino Linotype"/>
        <w:w w:val="75"/>
        <w:sz w:val="27"/>
        <w:szCs w:val="27"/>
        <w:lang w:val="ru-RU" w:eastAsia="en-US" w:bidi="ar-SA"/>
      </w:rPr>
    </w:lvl>
    <w:lvl w:ilvl="1">
      <w:start w:val="0"/>
      <w:numFmt w:val="bullet"/>
      <w:lvlText w:val="•"/>
      <w:lvlJc w:val="left"/>
      <w:pPr>
        <w:ind w:left="1238" w:hanging="189"/>
      </w:pPr>
      <w:rPr>
        <w:rFonts w:hint="default"/>
        <w:lang w:val="ru-RU" w:eastAsia="en-US" w:bidi="ar-SA"/>
      </w:rPr>
    </w:lvl>
    <w:lvl w:ilvl="2">
      <w:start w:val="0"/>
      <w:numFmt w:val="bullet"/>
      <w:lvlText w:val="•"/>
      <w:lvlJc w:val="left"/>
      <w:pPr>
        <w:ind w:left="2096" w:hanging="189"/>
      </w:pPr>
      <w:rPr>
        <w:rFonts w:hint="default"/>
        <w:lang w:val="ru-RU" w:eastAsia="en-US" w:bidi="ar-SA"/>
      </w:rPr>
    </w:lvl>
    <w:lvl w:ilvl="3">
      <w:start w:val="0"/>
      <w:numFmt w:val="bullet"/>
      <w:lvlText w:val="•"/>
      <w:lvlJc w:val="left"/>
      <w:pPr>
        <w:ind w:left="2954" w:hanging="189"/>
      </w:pPr>
      <w:rPr>
        <w:rFonts w:hint="default"/>
        <w:lang w:val="ru-RU" w:eastAsia="en-US" w:bidi="ar-SA"/>
      </w:rPr>
    </w:lvl>
    <w:lvl w:ilvl="4">
      <w:start w:val="0"/>
      <w:numFmt w:val="bullet"/>
      <w:lvlText w:val="•"/>
      <w:lvlJc w:val="left"/>
      <w:pPr>
        <w:ind w:left="3812" w:hanging="189"/>
      </w:pPr>
      <w:rPr>
        <w:rFonts w:hint="default"/>
        <w:lang w:val="ru-RU" w:eastAsia="en-US" w:bidi="ar-SA"/>
      </w:rPr>
    </w:lvl>
    <w:lvl w:ilvl="5">
      <w:start w:val="0"/>
      <w:numFmt w:val="bullet"/>
      <w:lvlText w:val="•"/>
      <w:lvlJc w:val="left"/>
      <w:pPr>
        <w:ind w:left="4670" w:hanging="189"/>
      </w:pPr>
      <w:rPr>
        <w:rFonts w:hint="default"/>
        <w:lang w:val="ru-RU" w:eastAsia="en-US" w:bidi="ar-SA"/>
      </w:rPr>
    </w:lvl>
    <w:lvl w:ilvl="6">
      <w:start w:val="0"/>
      <w:numFmt w:val="bullet"/>
      <w:lvlText w:val="•"/>
      <w:lvlJc w:val="left"/>
      <w:pPr>
        <w:ind w:left="5528" w:hanging="189"/>
      </w:pPr>
      <w:rPr>
        <w:rFonts w:hint="default"/>
        <w:lang w:val="ru-RU" w:eastAsia="en-US" w:bidi="ar-SA"/>
      </w:rPr>
    </w:lvl>
    <w:lvl w:ilvl="7">
      <w:start w:val="0"/>
      <w:numFmt w:val="bullet"/>
      <w:lvlText w:val="•"/>
      <w:lvlJc w:val="left"/>
      <w:pPr>
        <w:ind w:left="6386" w:hanging="189"/>
      </w:pPr>
      <w:rPr>
        <w:rFonts w:hint="default"/>
        <w:lang w:val="ru-RU" w:eastAsia="en-US" w:bidi="ar-SA"/>
      </w:rPr>
    </w:lvl>
    <w:lvl w:ilvl="8">
      <w:start w:val="0"/>
      <w:numFmt w:val="bullet"/>
      <w:lvlText w:val="•"/>
      <w:lvlJc w:val="left"/>
      <w:pPr>
        <w:ind w:left="7244" w:hanging="189"/>
      </w:pPr>
      <w:rPr>
        <w:rFonts w:hint="default"/>
        <w:lang w:val="ru-RU" w:eastAsia="en-US" w:bidi="ar-SA"/>
      </w:rPr>
    </w:lvl>
  </w:abstractNum>
  <w:abstractNum w:abstractNumId="1">
    <w:multiLevelType w:val="hybridMultilevel"/>
    <w:lvl w:ilvl="0">
      <w:start w:val="1"/>
      <w:numFmt w:val="decimal"/>
      <w:lvlText w:val="%1."/>
      <w:lvlJc w:val="left"/>
      <w:pPr>
        <w:ind w:left="923" w:hanging="544"/>
        <w:jc w:val="left"/>
      </w:pPr>
      <w:rPr>
        <w:rFonts w:hint="default" w:ascii="Palatino Linotype" w:hAnsi="Palatino Linotype" w:eastAsia="Palatino Linotype" w:cs="Palatino Linotype"/>
        <w:b/>
        <w:bCs/>
        <w:w w:val="113"/>
        <w:sz w:val="48"/>
        <w:szCs w:val="48"/>
        <w:lang w:val="ru-RU" w:eastAsia="en-US" w:bidi="ar-SA"/>
      </w:rPr>
    </w:lvl>
    <w:lvl w:ilvl="1">
      <w:start w:val="1"/>
      <w:numFmt w:val="decimal"/>
      <w:lvlText w:val="%1.%2"/>
      <w:lvlJc w:val="left"/>
      <w:pPr>
        <w:ind w:left="380" w:hanging="560"/>
        <w:jc w:val="left"/>
      </w:pPr>
      <w:rPr>
        <w:rFonts w:hint="default" w:ascii="Palatino Linotype" w:hAnsi="Palatino Linotype" w:eastAsia="Palatino Linotype" w:cs="Palatino Linotype"/>
        <w:b/>
        <w:bCs/>
        <w:w w:val="113"/>
        <w:sz w:val="33"/>
        <w:szCs w:val="33"/>
        <w:lang w:val="ru-RU" w:eastAsia="en-US" w:bidi="ar-SA"/>
      </w:rPr>
    </w:lvl>
    <w:lvl w:ilvl="2">
      <w:start w:val="1"/>
      <w:numFmt w:val="decimal"/>
      <w:lvlText w:val="%1.%2.%3"/>
      <w:lvlJc w:val="left"/>
      <w:pPr>
        <w:ind w:left="1386" w:hanging="691"/>
        <w:jc w:val="left"/>
      </w:pPr>
      <w:rPr>
        <w:rFonts w:hint="default" w:ascii="Palatino Linotype" w:hAnsi="Palatino Linotype" w:eastAsia="Palatino Linotype" w:cs="Palatino Linotype"/>
        <w:b/>
        <w:bCs/>
        <w:w w:val="113"/>
        <w:sz w:val="27"/>
        <w:szCs w:val="27"/>
        <w:lang w:val="ru-RU" w:eastAsia="en-US" w:bidi="ar-SA"/>
      </w:rPr>
    </w:lvl>
    <w:lvl w:ilvl="3">
      <w:start w:val="0"/>
      <w:numFmt w:val="bullet"/>
      <w:lvlText w:val="•"/>
      <w:lvlJc w:val="left"/>
      <w:pPr>
        <w:ind w:left="1380" w:hanging="691"/>
      </w:pPr>
      <w:rPr>
        <w:rFonts w:hint="default"/>
        <w:lang w:val="ru-RU" w:eastAsia="en-US" w:bidi="ar-SA"/>
      </w:rPr>
    </w:lvl>
    <w:lvl w:ilvl="4">
      <w:start w:val="0"/>
      <w:numFmt w:val="bullet"/>
      <w:lvlText w:val="•"/>
      <w:lvlJc w:val="left"/>
      <w:pPr>
        <w:ind w:left="2462" w:hanging="691"/>
      </w:pPr>
      <w:rPr>
        <w:rFonts w:hint="default"/>
        <w:lang w:val="ru-RU" w:eastAsia="en-US" w:bidi="ar-SA"/>
      </w:rPr>
    </w:lvl>
    <w:lvl w:ilvl="5">
      <w:start w:val="0"/>
      <w:numFmt w:val="bullet"/>
      <w:lvlText w:val="•"/>
      <w:lvlJc w:val="left"/>
      <w:pPr>
        <w:ind w:left="3545" w:hanging="691"/>
      </w:pPr>
      <w:rPr>
        <w:rFonts w:hint="default"/>
        <w:lang w:val="ru-RU" w:eastAsia="en-US" w:bidi="ar-SA"/>
      </w:rPr>
    </w:lvl>
    <w:lvl w:ilvl="6">
      <w:start w:val="0"/>
      <w:numFmt w:val="bullet"/>
      <w:lvlText w:val="•"/>
      <w:lvlJc w:val="left"/>
      <w:pPr>
        <w:ind w:left="4628" w:hanging="691"/>
      </w:pPr>
      <w:rPr>
        <w:rFonts w:hint="default"/>
        <w:lang w:val="ru-RU" w:eastAsia="en-US" w:bidi="ar-SA"/>
      </w:rPr>
    </w:lvl>
    <w:lvl w:ilvl="7">
      <w:start w:val="0"/>
      <w:numFmt w:val="bullet"/>
      <w:lvlText w:val="•"/>
      <w:lvlJc w:val="left"/>
      <w:pPr>
        <w:ind w:left="5711" w:hanging="691"/>
      </w:pPr>
      <w:rPr>
        <w:rFonts w:hint="default"/>
        <w:lang w:val="ru-RU" w:eastAsia="en-US" w:bidi="ar-SA"/>
      </w:rPr>
    </w:lvl>
    <w:lvl w:ilvl="8">
      <w:start w:val="0"/>
      <w:numFmt w:val="bullet"/>
      <w:lvlText w:val="•"/>
      <w:lvlJc w:val="left"/>
      <w:pPr>
        <w:ind w:left="6794" w:hanging="691"/>
      </w:pPr>
      <w:rPr>
        <w:rFonts w:hint="default"/>
        <w:lang w:val="ru-RU" w:eastAsia="en-US" w:bidi="ar-SA"/>
      </w:rPr>
    </w:lvl>
  </w:abstractNum>
  <w:abstractNum w:abstractNumId="0">
    <w:multiLevelType w:val="hybridMultilevel"/>
    <w:lvl w:ilvl="0">
      <w:start w:val="1"/>
      <w:numFmt w:val="decimal"/>
      <w:lvlText w:val="%1."/>
      <w:lvlJc w:val="left"/>
      <w:pPr>
        <w:ind w:left="1001" w:hanging="306"/>
        <w:jc w:val="left"/>
      </w:pPr>
      <w:rPr>
        <w:rFonts w:hint="default" w:ascii="Palatino Linotype" w:hAnsi="Palatino Linotype" w:eastAsia="Palatino Linotype" w:cs="Palatino Linotype"/>
        <w:b/>
        <w:bCs/>
        <w:w w:val="113"/>
        <w:sz w:val="27"/>
        <w:szCs w:val="27"/>
        <w:lang w:val="ru-RU" w:eastAsia="en-US" w:bidi="ar-SA"/>
      </w:rPr>
    </w:lvl>
    <w:lvl w:ilvl="1">
      <w:start w:val="0"/>
      <w:numFmt w:val="bullet"/>
      <w:lvlText w:val="•"/>
      <w:lvlJc w:val="left"/>
      <w:pPr>
        <w:ind w:left="1796" w:hanging="306"/>
      </w:pPr>
      <w:rPr>
        <w:rFonts w:hint="default"/>
        <w:lang w:val="ru-RU" w:eastAsia="en-US" w:bidi="ar-SA"/>
      </w:rPr>
    </w:lvl>
    <w:lvl w:ilvl="2">
      <w:start w:val="0"/>
      <w:numFmt w:val="bullet"/>
      <w:lvlText w:val="•"/>
      <w:lvlJc w:val="left"/>
      <w:pPr>
        <w:ind w:left="2592" w:hanging="306"/>
      </w:pPr>
      <w:rPr>
        <w:rFonts w:hint="default"/>
        <w:lang w:val="ru-RU" w:eastAsia="en-US" w:bidi="ar-SA"/>
      </w:rPr>
    </w:lvl>
    <w:lvl w:ilvl="3">
      <w:start w:val="0"/>
      <w:numFmt w:val="bullet"/>
      <w:lvlText w:val="•"/>
      <w:lvlJc w:val="left"/>
      <w:pPr>
        <w:ind w:left="3388" w:hanging="306"/>
      </w:pPr>
      <w:rPr>
        <w:rFonts w:hint="default"/>
        <w:lang w:val="ru-RU" w:eastAsia="en-US" w:bidi="ar-SA"/>
      </w:rPr>
    </w:lvl>
    <w:lvl w:ilvl="4">
      <w:start w:val="0"/>
      <w:numFmt w:val="bullet"/>
      <w:lvlText w:val="•"/>
      <w:lvlJc w:val="left"/>
      <w:pPr>
        <w:ind w:left="4184" w:hanging="306"/>
      </w:pPr>
      <w:rPr>
        <w:rFonts w:hint="default"/>
        <w:lang w:val="ru-RU" w:eastAsia="en-US" w:bidi="ar-SA"/>
      </w:rPr>
    </w:lvl>
    <w:lvl w:ilvl="5">
      <w:start w:val="0"/>
      <w:numFmt w:val="bullet"/>
      <w:lvlText w:val="•"/>
      <w:lvlJc w:val="left"/>
      <w:pPr>
        <w:ind w:left="4980" w:hanging="306"/>
      </w:pPr>
      <w:rPr>
        <w:rFonts w:hint="default"/>
        <w:lang w:val="ru-RU" w:eastAsia="en-US" w:bidi="ar-SA"/>
      </w:rPr>
    </w:lvl>
    <w:lvl w:ilvl="6">
      <w:start w:val="0"/>
      <w:numFmt w:val="bullet"/>
      <w:lvlText w:val="•"/>
      <w:lvlJc w:val="left"/>
      <w:pPr>
        <w:ind w:left="5776" w:hanging="306"/>
      </w:pPr>
      <w:rPr>
        <w:rFonts w:hint="default"/>
        <w:lang w:val="ru-RU" w:eastAsia="en-US" w:bidi="ar-SA"/>
      </w:rPr>
    </w:lvl>
    <w:lvl w:ilvl="7">
      <w:start w:val="0"/>
      <w:numFmt w:val="bullet"/>
      <w:lvlText w:val="•"/>
      <w:lvlJc w:val="left"/>
      <w:pPr>
        <w:ind w:left="6572" w:hanging="306"/>
      </w:pPr>
      <w:rPr>
        <w:rFonts w:hint="default"/>
        <w:lang w:val="ru-RU" w:eastAsia="en-US" w:bidi="ar-SA"/>
      </w:rPr>
    </w:lvl>
    <w:lvl w:ilvl="8">
      <w:start w:val="0"/>
      <w:numFmt w:val="bullet"/>
      <w:lvlText w:val="•"/>
      <w:lvlJc w:val="left"/>
      <w:pPr>
        <w:ind w:left="7368" w:hanging="306"/>
      </w:pPr>
      <w:rPr>
        <w:rFonts w:hint="default"/>
        <w:lang w:val="ru-RU"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ru-RU" w:eastAsia="en-US" w:bidi="ar-SA"/>
    </w:rPr>
  </w:style>
  <w:style w:styleId="BodyText" w:type="paragraph">
    <w:name w:val="Body Text"/>
    <w:basedOn w:val="Normal"/>
    <w:uiPriority w:val="1"/>
    <w:qFormat/>
    <w:pPr>
      <w:spacing w:before="1"/>
      <w:ind w:left="680"/>
      <w:jc w:val="both"/>
    </w:pPr>
    <w:rPr>
      <w:rFonts w:ascii="Palatino Linotype" w:hAnsi="Palatino Linotype" w:eastAsia="Palatino Linotype" w:cs="Palatino Linotype"/>
      <w:sz w:val="27"/>
      <w:szCs w:val="27"/>
      <w:lang w:val="ru-RU" w:eastAsia="en-US" w:bidi="ar-SA"/>
    </w:rPr>
  </w:style>
  <w:style w:styleId="Heading1" w:type="paragraph">
    <w:name w:val="Heading 1"/>
    <w:basedOn w:val="Normal"/>
    <w:uiPriority w:val="1"/>
    <w:qFormat/>
    <w:pPr>
      <w:spacing w:before="66"/>
      <w:ind w:left="380"/>
      <w:outlineLvl w:val="1"/>
    </w:pPr>
    <w:rPr>
      <w:rFonts w:ascii="Palatino Linotype" w:hAnsi="Palatino Linotype" w:eastAsia="Palatino Linotype" w:cs="Palatino Linotype"/>
      <w:b/>
      <w:bCs/>
      <w:sz w:val="48"/>
      <w:szCs w:val="48"/>
      <w:lang w:val="ru-RU" w:eastAsia="en-US" w:bidi="ar-SA"/>
    </w:rPr>
  </w:style>
  <w:style w:styleId="Heading2" w:type="paragraph">
    <w:name w:val="Heading 2"/>
    <w:basedOn w:val="Normal"/>
    <w:uiPriority w:val="1"/>
    <w:qFormat/>
    <w:pPr>
      <w:ind w:left="380"/>
      <w:outlineLvl w:val="2"/>
    </w:pPr>
    <w:rPr>
      <w:rFonts w:ascii="Palatino Linotype" w:hAnsi="Palatino Linotype" w:eastAsia="Palatino Linotype" w:cs="Palatino Linotype"/>
      <w:b/>
      <w:bCs/>
      <w:sz w:val="33"/>
      <w:szCs w:val="33"/>
      <w:lang w:val="ru-RU" w:eastAsia="en-US" w:bidi="ar-SA"/>
    </w:rPr>
  </w:style>
  <w:style w:styleId="Heading3" w:type="paragraph">
    <w:name w:val="Heading 3"/>
    <w:basedOn w:val="Normal"/>
    <w:uiPriority w:val="1"/>
    <w:qFormat/>
    <w:pPr>
      <w:spacing w:before="271"/>
      <w:ind w:left="695"/>
      <w:outlineLvl w:val="3"/>
    </w:pPr>
    <w:rPr>
      <w:rFonts w:ascii="Palatino Linotype" w:hAnsi="Palatino Linotype" w:eastAsia="Palatino Linotype" w:cs="Palatino Linotype"/>
      <w:b/>
      <w:bCs/>
      <w:sz w:val="27"/>
      <w:szCs w:val="27"/>
      <w:lang w:val="ru-RU" w:eastAsia="en-US" w:bidi="ar-SA"/>
    </w:rPr>
  </w:style>
  <w:style w:styleId="Heading4" w:type="paragraph">
    <w:name w:val="Heading 4"/>
    <w:basedOn w:val="Normal"/>
    <w:uiPriority w:val="1"/>
    <w:qFormat/>
    <w:pPr>
      <w:spacing w:before="271"/>
      <w:ind w:left="695"/>
      <w:jc w:val="both"/>
      <w:outlineLvl w:val="4"/>
    </w:pPr>
    <w:rPr>
      <w:rFonts w:ascii="Palatino Linotype" w:hAnsi="Palatino Linotype" w:eastAsia="Palatino Linotype" w:cs="Palatino Linotype"/>
      <w:b/>
      <w:bCs/>
      <w:i/>
      <w:sz w:val="27"/>
      <w:szCs w:val="27"/>
      <w:lang w:val="ru-RU" w:eastAsia="en-US" w:bidi="ar-SA"/>
    </w:rPr>
  </w:style>
  <w:style w:styleId="ListParagraph" w:type="paragraph">
    <w:name w:val="List Paragraph"/>
    <w:basedOn w:val="Normal"/>
    <w:uiPriority w:val="1"/>
    <w:qFormat/>
    <w:pPr>
      <w:spacing w:before="1"/>
      <w:ind w:left="680" w:hanging="571"/>
      <w:jc w:val="both"/>
    </w:pPr>
    <w:rPr>
      <w:rFonts w:ascii="Palatino Linotype" w:hAnsi="Palatino Linotype" w:eastAsia="Palatino Linotype" w:cs="Palatino Linotype"/>
      <w:lang w:val="ru-RU" w:eastAsia="en-US" w:bidi="ar-SA"/>
    </w:rPr>
  </w:style>
  <w:style w:styleId="TableParagraph" w:type="paragraph">
    <w:name w:val="Table Paragraph"/>
    <w:basedOn w:val="Normal"/>
    <w:uiPriority w:val="1"/>
    <w:qFormat/>
    <w:pPr>
      <w:spacing w:before="136"/>
      <w:ind w:left="155"/>
    </w:pPr>
    <w:rPr>
      <w:rFonts w:ascii="Verdana" w:hAnsi="Verdana" w:eastAsia="Verdana" w:cs="Verdana"/>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dic.academic.ru/dic.nsf/enc_medicine/28878/" TargetMode="External"/><Relationship Id="rId11" Type="http://schemas.openxmlformats.org/officeDocument/2006/relationships/hyperlink" Target="http://apps.who.int/iris/bitstream/10665/42907/1/" TargetMode="External"/><Relationship Id="rId12" Type="http://schemas.openxmlformats.org/officeDocument/2006/relationships/hyperlink" Target="http://www.ropniz.ru/" TargetMode="Externa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hyperlink" Target="http://www.heartscore.org/ru_RU" TargetMode="External"/><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hyperlink" Target="https://www.kidney.org/professionals/KDOQI/gfr_calculator" TargetMode="External"/><Relationship Id="rId25" Type="http://schemas.openxmlformats.org/officeDocument/2006/relationships/image" Target="media/image16.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2020-06-05T20:02:48Z</dcterms:created>
  <dcterms:modified xsi:type="dcterms:W3CDTF">2020-06-05T20:02:48Z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Chromium</vt:lpwstr>
  </property>
  <property fmtid="{D5CDD505-2E9C-101B-9397-08002B2CF9AE}" pid="4" name="LastSaved">
    <vt:filetime>2020-06-05T00:00:00Z</vt:filetime>
  </property>
</Properties>
</file>